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9087" w14:textId="23C82D4B" w:rsidR="00916E2B" w:rsidRPr="00F0625E" w:rsidRDefault="00916E2B" w:rsidP="00F0625E">
      <w:pPr>
        <w:tabs>
          <w:tab w:val="left" w:pos="567"/>
          <w:tab w:val="left" w:pos="851"/>
        </w:tabs>
        <w:spacing w:after="0" w:line="276" w:lineRule="auto"/>
        <w:ind w:firstLine="624"/>
        <w:rPr>
          <w:rFonts w:ascii="Calibri" w:hAnsi="Calibri" w:cs="Calibri"/>
          <w:lang w:val="lt-LT"/>
        </w:rPr>
      </w:pPr>
      <w:r w:rsidRPr="00F0625E">
        <w:rPr>
          <w:rFonts w:ascii="Calibri" w:hAnsi="Calibri" w:cs="Calibri"/>
          <w:lang w:val="lt-LT"/>
        </w:rPr>
        <w:t>Viešųjų pirkimų tarnyba (toliau – Tarnyba), vadovaudamasi Lietuvos Respublikos viešųjų pirkimų, atliekamų gynybos ir saugumo srityje, įstatymo (toliau – Įstatymas) 9 straipsnio 1 dalies 1  punktu, vykdo Įstatymo ir su jo įgyvendinimu susijusių teisės aktų pažeidimų prevenciją.</w:t>
      </w:r>
    </w:p>
    <w:p w14:paraId="743B609C" w14:textId="78238A3E" w:rsidR="00916E2B" w:rsidRPr="00F0625E" w:rsidRDefault="00916E2B" w:rsidP="00F0625E">
      <w:pPr>
        <w:tabs>
          <w:tab w:val="left" w:pos="567"/>
          <w:tab w:val="left" w:pos="851"/>
        </w:tabs>
        <w:spacing w:after="0" w:line="276" w:lineRule="auto"/>
        <w:ind w:firstLine="624"/>
        <w:rPr>
          <w:rFonts w:ascii="Calibri" w:hAnsi="Calibri" w:cs="Calibri"/>
          <w:lang w:val="lt-LT"/>
        </w:rPr>
      </w:pPr>
      <w:r w:rsidRPr="00F0625E">
        <w:rPr>
          <w:rFonts w:ascii="Calibri" w:hAnsi="Calibri" w:cs="Calibri"/>
          <w:lang w:val="lt-LT"/>
        </w:rPr>
        <w:t>Vadovaujantis Tarnybai Įstatyme nustatyta pažeidimų prevencijos funkcija, šiuo metu atliekama  </w:t>
      </w:r>
      <w:r w:rsidR="00893175" w:rsidRPr="00F0625E">
        <w:rPr>
          <w:rFonts w:ascii="Calibri" w:hAnsi="Calibri" w:cs="Calibri"/>
          <w:b/>
          <w:bCs/>
          <w:lang w:val="lt-LT"/>
        </w:rPr>
        <w:t>Lietuvos kariuomenės Karinių oro pajėgų Aviacijos bazės,</w:t>
      </w:r>
      <w:r w:rsidRPr="00F0625E">
        <w:rPr>
          <w:rFonts w:ascii="Calibri" w:hAnsi="Calibri" w:cs="Calibri"/>
          <w:b/>
          <w:bCs/>
          <w:lang w:val="lt-LT"/>
        </w:rPr>
        <w:t xml:space="preserve"> Pirkimo Nr. </w:t>
      </w:r>
      <w:r w:rsidR="00893175" w:rsidRPr="00F0625E">
        <w:rPr>
          <w:rFonts w:ascii="Calibri" w:hAnsi="Calibri" w:cs="Calibri"/>
          <w:b/>
          <w:bCs/>
          <w:lang w:val="lt-LT"/>
        </w:rPr>
        <w:t>8201237</w:t>
      </w:r>
      <w:r w:rsidRPr="00F0625E">
        <w:rPr>
          <w:rFonts w:ascii="Calibri" w:hAnsi="Calibri" w:cs="Calibri"/>
          <w:b/>
          <w:bCs/>
          <w:lang w:val="lt-LT"/>
        </w:rPr>
        <w:t xml:space="preserve"> „</w:t>
      </w:r>
      <w:r w:rsidR="0084065A" w:rsidRPr="00F0625E">
        <w:rPr>
          <w:rFonts w:ascii="Calibri" w:hAnsi="Calibri" w:cs="Calibri"/>
          <w:b/>
          <w:bCs/>
          <w:lang w:val="lt-LT"/>
        </w:rPr>
        <w:t>Navigacinės įrangos skrydžių bandymai</w:t>
      </w:r>
      <w:r w:rsidRPr="00F0625E">
        <w:rPr>
          <w:rFonts w:ascii="Calibri" w:hAnsi="Calibri" w:cs="Calibri"/>
          <w:b/>
          <w:bCs/>
          <w:lang w:val="lt-LT"/>
        </w:rPr>
        <w:t>“</w:t>
      </w:r>
      <w:r w:rsidRPr="00F0625E">
        <w:rPr>
          <w:rFonts w:ascii="Calibri" w:hAnsi="Calibri" w:cs="Calibri"/>
          <w:lang w:val="lt-LT"/>
        </w:rPr>
        <w:t> (toliau – Pirkimas) dokumentų atitikties Įstatymui ir su jo įgyvendinimu susijusiems teisės aktams peržiūra (peržiūra prevenciniais tikslais atliekama tam tikra apimtimi).</w:t>
      </w:r>
    </w:p>
    <w:p w14:paraId="524691CA" w14:textId="067B6251" w:rsidR="00471AA0" w:rsidRPr="00F0625E" w:rsidRDefault="00471AA0" w:rsidP="00F0625E">
      <w:pPr>
        <w:tabs>
          <w:tab w:val="left" w:pos="567"/>
          <w:tab w:val="left" w:pos="851"/>
        </w:tabs>
        <w:spacing w:after="0" w:line="276" w:lineRule="auto"/>
        <w:ind w:firstLine="624"/>
        <w:rPr>
          <w:rFonts w:ascii="Calibri" w:hAnsi="Calibri" w:cs="Calibri"/>
          <w:lang w:val="lt-LT"/>
        </w:rPr>
      </w:pPr>
      <w:r w:rsidRPr="00F0625E">
        <w:rPr>
          <w:rFonts w:ascii="Calibri" w:hAnsi="Calibri" w:cs="Calibri"/>
          <w:lang w:val="lt-LT"/>
        </w:rPr>
        <w:t>Prevencine tvarka peržiūrėjusi Pirkimo dokumentus, susipažinusi su Perkančiosios organizacijos atsakymais į Tarnybos pateiktus klausimus bei įvertinusi viešai Centrinėje viešųjų pirkimų informacinėje sistemoje (toliau – CVP IS) skelbiamą informaciją, atsižvelgdama į galiojantį teisinį reglamentavimą, Tarnyba teikia rekomendacijas dėl Pirkimo dokumentų nuostatų (toliau – Rekomendacija).</w:t>
      </w:r>
    </w:p>
    <w:p w14:paraId="033D0ECB" w14:textId="77777777" w:rsidR="00566434" w:rsidRPr="00F0625E" w:rsidRDefault="00566434" w:rsidP="00F0625E">
      <w:pPr>
        <w:tabs>
          <w:tab w:val="left" w:pos="567"/>
          <w:tab w:val="left" w:pos="851"/>
        </w:tabs>
        <w:spacing w:after="0" w:line="276" w:lineRule="auto"/>
        <w:ind w:firstLine="624"/>
        <w:rPr>
          <w:rFonts w:ascii="Calibri" w:hAnsi="Calibri" w:cs="Calibri"/>
          <w:lang w:val="lt-LT"/>
        </w:rPr>
      </w:pPr>
    </w:p>
    <w:p w14:paraId="50594A01" w14:textId="5A093DCD" w:rsidR="0012338C" w:rsidRPr="00F0625E" w:rsidRDefault="00A94E03" w:rsidP="00F0625E">
      <w:pPr>
        <w:pStyle w:val="ListParagraph"/>
        <w:numPr>
          <w:ilvl w:val="0"/>
          <w:numId w:val="7"/>
        </w:numPr>
        <w:tabs>
          <w:tab w:val="left" w:pos="567"/>
          <w:tab w:val="left" w:pos="851"/>
        </w:tabs>
        <w:spacing w:after="0" w:line="276" w:lineRule="auto"/>
        <w:ind w:left="0" w:firstLine="624"/>
        <w:rPr>
          <w:rFonts w:ascii="Calibri" w:hAnsi="Calibri" w:cs="Calibri"/>
          <w:lang w:val="lt-LT"/>
        </w:rPr>
      </w:pPr>
      <w:r w:rsidRPr="00F0625E">
        <w:rPr>
          <w:rFonts w:ascii="Calibri" w:hAnsi="Calibri" w:cs="Calibri"/>
          <w:lang w:val="lt-LT"/>
        </w:rPr>
        <w:t>Pirkimo sąlygose (pvz., 1.8</w:t>
      </w:r>
      <w:r w:rsidR="00746D84" w:rsidRPr="00F0625E">
        <w:rPr>
          <w:rFonts w:ascii="Calibri" w:hAnsi="Calibri" w:cs="Calibri"/>
          <w:lang w:val="lt-LT"/>
        </w:rPr>
        <w:t>,</w:t>
      </w:r>
      <w:r w:rsidRPr="00F0625E">
        <w:rPr>
          <w:rFonts w:ascii="Calibri" w:hAnsi="Calibri" w:cs="Calibri"/>
          <w:lang w:val="lt-LT"/>
        </w:rPr>
        <w:t xml:space="preserve"> 3.7</w:t>
      </w:r>
      <w:r w:rsidR="00B64C76" w:rsidRPr="00F0625E">
        <w:rPr>
          <w:rFonts w:ascii="Calibri" w:hAnsi="Calibri" w:cs="Calibri"/>
          <w:lang w:val="lt-LT"/>
        </w:rPr>
        <w:t xml:space="preserve"> ar</w:t>
      </w:r>
      <w:r w:rsidR="00746D84" w:rsidRPr="00F0625E">
        <w:rPr>
          <w:rFonts w:ascii="Calibri" w:hAnsi="Calibri" w:cs="Calibri"/>
          <w:lang w:val="lt-LT"/>
        </w:rPr>
        <w:t xml:space="preserve"> </w:t>
      </w:r>
      <w:r w:rsidR="00155D91" w:rsidRPr="00F0625E">
        <w:rPr>
          <w:rFonts w:ascii="Calibri" w:hAnsi="Calibri" w:cs="Calibri"/>
          <w:lang w:val="lt-LT"/>
        </w:rPr>
        <w:t xml:space="preserve">9.5 </w:t>
      </w:r>
      <w:r w:rsidRPr="00F0625E">
        <w:rPr>
          <w:rFonts w:ascii="Calibri" w:hAnsi="Calibri" w:cs="Calibri"/>
          <w:lang w:val="lt-LT"/>
        </w:rPr>
        <w:t>papunkčiuose) nustatyta, kad bendravimas</w:t>
      </w:r>
      <w:r w:rsidR="00362E2C">
        <w:rPr>
          <w:rFonts w:ascii="Calibri" w:hAnsi="Calibri" w:cs="Calibri"/>
          <w:lang w:val="lt-LT"/>
        </w:rPr>
        <w:t xml:space="preserve"> ir keitimasis</w:t>
      </w:r>
      <w:r w:rsidRPr="00F0625E">
        <w:rPr>
          <w:rFonts w:ascii="Calibri" w:hAnsi="Calibri" w:cs="Calibri"/>
          <w:lang w:val="lt-LT"/>
        </w:rPr>
        <w:t xml:space="preserve"> informacij</w:t>
      </w:r>
      <w:r w:rsidR="006D6E02">
        <w:rPr>
          <w:rFonts w:ascii="Calibri" w:hAnsi="Calibri" w:cs="Calibri"/>
          <w:lang w:val="lt-LT"/>
        </w:rPr>
        <w:t>a</w:t>
      </w:r>
      <w:r w:rsidR="00237D49" w:rsidRPr="00F0625E">
        <w:rPr>
          <w:rFonts w:ascii="Calibri" w:hAnsi="Calibri" w:cs="Calibri"/>
          <w:lang w:val="lt-LT"/>
        </w:rPr>
        <w:t>, paraiškos</w:t>
      </w:r>
      <w:r w:rsidR="006F2250">
        <w:rPr>
          <w:rFonts w:ascii="Calibri" w:hAnsi="Calibri" w:cs="Calibri"/>
          <w:lang w:val="lt-LT"/>
        </w:rPr>
        <w:t>, pasiūlymų</w:t>
      </w:r>
      <w:r w:rsidRPr="00F0625E">
        <w:rPr>
          <w:rFonts w:ascii="Calibri" w:hAnsi="Calibri" w:cs="Calibri"/>
          <w:lang w:val="lt-LT"/>
        </w:rPr>
        <w:t xml:space="preserve"> ir </w:t>
      </w:r>
      <w:r w:rsidR="00237D49" w:rsidRPr="00F0625E">
        <w:rPr>
          <w:rFonts w:ascii="Calibri" w:hAnsi="Calibri" w:cs="Calibri"/>
          <w:lang w:val="lt-LT"/>
        </w:rPr>
        <w:t xml:space="preserve">kitų </w:t>
      </w:r>
      <w:r w:rsidRPr="00F0625E">
        <w:rPr>
          <w:rFonts w:ascii="Calibri" w:hAnsi="Calibri" w:cs="Calibri"/>
          <w:lang w:val="lt-LT"/>
        </w:rPr>
        <w:t>dokumentų pateikimas vyksta lietuvių arba anglų kalba, o kita kalba parengti dokumentai turi būti pateikiami su tinkamai patvirtintu vertimu</w:t>
      </w:r>
      <w:r w:rsidR="006A2CC5">
        <w:rPr>
          <w:rFonts w:ascii="Calibri" w:hAnsi="Calibri" w:cs="Calibri"/>
          <w:lang w:val="lt-LT"/>
        </w:rPr>
        <w:t xml:space="preserve"> į </w:t>
      </w:r>
      <w:r w:rsidR="006A2CC5" w:rsidRPr="006A2CC5">
        <w:rPr>
          <w:rFonts w:ascii="Calibri" w:hAnsi="Calibri" w:cs="Calibri"/>
          <w:lang w:val="lt-LT"/>
        </w:rPr>
        <w:t>lietuvių arba anglų kalbą</w:t>
      </w:r>
      <w:r w:rsidRPr="00F0625E">
        <w:rPr>
          <w:rFonts w:ascii="Calibri" w:hAnsi="Calibri" w:cs="Calibri"/>
          <w:lang w:val="lt-LT"/>
        </w:rPr>
        <w:t xml:space="preserve">. Pirkimo sąlygų </w:t>
      </w:r>
      <w:r w:rsidR="009C4D01" w:rsidRPr="00F0625E">
        <w:rPr>
          <w:rFonts w:ascii="Calibri" w:hAnsi="Calibri" w:cs="Calibri"/>
          <w:lang w:val="lt-LT"/>
        </w:rPr>
        <w:t>8</w:t>
      </w:r>
      <w:r w:rsidRPr="00F0625E">
        <w:rPr>
          <w:rFonts w:ascii="Calibri" w:hAnsi="Calibri" w:cs="Calibri"/>
          <w:lang w:val="lt-LT"/>
        </w:rPr>
        <w:t xml:space="preserve"> pried</w:t>
      </w:r>
      <w:r w:rsidR="0037499D" w:rsidRPr="00F0625E">
        <w:rPr>
          <w:rFonts w:ascii="Calibri" w:hAnsi="Calibri" w:cs="Calibri"/>
          <w:lang w:val="lt-LT"/>
        </w:rPr>
        <w:t>as</w:t>
      </w:r>
      <w:r w:rsidRPr="00F0625E">
        <w:rPr>
          <w:rFonts w:ascii="Calibri" w:hAnsi="Calibri" w:cs="Calibri"/>
          <w:lang w:val="lt-LT"/>
        </w:rPr>
        <w:t xml:space="preserve"> „P</w:t>
      </w:r>
      <w:r w:rsidR="000942A2" w:rsidRPr="00F0625E">
        <w:rPr>
          <w:rFonts w:ascii="Calibri" w:hAnsi="Calibri" w:cs="Calibri"/>
          <w:lang w:val="lt-LT"/>
        </w:rPr>
        <w:t>aslaugų</w:t>
      </w:r>
      <w:r w:rsidRPr="00F0625E">
        <w:rPr>
          <w:rFonts w:ascii="Calibri" w:hAnsi="Calibri" w:cs="Calibri"/>
          <w:lang w:val="lt-LT"/>
        </w:rPr>
        <w:t xml:space="preserve"> pirkimo</w:t>
      </w:r>
      <w:r w:rsidR="000942A2" w:rsidRPr="00F0625E">
        <w:rPr>
          <w:rFonts w:ascii="Calibri" w:hAnsi="Calibri" w:cs="Calibri"/>
          <w:lang w:val="lt-LT"/>
        </w:rPr>
        <w:t>-pardavimo</w:t>
      </w:r>
      <w:r w:rsidRPr="00F0625E">
        <w:rPr>
          <w:rFonts w:ascii="Calibri" w:hAnsi="Calibri" w:cs="Calibri"/>
          <w:lang w:val="lt-LT"/>
        </w:rPr>
        <w:t xml:space="preserve"> sutarties projektas“ (toliau</w:t>
      </w:r>
      <w:r w:rsidR="008D28D4" w:rsidRPr="00F0625E">
        <w:rPr>
          <w:rFonts w:ascii="Calibri" w:hAnsi="Calibri" w:cs="Calibri"/>
          <w:lang w:val="lt-LT"/>
        </w:rPr>
        <w:t xml:space="preserve"> – </w:t>
      </w:r>
      <w:r w:rsidRPr="00F0625E">
        <w:rPr>
          <w:rFonts w:ascii="Calibri" w:hAnsi="Calibri" w:cs="Calibri"/>
          <w:lang w:val="lt-LT"/>
        </w:rPr>
        <w:t xml:space="preserve">Sutartis) </w:t>
      </w:r>
      <w:r w:rsidR="008F5624" w:rsidRPr="00F0625E">
        <w:rPr>
          <w:rFonts w:ascii="Calibri" w:hAnsi="Calibri" w:cs="Calibri"/>
          <w:lang w:val="lt-LT"/>
        </w:rPr>
        <w:t xml:space="preserve">yra parengtas dviem kalbomis – lietuvių ir anglų, </w:t>
      </w:r>
      <w:r w:rsidR="00EB1441" w:rsidRPr="00F0625E">
        <w:rPr>
          <w:rFonts w:ascii="Calibri" w:hAnsi="Calibri" w:cs="Calibri"/>
          <w:lang w:val="lt-LT"/>
        </w:rPr>
        <w:t xml:space="preserve">o Sutarties </w:t>
      </w:r>
      <w:r w:rsidR="00D11864" w:rsidRPr="00F0625E">
        <w:rPr>
          <w:rFonts w:ascii="Calibri" w:hAnsi="Calibri" w:cs="Calibri"/>
          <w:lang w:val="lt-LT"/>
        </w:rPr>
        <w:t>bendrosios dalies 15</w:t>
      </w:r>
      <w:r w:rsidR="0043197F" w:rsidRPr="00F0625E">
        <w:rPr>
          <w:rFonts w:ascii="Calibri" w:hAnsi="Calibri" w:cs="Calibri"/>
          <w:lang w:val="lt-LT"/>
        </w:rPr>
        <w:t>.1 papunktyje nurodyta, kad</w:t>
      </w:r>
      <w:r w:rsidR="00485EE7" w:rsidRPr="00F0625E">
        <w:rPr>
          <w:rFonts w:ascii="Calibri" w:hAnsi="Calibri" w:cs="Calibri"/>
          <w:lang w:val="lt-LT"/>
        </w:rPr>
        <w:t>: „</w:t>
      </w:r>
      <w:r w:rsidR="004D2B32" w:rsidRPr="00F0625E">
        <w:rPr>
          <w:rFonts w:ascii="Calibri" w:hAnsi="Calibri" w:cs="Calibri"/>
          <w:lang w:val="lt-LT"/>
        </w:rPr>
        <w:t xml:space="preserve"> &lt;…&gt; </w:t>
      </w:r>
      <w:r w:rsidR="00566434" w:rsidRPr="00F0625E">
        <w:rPr>
          <w:rFonts w:ascii="Calibri" w:hAnsi="Calibri" w:cs="Calibri"/>
          <w:lang w:val="lt-LT"/>
        </w:rPr>
        <w:t>Abu tekstai autentiški ir turi vienodą teisinę galią. Atsiradus neatitikimams tarp tekstų lietuvių ir anglų kalbomis, pirmenybė teikiama tekstui anglų kalba.</w:t>
      </w:r>
      <w:r w:rsidR="004D2B32" w:rsidRPr="00F0625E">
        <w:rPr>
          <w:rFonts w:ascii="Calibri" w:hAnsi="Calibri" w:cs="Calibri"/>
          <w:lang w:val="lt-LT"/>
        </w:rPr>
        <w:t>“</w:t>
      </w:r>
      <w:r w:rsidR="00F26404" w:rsidRPr="00F0625E">
        <w:rPr>
          <w:rFonts w:ascii="Calibri" w:hAnsi="Calibri" w:cs="Calibri"/>
          <w:lang w:val="lt-LT"/>
        </w:rPr>
        <w:t xml:space="preserve"> </w:t>
      </w:r>
      <w:r w:rsidRPr="00F0625E">
        <w:rPr>
          <w:rFonts w:ascii="Calibri" w:hAnsi="Calibri" w:cs="Calibri"/>
          <w:lang w:val="lt-LT"/>
        </w:rPr>
        <w:t>Tačiau skelbime apie Pirkimą (5.1.11 ir 5.1.12 papunkčiuose) nurodyta tik lietuvių kalba. Atsižvelgiant į tai, kad pagal Įstatymo 24 straipsnio 5 ir 6 dalis skelbimas yra sudedamoji pirkimo dokumentų dalis, o pirkimo dokumentai turi būti aiškūs, tikslūs ir nedviprasmiški</w:t>
      </w:r>
      <w:r w:rsidR="00222262" w:rsidRPr="00F0625E">
        <w:rPr>
          <w:rFonts w:ascii="Calibri" w:hAnsi="Calibri" w:cs="Calibri"/>
          <w:lang w:val="lt-LT"/>
        </w:rPr>
        <w:t xml:space="preserve"> ir</w:t>
      </w:r>
      <w:r w:rsidRPr="00F0625E">
        <w:rPr>
          <w:rFonts w:ascii="Calibri" w:hAnsi="Calibri" w:cs="Calibri"/>
          <w:lang w:val="lt-LT"/>
        </w:rPr>
        <w:t xml:space="preserve"> į tai, kad CVP IS priemonėmis Pirkimo dokumentai yra pateikti lietuvių ir anglų kalbomis</w:t>
      </w:r>
      <w:r w:rsidR="0075340E" w:rsidRPr="00F0625E">
        <w:rPr>
          <w:rFonts w:ascii="Calibri" w:hAnsi="Calibri" w:cs="Calibri"/>
          <w:lang w:val="lt-LT"/>
        </w:rPr>
        <w:t xml:space="preserve">, </w:t>
      </w:r>
      <w:r w:rsidRPr="001B799D">
        <w:rPr>
          <w:rFonts w:ascii="Calibri" w:hAnsi="Calibri" w:cs="Calibri"/>
          <w:lang w:val="lt-LT"/>
        </w:rPr>
        <w:t xml:space="preserve">rekomenduojama </w:t>
      </w:r>
      <w:r w:rsidR="006A2CC5" w:rsidRPr="00BB357F">
        <w:rPr>
          <w:rFonts w:ascii="Calibri" w:hAnsi="Calibri" w:cs="Calibri"/>
          <w:lang w:val="lt-LT"/>
        </w:rPr>
        <w:t>tikslinti</w:t>
      </w:r>
      <w:r w:rsidR="0018233D" w:rsidRPr="001B799D">
        <w:rPr>
          <w:rFonts w:ascii="Calibri" w:hAnsi="Calibri" w:cs="Calibri"/>
          <w:lang w:val="lt-LT"/>
        </w:rPr>
        <w:t xml:space="preserve"> </w:t>
      </w:r>
      <w:r w:rsidR="00084EDD" w:rsidRPr="001B799D">
        <w:rPr>
          <w:rFonts w:ascii="Calibri" w:hAnsi="Calibri" w:cs="Calibri"/>
          <w:lang w:val="lt-LT"/>
        </w:rPr>
        <w:t>skelbimo</w:t>
      </w:r>
      <w:r w:rsidR="00084EDD" w:rsidRPr="00F0625E">
        <w:rPr>
          <w:rFonts w:ascii="Calibri" w:hAnsi="Calibri" w:cs="Calibri"/>
          <w:lang w:val="lt-LT"/>
        </w:rPr>
        <w:t xml:space="preserve"> informaciją</w:t>
      </w:r>
      <w:r w:rsidR="00B41CCD">
        <w:rPr>
          <w:rFonts w:ascii="Calibri" w:hAnsi="Calibri" w:cs="Calibri"/>
          <w:lang w:val="lt-LT"/>
        </w:rPr>
        <w:t xml:space="preserve"> – papildomai </w:t>
      </w:r>
      <w:r w:rsidR="00B67B1D" w:rsidRPr="00F0625E">
        <w:rPr>
          <w:rFonts w:ascii="Calibri" w:hAnsi="Calibri" w:cs="Calibri"/>
          <w:lang w:val="lt-LT"/>
        </w:rPr>
        <w:t>nurodyti</w:t>
      </w:r>
      <w:r w:rsidR="00717E46" w:rsidRPr="00F0625E">
        <w:rPr>
          <w:rFonts w:ascii="Calibri" w:hAnsi="Calibri" w:cs="Calibri"/>
          <w:lang w:val="lt-LT"/>
        </w:rPr>
        <w:t xml:space="preserve">, kad </w:t>
      </w:r>
      <w:r w:rsidR="00DA418C" w:rsidRPr="00F0625E">
        <w:rPr>
          <w:rFonts w:ascii="Calibri" w:hAnsi="Calibri" w:cs="Calibri"/>
          <w:lang w:val="lt-LT"/>
        </w:rPr>
        <w:t xml:space="preserve">šiame Pirkime </w:t>
      </w:r>
      <w:r w:rsidRPr="00F0625E">
        <w:rPr>
          <w:rFonts w:ascii="Calibri" w:hAnsi="Calibri" w:cs="Calibri"/>
          <w:lang w:val="lt-LT"/>
        </w:rPr>
        <w:t>dokument</w:t>
      </w:r>
      <w:r w:rsidR="00740887">
        <w:rPr>
          <w:rFonts w:ascii="Calibri" w:hAnsi="Calibri" w:cs="Calibri"/>
          <w:lang w:val="lt-LT"/>
        </w:rPr>
        <w:t>ai</w:t>
      </w:r>
      <w:r w:rsidRPr="00F0625E">
        <w:rPr>
          <w:rFonts w:ascii="Calibri" w:hAnsi="Calibri" w:cs="Calibri"/>
          <w:lang w:val="lt-LT"/>
        </w:rPr>
        <w:t xml:space="preserve"> ir </w:t>
      </w:r>
      <w:r w:rsidR="005D7016">
        <w:rPr>
          <w:rFonts w:ascii="Calibri" w:hAnsi="Calibri" w:cs="Calibri"/>
          <w:lang w:val="lt-LT"/>
        </w:rPr>
        <w:t xml:space="preserve">pasiūlymai </w:t>
      </w:r>
      <w:r w:rsidRPr="00F0625E">
        <w:rPr>
          <w:rFonts w:ascii="Calibri" w:hAnsi="Calibri" w:cs="Calibri"/>
          <w:lang w:val="lt-LT"/>
        </w:rPr>
        <w:t>teiki</w:t>
      </w:r>
      <w:r w:rsidR="005F66E0">
        <w:rPr>
          <w:rFonts w:ascii="Calibri" w:hAnsi="Calibri" w:cs="Calibri"/>
          <w:lang w:val="lt-LT"/>
        </w:rPr>
        <w:t>ami</w:t>
      </w:r>
      <w:r w:rsidRPr="00F0625E">
        <w:rPr>
          <w:rFonts w:ascii="Calibri" w:hAnsi="Calibri" w:cs="Calibri"/>
          <w:lang w:val="lt-LT"/>
        </w:rPr>
        <w:t xml:space="preserve"> </w:t>
      </w:r>
      <w:r w:rsidR="00B41CCD">
        <w:rPr>
          <w:rFonts w:ascii="Calibri" w:hAnsi="Calibri" w:cs="Calibri"/>
          <w:lang w:val="lt-LT"/>
        </w:rPr>
        <w:t>ir</w:t>
      </w:r>
      <w:r w:rsidRPr="00F0625E">
        <w:rPr>
          <w:rFonts w:ascii="Calibri" w:hAnsi="Calibri" w:cs="Calibri"/>
          <w:lang w:val="lt-LT"/>
        </w:rPr>
        <w:t xml:space="preserve"> anglų kalb</w:t>
      </w:r>
      <w:r w:rsidR="001B799D">
        <w:rPr>
          <w:rFonts w:ascii="Calibri" w:hAnsi="Calibri" w:cs="Calibri"/>
          <w:lang w:val="lt-LT"/>
        </w:rPr>
        <w:t>a</w:t>
      </w:r>
      <w:r w:rsidRPr="00F0625E">
        <w:rPr>
          <w:rFonts w:ascii="Calibri" w:hAnsi="Calibri" w:cs="Calibri"/>
          <w:lang w:val="lt-LT"/>
        </w:rPr>
        <w:t>.</w:t>
      </w:r>
    </w:p>
    <w:p w14:paraId="27F4308D" w14:textId="77777777" w:rsidR="00EA323B" w:rsidRPr="00BB1287" w:rsidRDefault="00EA323B" w:rsidP="00BB1287">
      <w:pPr>
        <w:tabs>
          <w:tab w:val="left" w:pos="142"/>
          <w:tab w:val="left" w:pos="567"/>
          <w:tab w:val="left" w:pos="851"/>
          <w:tab w:val="left" w:pos="1134"/>
          <w:tab w:val="left" w:pos="1276"/>
        </w:tabs>
        <w:spacing w:after="0" w:line="276" w:lineRule="auto"/>
        <w:rPr>
          <w:rFonts w:eastAsia="Calibri" w:cstheme="minorHAnsi"/>
          <w:lang w:val="lt-LT"/>
        </w:rPr>
      </w:pPr>
    </w:p>
    <w:p w14:paraId="2651623F" w14:textId="2790BC48" w:rsidR="00D300CF" w:rsidRPr="00F0625E" w:rsidRDefault="0039747B" w:rsidP="00F0625E">
      <w:pPr>
        <w:pStyle w:val="ListParagraph"/>
        <w:numPr>
          <w:ilvl w:val="0"/>
          <w:numId w:val="7"/>
        </w:numPr>
        <w:tabs>
          <w:tab w:val="left" w:pos="142"/>
          <w:tab w:val="left" w:pos="567"/>
          <w:tab w:val="left" w:pos="851"/>
          <w:tab w:val="left" w:pos="1134"/>
          <w:tab w:val="left" w:pos="1276"/>
        </w:tabs>
        <w:spacing w:after="0" w:line="276" w:lineRule="auto"/>
        <w:ind w:left="0" w:firstLine="624"/>
        <w:rPr>
          <w:rFonts w:ascii="Calibri" w:eastAsia="Calibri" w:hAnsi="Calibri" w:cs="Calibri"/>
          <w:lang w:val="lt-LT"/>
        </w:rPr>
      </w:pPr>
      <w:r w:rsidRPr="00F0625E">
        <w:rPr>
          <w:rFonts w:ascii="Calibri" w:eastAsia="Calibri" w:hAnsi="Calibri" w:cs="Calibri"/>
          <w:lang w:val="lt-LT"/>
        </w:rPr>
        <w:t>Sutart</w:t>
      </w:r>
      <w:r w:rsidR="006221C2" w:rsidRPr="00F0625E">
        <w:rPr>
          <w:rFonts w:ascii="Calibri" w:eastAsia="Calibri" w:hAnsi="Calibri" w:cs="Calibri"/>
          <w:lang w:val="lt-LT"/>
        </w:rPr>
        <w:t>ies</w:t>
      </w:r>
      <w:r w:rsidRPr="00F0625E">
        <w:rPr>
          <w:rFonts w:ascii="Calibri" w:eastAsia="Calibri" w:hAnsi="Calibri" w:cs="Calibri"/>
          <w:lang w:val="lt-LT"/>
        </w:rPr>
        <w:t xml:space="preserve"> </w:t>
      </w:r>
      <w:r w:rsidR="006221C2" w:rsidRPr="00F0625E">
        <w:rPr>
          <w:rFonts w:ascii="Calibri" w:eastAsia="Calibri" w:hAnsi="Calibri" w:cs="Calibri"/>
          <w:lang w:val="lt-LT"/>
        </w:rPr>
        <w:t>b</w:t>
      </w:r>
      <w:r w:rsidRPr="00F0625E">
        <w:rPr>
          <w:rFonts w:ascii="Calibri" w:eastAsia="Calibri" w:hAnsi="Calibri" w:cs="Calibri"/>
          <w:lang w:val="lt-LT"/>
        </w:rPr>
        <w:t>endrųjų sąlygų 9.2 papunktyje nurodyta, kad Pirkėjas turi teisę (atitinkamai įspėjęs tiekėją) vienašališkai nutraukti Sutartį dėl esminio Sutarties pažeidimo. Vienu iš esminiu Sutarties pažeidimu būtų laikoma, jeigu Sutarties galiojimo laikotarpiu Tiekėjas yra įtraukiamas į Nepatikimų tiekėjų ar Melagingą informaciją pateikusių tiekėjų sąrašus;</w:t>
      </w:r>
    </w:p>
    <w:p w14:paraId="0E6F28A8" w14:textId="441F902B" w:rsidR="0039747B" w:rsidRPr="00F0625E" w:rsidRDefault="0039747B" w:rsidP="00F0625E">
      <w:pPr>
        <w:tabs>
          <w:tab w:val="left" w:pos="142"/>
          <w:tab w:val="left" w:pos="567"/>
          <w:tab w:val="left" w:pos="851"/>
          <w:tab w:val="left" w:pos="1134"/>
          <w:tab w:val="left" w:pos="1276"/>
        </w:tabs>
        <w:spacing w:after="0" w:line="276" w:lineRule="auto"/>
        <w:ind w:firstLine="624"/>
        <w:rPr>
          <w:rFonts w:ascii="Calibri" w:eastAsia="Calibri" w:hAnsi="Calibri" w:cs="Calibri"/>
          <w:lang w:val="lt-LT"/>
        </w:rPr>
      </w:pPr>
      <w:r w:rsidRPr="00F0625E">
        <w:rPr>
          <w:rFonts w:ascii="Calibri" w:eastAsia="Calibri" w:hAnsi="Calibri" w:cs="Calibri"/>
          <w:lang w:val="lt-LT"/>
        </w:rPr>
        <w:t xml:space="preserve">Atkreiptinas dėmesys, kad Įstatymo 55 straipsnio 4 dalyje nurodyta: „Šiame straipsnyje nurodytos informacijos paskelbimo tikslas – informuoti perkančiąsias organizacijas, perkančiuosius subjektus ar suteikiančiąsias institucijas apie pirkimo sutarties neįvykdžiusius ar netinkamai ją įvykdžiusius tiekėjus.“ Pažymėtina, kad </w:t>
      </w:r>
      <w:r w:rsidR="00B15E93">
        <w:rPr>
          <w:rFonts w:ascii="Calibri" w:eastAsia="Calibri" w:hAnsi="Calibri" w:cs="Calibri"/>
          <w:lang w:val="lt-LT"/>
        </w:rPr>
        <w:t>t</w:t>
      </w:r>
      <w:r w:rsidRPr="00F0625E">
        <w:rPr>
          <w:rFonts w:ascii="Calibri" w:eastAsia="Calibri" w:hAnsi="Calibri" w:cs="Calibri"/>
          <w:lang w:val="lt-LT"/>
        </w:rPr>
        <w:t xml:space="preserve">iekėjo įtraukimas į tam tikrą sąrašą, pvz., Nepatikimų tiekėjų sąrašą, savaime dar nereiškia automatinio pasiūlymo atmetimo ar sutarties nutraukimo. Perkančioji organizacija turi įvertinti tiekėjo padarytą esminį sutarties pažeidimą bei </w:t>
      </w:r>
      <w:r w:rsidRPr="00F0625E">
        <w:rPr>
          <w:rFonts w:ascii="Calibri" w:eastAsia="Calibri" w:hAnsi="Calibri" w:cs="Calibri"/>
          <w:lang w:val="lt-LT"/>
        </w:rPr>
        <w:lastRenderedPageBreak/>
        <w:t xml:space="preserve">jo galimą įtaką sutarties vykdymui, ar tiekėjo pašalinimas iš pirkimo procedūros proporcingas vertinamam tiekėjo elgesiui. Pažymėtina, kad </w:t>
      </w:r>
      <w:r w:rsidR="00B15E93">
        <w:rPr>
          <w:rFonts w:ascii="Calibri" w:eastAsia="Calibri" w:hAnsi="Calibri" w:cs="Calibri"/>
          <w:lang w:val="lt-LT"/>
        </w:rPr>
        <w:t>p</w:t>
      </w:r>
      <w:r w:rsidRPr="00F0625E">
        <w:rPr>
          <w:rFonts w:ascii="Calibri" w:eastAsia="Calibri" w:hAnsi="Calibri" w:cs="Calibri"/>
          <w:lang w:val="lt-LT"/>
        </w:rPr>
        <w:t xml:space="preserve">irkimo vykdytojas nėra automatiškai saistomas kito pirkimo vykdytojo per ankstesnį viešąjį pirkimą atlikto vertinimo bei priimto sprendimo (žr. ESTT sprendimą byloje Nr. C 267/18 Compania Naţională de Administrare a Infrastructurii Rutiere SA), o kiekvienu atveju sprendimus turi priimti savarankiškai. Pirkimo vykdytojui – ir tik jam – yra Įstatymu suteikti įgaliojimai įvertinti kiekvieno dalyvio sąžiningumą ir patikimumą ir, atsižvelgiant į proporcingumo principą, nuspręsti, ar tiekėjas turi būti pašalintas iš viešojo pirkimo procedūros. Taigi, tiekėjo įtraukimas į Nepatikimų tiekėjų sąrašą, buvimas jame, teismo patvirtinta taikos sutartis iš jo išbraukiant tiekėją yra tik informacija pirkimo vykdytojams apie pirkimo sutarties neįvykdžiusius ar netinkamai ją įvykdžiusius tiekėjus. </w:t>
      </w:r>
    </w:p>
    <w:p w14:paraId="59777505" w14:textId="1D094590" w:rsidR="0039747B" w:rsidRDefault="0039747B" w:rsidP="00F0625E">
      <w:pPr>
        <w:tabs>
          <w:tab w:val="left" w:pos="142"/>
          <w:tab w:val="left" w:pos="567"/>
          <w:tab w:val="left" w:pos="851"/>
          <w:tab w:val="left" w:pos="1134"/>
          <w:tab w:val="left" w:pos="1276"/>
        </w:tabs>
        <w:spacing w:after="0" w:line="276" w:lineRule="auto"/>
        <w:ind w:firstLine="624"/>
        <w:rPr>
          <w:rFonts w:ascii="Calibri" w:eastAsia="Calibri" w:hAnsi="Calibri" w:cs="Calibri"/>
          <w:lang w:val="lt-LT"/>
        </w:rPr>
      </w:pPr>
      <w:r w:rsidRPr="00F0625E">
        <w:rPr>
          <w:rFonts w:ascii="Calibri" w:eastAsia="Calibri" w:hAnsi="Calibri" w:cs="Calibri"/>
          <w:lang w:val="lt-LT"/>
        </w:rPr>
        <w:t>Apibendrinant tai, kas išdėstyta, Tarnyba rekomenduoja pakartotinai įvertinti, ar tiekėjo įtraukimas į Nepatikimų tiekėjų ar Melagingą informaciją pateikusių tiekėjų sąrašus turi būti laikomas esminiu vykdomos Sutarties pažeidimu ir sąlyga nutraukti dėl to Sutartį yra proporcinga.</w:t>
      </w:r>
    </w:p>
    <w:p w14:paraId="2968D65F" w14:textId="77777777" w:rsidR="00BB1287" w:rsidRDefault="00BB1287" w:rsidP="00F0625E">
      <w:pPr>
        <w:tabs>
          <w:tab w:val="left" w:pos="142"/>
          <w:tab w:val="left" w:pos="567"/>
          <w:tab w:val="left" w:pos="851"/>
          <w:tab w:val="left" w:pos="1134"/>
          <w:tab w:val="left" w:pos="1276"/>
        </w:tabs>
        <w:spacing w:after="0" w:line="276" w:lineRule="auto"/>
        <w:ind w:firstLine="624"/>
        <w:rPr>
          <w:rFonts w:ascii="Calibri" w:eastAsia="Calibri" w:hAnsi="Calibri" w:cs="Calibri"/>
          <w:lang w:val="lt-LT"/>
        </w:rPr>
      </w:pPr>
    </w:p>
    <w:p w14:paraId="05BB2962" w14:textId="77777777" w:rsidR="00177E2E" w:rsidRPr="00BC4D4D" w:rsidRDefault="00177E2E" w:rsidP="00177E2E">
      <w:pPr>
        <w:pStyle w:val="ListParagraph"/>
        <w:numPr>
          <w:ilvl w:val="0"/>
          <w:numId w:val="7"/>
        </w:numPr>
        <w:tabs>
          <w:tab w:val="left" w:pos="142"/>
          <w:tab w:val="left" w:pos="567"/>
          <w:tab w:val="left" w:pos="851"/>
          <w:tab w:val="left" w:pos="1134"/>
          <w:tab w:val="left" w:pos="1276"/>
        </w:tabs>
        <w:spacing w:after="0" w:line="276" w:lineRule="auto"/>
        <w:ind w:left="0" w:firstLine="624"/>
        <w:rPr>
          <w:rFonts w:eastAsia="Calibri" w:cstheme="minorHAnsi"/>
          <w:lang w:val="lt-LT"/>
        </w:rPr>
      </w:pPr>
      <w:r>
        <w:rPr>
          <w:rFonts w:ascii="Calibri" w:hAnsi="Calibri" w:cs="Calibri"/>
          <w:lang w:val="lt-LT"/>
        </w:rPr>
        <w:t>Kiti pastebėjimai</w:t>
      </w:r>
    </w:p>
    <w:p w14:paraId="782F50C4" w14:textId="77777777" w:rsidR="00177E2E" w:rsidRPr="00F0625E" w:rsidRDefault="00177E2E" w:rsidP="00177E2E">
      <w:pPr>
        <w:pStyle w:val="ListParagraph"/>
        <w:tabs>
          <w:tab w:val="left" w:pos="142"/>
          <w:tab w:val="left" w:pos="567"/>
          <w:tab w:val="left" w:pos="851"/>
          <w:tab w:val="left" w:pos="1134"/>
          <w:tab w:val="left" w:pos="1276"/>
        </w:tabs>
        <w:spacing w:after="0" w:line="276" w:lineRule="auto"/>
        <w:ind w:left="0" w:firstLine="624"/>
        <w:rPr>
          <w:rFonts w:eastAsia="Calibri" w:cstheme="minorHAnsi"/>
          <w:lang w:val="lt-LT"/>
        </w:rPr>
      </w:pPr>
      <w:r w:rsidRPr="00F0625E">
        <w:rPr>
          <w:rFonts w:ascii="Calibri" w:hAnsi="Calibri" w:cs="Calibri"/>
          <w:lang w:val="lt-LT"/>
        </w:rPr>
        <w:t>Sutarties</w:t>
      </w:r>
      <w:r w:rsidRPr="00F0625E">
        <w:rPr>
          <w:rFonts w:ascii="Calibri" w:eastAsia="Calibri" w:hAnsi="Calibri" w:cs="Calibri"/>
          <w:lang w:val="lt-LT"/>
        </w:rPr>
        <w:t xml:space="preserve"> bendrosios dalies 2.7 papunktyje nurodyta: „Subtiekėjas, norėdamas, kad Pirkėjas tiesiogiai atsiskaitytų su juo raštu praneša Pirkėjui, kad pageidauja sudaryti tiesioginio atsiskaitymo sutartį. Kartu su prašymu sudaryti tiesioginio atsiskaitymo sutartį Subtiekėjas turi būti pateikti: &lt;...&gt; 2.7.3. Dokumentai įrodantys, kad nėra Viešųjų pirkimų įstatymo 46 straipsnio 1 dalyje nurodytų pagrindų“. Atkreiptinas dėmesys, kad Pirkimas vykdomas pagal Įstatymą.</w:t>
      </w:r>
    </w:p>
    <w:p w14:paraId="7A05A6E9" w14:textId="77777777" w:rsidR="00177E2E" w:rsidRPr="00F0625E" w:rsidRDefault="00177E2E" w:rsidP="00F0625E">
      <w:pPr>
        <w:tabs>
          <w:tab w:val="left" w:pos="142"/>
          <w:tab w:val="left" w:pos="567"/>
          <w:tab w:val="left" w:pos="851"/>
          <w:tab w:val="left" w:pos="1134"/>
          <w:tab w:val="left" w:pos="1276"/>
        </w:tabs>
        <w:spacing w:after="0" w:line="276" w:lineRule="auto"/>
        <w:ind w:firstLine="624"/>
        <w:rPr>
          <w:rFonts w:ascii="Calibri" w:eastAsia="Calibri" w:hAnsi="Calibri" w:cs="Calibri"/>
          <w:lang w:val="lt-LT"/>
        </w:rPr>
      </w:pPr>
    </w:p>
    <w:p w14:paraId="2AF6E052" w14:textId="77777777" w:rsidR="00543F5C" w:rsidRPr="00F0625E" w:rsidRDefault="00543F5C" w:rsidP="00F0625E">
      <w:pPr>
        <w:tabs>
          <w:tab w:val="left" w:pos="142"/>
          <w:tab w:val="left" w:pos="1134"/>
          <w:tab w:val="left" w:pos="1276"/>
        </w:tabs>
        <w:spacing w:after="0" w:line="276" w:lineRule="auto"/>
        <w:ind w:firstLine="624"/>
        <w:rPr>
          <w:rFonts w:eastAsia="Calibri" w:cstheme="minorHAnsi"/>
          <w:lang w:val="lt-LT"/>
        </w:rPr>
      </w:pPr>
    </w:p>
    <w:p w14:paraId="5E4204AB" w14:textId="77777777" w:rsidR="00870DB9" w:rsidRPr="002C10B8" w:rsidRDefault="00870DB9" w:rsidP="002C10B8">
      <w:pPr>
        <w:pStyle w:val="ListParagraph"/>
        <w:tabs>
          <w:tab w:val="left" w:pos="142"/>
          <w:tab w:val="left" w:pos="567"/>
          <w:tab w:val="left" w:pos="851"/>
          <w:tab w:val="left" w:pos="1134"/>
          <w:tab w:val="left" w:pos="1276"/>
        </w:tabs>
        <w:spacing w:after="0" w:line="276" w:lineRule="auto"/>
        <w:ind w:left="0" w:firstLine="624"/>
        <w:rPr>
          <w:rFonts w:ascii="Calibri" w:eastAsia="Calibri" w:hAnsi="Calibri" w:cs="Calibri"/>
          <w:lang w:val="lt-LT"/>
        </w:rPr>
      </w:pPr>
      <w:r w:rsidRPr="002C10B8">
        <w:rPr>
          <w:rFonts w:ascii="Calibri" w:eastAsia="Calibri" w:hAnsi="Calibri" w:cs="Calibri"/>
          <w:lang w:val="lt-LT"/>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ir pakeistais Pirkimo dokumentais.</w:t>
      </w:r>
    </w:p>
    <w:p w14:paraId="7F62A7ED" w14:textId="18104EFB" w:rsidR="00394448" w:rsidRPr="002C10B8" w:rsidRDefault="00394448" w:rsidP="002C10B8">
      <w:pPr>
        <w:pStyle w:val="ListParagraph"/>
        <w:tabs>
          <w:tab w:val="left" w:pos="142"/>
          <w:tab w:val="left" w:pos="567"/>
          <w:tab w:val="left" w:pos="851"/>
          <w:tab w:val="left" w:pos="1134"/>
          <w:tab w:val="left" w:pos="1276"/>
        </w:tabs>
        <w:spacing w:after="0" w:line="276" w:lineRule="auto"/>
        <w:ind w:left="0" w:firstLine="624"/>
        <w:rPr>
          <w:rFonts w:ascii="Calibri" w:eastAsia="Calibri" w:hAnsi="Calibri" w:cs="Calibri"/>
          <w:lang w:val="lt-LT"/>
        </w:rPr>
      </w:pPr>
      <w:r w:rsidRPr="002C10B8">
        <w:rPr>
          <w:rFonts w:ascii="Calibri" w:eastAsia="Calibri" w:hAnsi="Calibri" w:cs="Calibri"/>
          <w:lang w:val="lt-LT"/>
        </w:rPr>
        <w:t xml:space="preserve">Pažymėtina, kad visais atvejais sprendimą dėl tolimesnio Pirkimų procedūrų vykdymo ar nutraukimo priima pati Perkančioji organizacija, vadovaudamasi Įstatymo </w:t>
      </w:r>
      <w:r w:rsidR="000E4825" w:rsidRPr="002C10B8">
        <w:rPr>
          <w:rFonts w:ascii="Calibri" w:eastAsia="Calibri" w:hAnsi="Calibri" w:cs="Calibri"/>
          <w:lang w:val="lt-LT"/>
        </w:rPr>
        <w:t xml:space="preserve">81 </w:t>
      </w:r>
      <w:r w:rsidRPr="002C10B8">
        <w:rPr>
          <w:rFonts w:ascii="Calibri" w:eastAsia="Calibri" w:hAnsi="Calibri" w:cs="Calibri"/>
          <w:lang w:val="lt-LT"/>
        </w:rPr>
        <w:t xml:space="preserve">straipsnio 3 ir 4 dalimis. </w:t>
      </w:r>
    </w:p>
    <w:p w14:paraId="739A41A0" w14:textId="77777777" w:rsidR="00394448" w:rsidRPr="00F0625E" w:rsidRDefault="00394448" w:rsidP="00F0625E">
      <w:pPr>
        <w:pStyle w:val="ListParagraph"/>
        <w:tabs>
          <w:tab w:val="left" w:pos="851"/>
        </w:tabs>
        <w:spacing w:after="0" w:line="240" w:lineRule="auto"/>
        <w:ind w:left="0" w:firstLine="624"/>
        <w:rPr>
          <w:rFonts w:ascii="Calibri" w:hAnsi="Calibri" w:cs="Calibri"/>
          <w:color w:val="000000"/>
          <w:lang w:val="lt-LT"/>
        </w:rPr>
      </w:pPr>
    </w:p>
    <w:p w14:paraId="28BC0035" w14:textId="77777777" w:rsidR="00901E25" w:rsidRPr="00F0625E" w:rsidRDefault="00901E25" w:rsidP="001A4E09">
      <w:pPr>
        <w:tabs>
          <w:tab w:val="left" w:pos="142"/>
          <w:tab w:val="left" w:pos="1134"/>
          <w:tab w:val="left" w:pos="1276"/>
        </w:tabs>
        <w:spacing w:after="0" w:line="276" w:lineRule="auto"/>
        <w:rPr>
          <w:rFonts w:eastAsia="Calibri" w:cstheme="minorHAnsi"/>
          <w:lang w:val="pt-BR"/>
        </w:rPr>
      </w:pPr>
    </w:p>
    <w:p w14:paraId="191BB8FE" w14:textId="2B7285C7" w:rsidR="00901E25" w:rsidRPr="00F0625E" w:rsidRDefault="00901E25" w:rsidP="00F0625E">
      <w:pPr>
        <w:spacing w:after="0"/>
        <w:ind w:firstLine="624"/>
        <w:rPr>
          <w:lang w:val="pt-BR"/>
        </w:rPr>
      </w:pPr>
    </w:p>
    <w:sectPr w:rsidR="00901E25" w:rsidRPr="00F0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3A8"/>
    <w:multiLevelType w:val="multilevel"/>
    <w:tmpl w:val="D988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35C2B"/>
    <w:multiLevelType w:val="hybridMultilevel"/>
    <w:tmpl w:val="10308784"/>
    <w:lvl w:ilvl="0" w:tplc="604475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CBF0BE4"/>
    <w:multiLevelType w:val="hybridMultilevel"/>
    <w:tmpl w:val="11229A48"/>
    <w:lvl w:ilvl="0" w:tplc="83F6074A">
      <w:start w:val="1"/>
      <w:numFmt w:val="decimal"/>
      <w:lvlText w:val="%1."/>
      <w:lvlJc w:val="left"/>
      <w:pPr>
        <w:ind w:left="2770" w:hanging="360"/>
      </w:pPr>
      <w:rPr>
        <w:rFonts w:hint="default"/>
      </w:rPr>
    </w:lvl>
    <w:lvl w:ilvl="1" w:tplc="04270019">
      <w:start w:val="1"/>
      <w:numFmt w:val="lowerLetter"/>
      <w:lvlText w:val="%2."/>
      <w:lvlJc w:val="left"/>
      <w:pPr>
        <w:ind w:left="1704" w:hanging="360"/>
      </w:pPr>
    </w:lvl>
    <w:lvl w:ilvl="2" w:tplc="0427001B" w:tentative="1">
      <w:start w:val="1"/>
      <w:numFmt w:val="lowerRoman"/>
      <w:lvlText w:val="%3."/>
      <w:lvlJc w:val="right"/>
      <w:pPr>
        <w:ind w:left="2424" w:hanging="180"/>
      </w:pPr>
    </w:lvl>
    <w:lvl w:ilvl="3" w:tplc="0427000F" w:tentative="1">
      <w:start w:val="1"/>
      <w:numFmt w:val="decimal"/>
      <w:lvlText w:val="%4."/>
      <w:lvlJc w:val="left"/>
      <w:pPr>
        <w:ind w:left="3144" w:hanging="360"/>
      </w:pPr>
    </w:lvl>
    <w:lvl w:ilvl="4" w:tplc="04270019" w:tentative="1">
      <w:start w:val="1"/>
      <w:numFmt w:val="lowerLetter"/>
      <w:lvlText w:val="%5."/>
      <w:lvlJc w:val="left"/>
      <w:pPr>
        <w:ind w:left="3864" w:hanging="360"/>
      </w:pPr>
    </w:lvl>
    <w:lvl w:ilvl="5" w:tplc="0427001B" w:tentative="1">
      <w:start w:val="1"/>
      <w:numFmt w:val="lowerRoman"/>
      <w:lvlText w:val="%6."/>
      <w:lvlJc w:val="right"/>
      <w:pPr>
        <w:ind w:left="4584" w:hanging="180"/>
      </w:pPr>
    </w:lvl>
    <w:lvl w:ilvl="6" w:tplc="0427000F" w:tentative="1">
      <w:start w:val="1"/>
      <w:numFmt w:val="decimal"/>
      <w:lvlText w:val="%7."/>
      <w:lvlJc w:val="left"/>
      <w:pPr>
        <w:ind w:left="5304" w:hanging="360"/>
      </w:pPr>
    </w:lvl>
    <w:lvl w:ilvl="7" w:tplc="04270019" w:tentative="1">
      <w:start w:val="1"/>
      <w:numFmt w:val="lowerLetter"/>
      <w:lvlText w:val="%8."/>
      <w:lvlJc w:val="left"/>
      <w:pPr>
        <w:ind w:left="6024" w:hanging="360"/>
      </w:pPr>
    </w:lvl>
    <w:lvl w:ilvl="8" w:tplc="0427001B" w:tentative="1">
      <w:start w:val="1"/>
      <w:numFmt w:val="lowerRoman"/>
      <w:lvlText w:val="%9."/>
      <w:lvlJc w:val="right"/>
      <w:pPr>
        <w:ind w:left="6744" w:hanging="180"/>
      </w:pPr>
    </w:lvl>
  </w:abstractNum>
  <w:abstractNum w:abstractNumId="3" w15:restartNumberingAfterBreak="0">
    <w:nsid w:val="2C3C2815"/>
    <w:multiLevelType w:val="multilevel"/>
    <w:tmpl w:val="F30CC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40540F"/>
    <w:multiLevelType w:val="multilevel"/>
    <w:tmpl w:val="92E836B2"/>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 w15:restartNumberingAfterBreak="0">
    <w:nsid w:val="3EB7274E"/>
    <w:multiLevelType w:val="hybridMultilevel"/>
    <w:tmpl w:val="3BDCE4C8"/>
    <w:lvl w:ilvl="0" w:tplc="3F5297A6">
      <w:start w:val="1"/>
      <w:numFmt w:val="decimal"/>
      <w:lvlText w:val="%1."/>
      <w:lvlJc w:val="left"/>
      <w:pPr>
        <w:ind w:left="360" w:hanging="360"/>
      </w:pPr>
      <w:rPr>
        <w:rFonts w:hint="default"/>
        <w:color w:val="000000" w:themeColor="text1"/>
      </w:rPr>
    </w:lvl>
    <w:lvl w:ilvl="1" w:tplc="04270019" w:tentative="1">
      <w:start w:val="1"/>
      <w:numFmt w:val="lowerLetter"/>
      <w:lvlText w:val="%2."/>
      <w:lvlJc w:val="left"/>
      <w:pPr>
        <w:ind w:left="3490" w:hanging="360"/>
      </w:pPr>
    </w:lvl>
    <w:lvl w:ilvl="2" w:tplc="0427001B" w:tentative="1">
      <w:start w:val="1"/>
      <w:numFmt w:val="lowerRoman"/>
      <w:lvlText w:val="%3."/>
      <w:lvlJc w:val="right"/>
      <w:pPr>
        <w:ind w:left="4210" w:hanging="180"/>
      </w:pPr>
    </w:lvl>
    <w:lvl w:ilvl="3" w:tplc="0427000F" w:tentative="1">
      <w:start w:val="1"/>
      <w:numFmt w:val="decimal"/>
      <w:lvlText w:val="%4."/>
      <w:lvlJc w:val="left"/>
      <w:pPr>
        <w:ind w:left="4930" w:hanging="360"/>
      </w:pPr>
    </w:lvl>
    <w:lvl w:ilvl="4" w:tplc="04270019" w:tentative="1">
      <w:start w:val="1"/>
      <w:numFmt w:val="lowerLetter"/>
      <w:lvlText w:val="%5."/>
      <w:lvlJc w:val="left"/>
      <w:pPr>
        <w:ind w:left="5650" w:hanging="360"/>
      </w:pPr>
    </w:lvl>
    <w:lvl w:ilvl="5" w:tplc="0427001B" w:tentative="1">
      <w:start w:val="1"/>
      <w:numFmt w:val="lowerRoman"/>
      <w:lvlText w:val="%6."/>
      <w:lvlJc w:val="right"/>
      <w:pPr>
        <w:ind w:left="6370" w:hanging="180"/>
      </w:pPr>
    </w:lvl>
    <w:lvl w:ilvl="6" w:tplc="0427000F" w:tentative="1">
      <w:start w:val="1"/>
      <w:numFmt w:val="decimal"/>
      <w:lvlText w:val="%7."/>
      <w:lvlJc w:val="left"/>
      <w:pPr>
        <w:ind w:left="7090" w:hanging="360"/>
      </w:pPr>
    </w:lvl>
    <w:lvl w:ilvl="7" w:tplc="04270019" w:tentative="1">
      <w:start w:val="1"/>
      <w:numFmt w:val="lowerLetter"/>
      <w:lvlText w:val="%8."/>
      <w:lvlJc w:val="left"/>
      <w:pPr>
        <w:ind w:left="7810" w:hanging="360"/>
      </w:pPr>
    </w:lvl>
    <w:lvl w:ilvl="8" w:tplc="0427001B" w:tentative="1">
      <w:start w:val="1"/>
      <w:numFmt w:val="lowerRoman"/>
      <w:lvlText w:val="%9."/>
      <w:lvlJc w:val="right"/>
      <w:pPr>
        <w:ind w:left="8530" w:hanging="180"/>
      </w:pPr>
    </w:lvl>
  </w:abstractNum>
  <w:abstractNum w:abstractNumId="6" w15:restartNumberingAfterBreak="0">
    <w:nsid w:val="4DEA4075"/>
    <w:multiLevelType w:val="multilevel"/>
    <w:tmpl w:val="06402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8C4296"/>
    <w:multiLevelType w:val="multilevel"/>
    <w:tmpl w:val="3544C9C0"/>
    <w:lvl w:ilvl="0">
      <w:start w:val="1"/>
      <w:numFmt w:val="decimal"/>
      <w:lvlText w:val="%1."/>
      <w:lvlJc w:val="left"/>
      <w:pPr>
        <w:ind w:left="927" w:hanging="360"/>
      </w:pPr>
      <w:rPr>
        <w:rFonts w:hint="default"/>
        <w:b w:val="0"/>
        <w:bCs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8" w15:restartNumberingAfterBreak="0">
    <w:nsid w:val="6A436058"/>
    <w:multiLevelType w:val="multilevel"/>
    <w:tmpl w:val="CE02BA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5781283">
    <w:abstractNumId w:val="7"/>
  </w:num>
  <w:num w:numId="2" w16cid:durableId="1392190056">
    <w:abstractNumId w:val="3"/>
  </w:num>
  <w:num w:numId="3" w16cid:durableId="640304080">
    <w:abstractNumId w:val="0"/>
  </w:num>
  <w:num w:numId="4" w16cid:durableId="2111392301">
    <w:abstractNumId w:val="6"/>
  </w:num>
  <w:num w:numId="5" w16cid:durableId="590627428">
    <w:abstractNumId w:val="1"/>
  </w:num>
  <w:num w:numId="6" w16cid:durableId="551698480">
    <w:abstractNumId w:val="2"/>
  </w:num>
  <w:num w:numId="7" w16cid:durableId="765031358">
    <w:abstractNumId w:val="5"/>
  </w:num>
  <w:num w:numId="8" w16cid:durableId="85537106">
    <w:abstractNumId w:val="4"/>
  </w:num>
  <w:num w:numId="9" w16cid:durableId="877621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2B"/>
    <w:rsid w:val="0000300F"/>
    <w:rsid w:val="00024D7A"/>
    <w:rsid w:val="000266A0"/>
    <w:rsid w:val="0003665E"/>
    <w:rsid w:val="000434BE"/>
    <w:rsid w:val="00061D03"/>
    <w:rsid w:val="00084EDD"/>
    <w:rsid w:val="000942A2"/>
    <w:rsid w:val="00097F80"/>
    <w:rsid w:val="000A173F"/>
    <w:rsid w:val="000A474F"/>
    <w:rsid w:val="000C3940"/>
    <w:rsid w:val="000E2EC9"/>
    <w:rsid w:val="000E4825"/>
    <w:rsid w:val="000E5F08"/>
    <w:rsid w:val="0010345A"/>
    <w:rsid w:val="00112377"/>
    <w:rsid w:val="0012338C"/>
    <w:rsid w:val="00136F08"/>
    <w:rsid w:val="00144B1E"/>
    <w:rsid w:val="00155D91"/>
    <w:rsid w:val="001564C7"/>
    <w:rsid w:val="0015789F"/>
    <w:rsid w:val="001708EB"/>
    <w:rsid w:val="00174CBC"/>
    <w:rsid w:val="00174EBA"/>
    <w:rsid w:val="00177E2E"/>
    <w:rsid w:val="0018233D"/>
    <w:rsid w:val="0018501E"/>
    <w:rsid w:val="001A4E09"/>
    <w:rsid w:val="001B799D"/>
    <w:rsid w:val="001C6709"/>
    <w:rsid w:val="001E563A"/>
    <w:rsid w:val="001F18CD"/>
    <w:rsid w:val="0022101A"/>
    <w:rsid w:val="00222262"/>
    <w:rsid w:val="00226AD6"/>
    <w:rsid w:val="00235F5F"/>
    <w:rsid w:val="00236532"/>
    <w:rsid w:val="00237D49"/>
    <w:rsid w:val="00262919"/>
    <w:rsid w:val="00276A95"/>
    <w:rsid w:val="00292539"/>
    <w:rsid w:val="002A2DEA"/>
    <w:rsid w:val="002A5588"/>
    <w:rsid w:val="002C10B8"/>
    <w:rsid w:val="002C15EA"/>
    <w:rsid w:val="002C5B4C"/>
    <w:rsid w:val="002D1CFD"/>
    <w:rsid w:val="002D66B5"/>
    <w:rsid w:val="002E3FF0"/>
    <w:rsid w:val="002F1B51"/>
    <w:rsid w:val="003145B1"/>
    <w:rsid w:val="00316BAA"/>
    <w:rsid w:val="00316C9C"/>
    <w:rsid w:val="00322828"/>
    <w:rsid w:val="003236B0"/>
    <w:rsid w:val="0032554E"/>
    <w:rsid w:val="00327412"/>
    <w:rsid w:val="00327644"/>
    <w:rsid w:val="003447E1"/>
    <w:rsid w:val="00346C1D"/>
    <w:rsid w:val="00347824"/>
    <w:rsid w:val="00360F69"/>
    <w:rsid w:val="00362E2C"/>
    <w:rsid w:val="0036325C"/>
    <w:rsid w:val="00370D17"/>
    <w:rsid w:val="0037499D"/>
    <w:rsid w:val="00394448"/>
    <w:rsid w:val="0039747B"/>
    <w:rsid w:val="003A2FBD"/>
    <w:rsid w:val="003A6AFE"/>
    <w:rsid w:val="003C5B07"/>
    <w:rsid w:val="003D6056"/>
    <w:rsid w:val="003E3F98"/>
    <w:rsid w:val="003E6503"/>
    <w:rsid w:val="003F5EE7"/>
    <w:rsid w:val="0040266C"/>
    <w:rsid w:val="0043114C"/>
    <w:rsid w:val="0043197F"/>
    <w:rsid w:val="00435903"/>
    <w:rsid w:val="0044785B"/>
    <w:rsid w:val="00447A7E"/>
    <w:rsid w:val="0045795A"/>
    <w:rsid w:val="00471AA0"/>
    <w:rsid w:val="0047206F"/>
    <w:rsid w:val="00477975"/>
    <w:rsid w:val="00485EE7"/>
    <w:rsid w:val="004863F7"/>
    <w:rsid w:val="004C121D"/>
    <w:rsid w:val="004D04BA"/>
    <w:rsid w:val="004D19DC"/>
    <w:rsid w:val="004D2B32"/>
    <w:rsid w:val="0050522F"/>
    <w:rsid w:val="00512FF0"/>
    <w:rsid w:val="0051542B"/>
    <w:rsid w:val="00524F4A"/>
    <w:rsid w:val="00533637"/>
    <w:rsid w:val="00535108"/>
    <w:rsid w:val="00542310"/>
    <w:rsid w:val="00543F5C"/>
    <w:rsid w:val="00546E37"/>
    <w:rsid w:val="0056591C"/>
    <w:rsid w:val="00566434"/>
    <w:rsid w:val="00570806"/>
    <w:rsid w:val="00582BE9"/>
    <w:rsid w:val="00583318"/>
    <w:rsid w:val="00584415"/>
    <w:rsid w:val="00587FAE"/>
    <w:rsid w:val="00596E17"/>
    <w:rsid w:val="005A68EB"/>
    <w:rsid w:val="005B1398"/>
    <w:rsid w:val="005C55E9"/>
    <w:rsid w:val="005D7016"/>
    <w:rsid w:val="005F4E75"/>
    <w:rsid w:val="005F66E0"/>
    <w:rsid w:val="0060495C"/>
    <w:rsid w:val="00621555"/>
    <w:rsid w:val="006221C2"/>
    <w:rsid w:val="00622401"/>
    <w:rsid w:val="00624DB8"/>
    <w:rsid w:val="00631596"/>
    <w:rsid w:val="00653F01"/>
    <w:rsid w:val="006551E6"/>
    <w:rsid w:val="006630D7"/>
    <w:rsid w:val="00677AAC"/>
    <w:rsid w:val="00684C2D"/>
    <w:rsid w:val="00684D42"/>
    <w:rsid w:val="0069004C"/>
    <w:rsid w:val="006A2CC5"/>
    <w:rsid w:val="006B3B2B"/>
    <w:rsid w:val="006C1D50"/>
    <w:rsid w:val="006D2462"/>
    <w:rsid w:val="006D6E02"/>
    <w:rsid w:val="006F11B6"/>
    <w:rsid w:val="006F2250"/>
    <w:rsid w:val="006F2507"/>
    <w:rsid w:val="00717E46"/>
    <w:rsid w:val="00723319"/>
    <w:rsid w:val="00724C19"/>
    <w:rsid w:val="00730D8F"/>
    <w:rsid w:val="00737456"/>
    <w:rsid w:val="0073768A"/>
    <w:rsid w:val="00740887"/>
    <w:rsid w:val="00746D84"/>
    <w:rsid w:val="0075340E"/>
    <w:rsid w:val="007602D9"/>
    <w:rsid w:val="00775D1A"/>
    <w:rsid w:val="00777AD7"/>
    <w:rsid w:val="007A5CF0"/>
    <w:rsid w:val="007C2724"/>
    <w:rsid w:val="007E2885"/>
    <w:rsid w:val="007E3A84"/>
    <w:rsid w:val="007E6525"/>
    <w:rsid w:val="007F585F"/>
    <w:rsid w:val="00815AE3"/>
    <w:rsid w:val="008210B2"/>
    <w:rsid w:val="0082533F"/>
    <w:rsid w:val="00831C5C"/>
    <w:rsid w:val="0084065A"/>
    <w:rsid w:val="0084557F"/>
    <w:rsid w:val="00870DB9"/>
    <w:rsid w:val="00893175"/>
    <w:rsid w:val="008A2F85"/>
    <w:rsid w:val="008C42B7"/>
    <w:rsid w:val="008C70A9"/>
    <w:rsid w:val="008C74F2"/>
    <w:rsid w:val="008D28D4"/>
    <w:rsid w:val="008F1885"/>
    <w:rsid w:val="008F53BA"/>
    <w:rsid w:val="008F5624"/>
    <w:rsid w:val="00901E25"/>
    <w:rsid w:val="009113A8"/>
    <w:rsid w:val="00911AD7"/>
    <w:rsid w:val="0091542A"/>
    <w:rsid w:val="00916E2B"/>
    <w:rsid w:val="00917596"/>
    <w:rsid w:val="00936965"/>
    <w:rsid w:val="00940F50"/>
    <w:rsid w:val="009615D2"/>
    <w:rsid w:val="00971920"/>
    <w:rsid w:val="009777B9"/>
    <w:rsid w:val="00993B6F"/>
    <w:rsid w:val="0099698F"/>
    <w:rsid w:val="009A4C5F"/>
    <w:rsid w:val="009A59D3"/>
    <w:rsid w:val="009C4D01"/>
    <w:rsid w:val="009D05E6"/>
    <w:rsid w:val="009E1B9D"/>
    <w:rsid w:val="009F3D2C"/>
    <w:rsid w:val="009F72DF"/>
    <w:rsid w:val="00A12A86"/>
    <w:rsid w:val="00A178F5"/>
    <w:rsid w:val="00A2049F"/>
    <w:rsid w:val="00A31BD9"/>
    <w:rsid w:val="00A357A5"/>
    <w:rsid w:val="00A425AC"/>
    <w:rsid w:val="00A42C7D"/>
    <w:rsid w:val="00A43C6B"/>
    <w:rsid w:val="00A72FE1"/>
    <w:rsid w:val="00A82F8B"/>
    <w:rsid w:val="00A870A2"/>
    <w:rsid w:val="00A92359"/>
    <w:rsid w:val="00A92D67"/>
    <w:rsid w:val="00A94E03"/>
    <w:rsid w:val="00AA7BBA"/>
    <w:rsid w:val="00AB3B79"/>
    <w:rsid w:val="00AB4E03"/>
    <w:rsid w:val="00AC27AB"/>
    <w:rsid w:val="00AC50AB"/>
    <w:rsid w:val="00AD1563"/>
    <w:rsid w:val="00AF4208"/>
    <w:rsid w:val="00AF4413"/>
    <w:rsid w:val="00AF4C0C"/>
    <w:rsid w:val="00AF613B"/>
    <w:rsid w:val="00B14B23"/>
    <w:rsid w:val="00B15E93"/>
    <w:rsid w:val="00B23D41"/>
    <w:rsid w:val="00B26EF5"/>
    <w:rsid w:val="00B3421B"/>
    <w:rsid w:val="00B36533"/>
    <w:rsid w:val="00B403E6"/>
    <w:rsid w:val="00B41CCD"/>
    <w:rsid w:val="00B52ECE"/>
    <w:rsid w:val="00B571AA"/>
    <w:rsid w:val="00B64C76"/>
    <w:rsid w:val="00B67B1D"/>
    <w:rsid w:val="00B703FC"/>
    <w:rsid w:val="00B74AF1"/>
    <w:rsid w:val="00B74F7B"/>
    <w:rsid w:val="00B766B8"/>
    <w:rsid w:val="00B97A64"/>
    <w:rsid w:val="00BB1287"/>
    <w:rsid w:val="00BB357F"/>
    <w:rsid w:val="00BC7999"/>
    <w:rsid w:val="00BE50E7"/>
    <w:rsid w:val="00BF2533"/>
    <w:rsid w:val="00C05D60"/>
    <w:rsid w:val="00C14BF5"/>
    <w:rsid w:val="00C157E5"/>
    <w:rsid w:val="00C16DDE"/>
    <w:rsid w:val="00C2178E"/>
    <w:rsid w:val="00C23761"/>
    <w:rsid w:val="00C257A9"/>
    <w:rsid w:val="00C30A04"/>
    <w:rsid w:val="00C32371"/>
    <w:rsid w:val="00C510A8"/>
    <w:rsid w:val="00C52FAF"/>
    <w:rsid w:val="00C53C06"/>
    <w:rsid w:val="00C61CC9"/>
    <w:rsid w:val="00C74513"/>
    <w:rsid w:val="00C7531F"/>
    <w:rsid w:val="00C8172D"/>
    <w:rsid w:val="00CA45DC"/>
    <w:rsid w:val="00CF0B20"/>
    <w:rsid w:val="00D01083"/>
    <w:rsid w:val="00D11864"/>
    <w:rsid w:val="00D300CF"/>
    <w:rsid w:val="00D326DE"/>
    <w:rsid w:val="00D335B9"/>
    <w:rsid w:val="00D612B3"/>
    <w:rsid w:val="00D765B8"/>
    <w:rsid w:val="00D80381"/>
    <w:rsid w:val="00D9048D"/>
    <w:rsid w:val="00D927D3"/>
    <w:rsid w:val="00DA2DA4"/>
    <w:rsid w:val="00DA418C"/>
    <w:rsid w:val="00DC723F"/>
    <w:rsid w:val="00DD3C7B"/>
    <w:rsid w:val="00DD4B58"/>
    <w:rsid w:val="00DD5B85"/>
    <w:rsid w:val="00DE1532"/>
    <w:rsid w:val="00DE7B2A"/>
    <w:rsid w:val="00E0277F"/>
    <w:rsid w:val="00E02C0F"/>
    <w:rsid w:val="00E13CE9"/>
    <w:rsid w:val="00E16237"/>
    <w:rsid w:val="00E20BE3"/>
    <w:rsid w:val="00E22A87"/>
    <w:rsid w:val="00E25A8B"/>
    <w:rsid w:val="00E338C8"/>
    <w:rsid w:val="00E3634D"/>
    <w:rsid w:val="00E50A35"/>
    <w:rsid w:val="00E555A9"/>
    <w:rsid w:val="00E55B90"/>
    <w:rsid w:val="00E6721A"/>
    <w:rsid w:val="00E70C77"/>
    <w:rsid w:val="00E71969"/>
    <w:rsid w:val="00E76C13"/>
    <w:rsid w:val="00EA323B"/>
    <w:rsid w:val="00EB1441"/>
    <w:rsid w:val="00EB40C6"/>
    <w:rsid w:val="00EB5786"/>
    <w:rsid w:val="00ED1EF6"/>
    <w:rsid w:val="00ED4FB1"/>
    <w:rsid w:val="00EF406E"/>
    <w:rsid w:val="00F02102"/>
    <w:rsid w:val="00F0214D"/>
    <w:rsid w:val="00F0625E"/>
    <w:rsid w:val="00F06AA2"/>
    <w:rsid w:val="00F07D21"/>
    <w:rsid w:val="00F1189C"/>
    <w:rsid w:val="00F20C2D"/>
    <w:rsid w:val="00F26404"/>
    <w:rsid w:val="00F71226"/>
    <w:rsid w:val="00F718EB"/>
    <w:rsid w:val="00F7651D"/>
    <w:rsid w:val="00F82863"/>
    <w:rsid w:val="00F9343F"/>
    <w:rsid w:val="00FB2E8E"/>
    <w:rsid w:val="00FB3229"/>
    <w:rsid w:val="00FC4247"/>
    <w:rsid w:val="00FC4D5C"/>
    <w:rsid w:val="00FD6BA5"/>
    <w:rsid w:val="00FD7AF1"/>
    <w:rsid w:val="00FE0023"/>
    <w:rsid w:val="00FE5079"/>
    <w:rsid w:val="00FE5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368F"/>
  <w15:chartTrackingRefBased/>
  <w15:docId w15:val="{5AB08DE8-47B6-42E8-9262-6A31FF8F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E2B"/>
  </w:style>
  <w:style w:type="paragraph" w:styleId="Heading1">
    <w:name w:val="heading 1"/>
    <w:basedOn w:val="Normal"/>
    <w:next w:val="Normal"/>
    <w:link w:val="Heading1Char"/>
    <w:uiPriority w:val="9"/>
    <w:qFormat/>
    <w:rsid w:val="00916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E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E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E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E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E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E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E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E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E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E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E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E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E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E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E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E2B"/>
    <w:rPr>
      <w:rFonts w:eastAsiaTheme="majorEastAsia" w:cstheme="majorBidi"/>
      <w:color w:val="272727" w:themeColor="text1" w:themeTint="D8"/>
    </w:rPr>
  </w:style>
  <w:style w:type="paragraph" w:styleId="Title">
    <w:name w:val="Title"/>
    <w:basedOn w:val="Normal"/>
    <w:next w:val="Normal"/>
    <w:link w:val="TitleChar"/>
    <w:uiPriority w:val="10"/>
    <w:qFormat/>
    <w:rsid w:val="00916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E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E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E2B"/>
    <w:pPr>
      <w:spacing w:before="160"/>
      <w:jc w:val="center"/>
    </w:pPr>
    <w:rPr>
      <w:i/>
      <w:iCs/>
      <w:color w:val="404040" w:themeColor="text1" w:themeTint="BF"/>
    </w:rPr>
  </w:style>
  <w:style w:type="character" w:customStyle="1" w:styleId="QuoteChar">
    <w:name w:val="Quote Char"/>
    <w:basedOn w:val="DefaultParagraphFont"/>
    <w:link w:val="Quote"/>
    <w:uiPriority w:val="29"/>
    <w:rsid w:val="00916E2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916E2B"/>
    <w:pPr>
      <w:ind w:left="720"/>
      <w:contextualSpacing/>
    </w:pPr>
  </w:style>
  <w:style w:type="character" w:styleId="IntenseEmphasis">
    <w:name w:val="Intense Emphasis"/>
    <w:basedOn w:val="DefaultParagraphFont"/>
    <w:uiPriority w:val="21"/>
    <w:qFormat/>
    <w:rsid w:val="00916E2B"/>
    <w:rPr>
      <w:i/>
      <w:iCs/>
      <w:color w:val="0F4761" w:themeColor="accent1" w:themeShade="BF"/>
    </w:rPr>
  </w:style>
  <w:style w:type="paragraph" w:styleId="IntenseQuote">
    <w:name w:val="Intense Quote"/>
    <w:basedOn w:val="Normal"/>
    <w:next w:val="Normal"/>
    <w:link w:val="IntenseQuoteChar"/>
    <w:uiPriority w:val="30"/>
    <w:qFormat/>
    <w:rsid w:val="00916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E2B"/>
    <w:rPr>
      <w:i/>
      <w:iCs/>
      <w:color w:val="0F4761" w:themeColor="accent1" w:themeShade="BF"/>
    </w:rPr>
  </w:style>
  <w:style w:type="character" w:styleId="IntenseReference">
    <w:name w:val="Intense Reference"/>
    <w:basedOn w:val="DefaultParagraphFont"/>
    <w:uiPriority w:val="32"/>
    <w:qFormat/>
    <w:rsid w:val="00916E2B"/>
    <w:rPr>
      <w:b/>
      <w:bCs/>
      <w:smallCaps/>
      <w:color w:val="0F4761" w:themeColor="accent1" w:themeShade="BF"/>
      <w:spacing w:val="5"/>
    </w:rPr>
  </w:style>
  <w:style w:type="character" w:styleId="Hyperlink">
    <w:name w:val="Hyperlink"/>
    <w:basedOn w:val="DefaultParagraphFont"/>
    <w:uiPriority w:val="99"/>
    <w:unhideWhenUsed/>
    <w:rsid w:val="006C1D50"/>
    <w:rPr>
      <w:color w:val="467886" w:themeColor="hyperlink"/>
      <w:u w:val="single"/>
    </w:rPr>
  </w:style>
  <w:style w:type="character" w:styleId="UnresolvedMention">
    <w:name w:val="Unresolved Mention"/>
    <w:basedOn w:val="DefaultParagraphFont"/>
    <w:uiPriority w:val="99"/>
    <w:semiHidden/>
    <w:unhideWhenUsed/>
    <w:rsid w:val="006C1D50"/>
    <w:rPr>
      <w:color w:val="605E5C"/>
      <w:shd w:val="clear" w:color="auto" w:fill="E1DFDD"/>
    </w:rPr>
  </w:style>
  <w:style w:type="paragraph" w:styleId="Revision">
    <w:name w:val="Revision"/>
    <w:hidden/>
    <w:uiPriority w:val="99"/>
    <w:semiHidden/>
    <w:rsid w:val="0022101A"/>
    <w:pPr>
      <w:spacing w:after="0" w:line="240" w:lineRule="auto"/>
    </w:pPr>
  </w:style>
  <w:style w:type="character" w:styleId="CommentReference">
    <w:name w:val="annotation reference"/>
    <w:basedOn w:val="DefaultParagraphFont"/>
    <w:uiPriority w:val="99"/>
    <w:semiHidden/>
    <w:unhideWhenUsed/>
    <w:rsid w:val="00512FF0"/>
    <w:rPr>
      <w:sz w:val="16"/>
      <w:szCs w:val="16"/>
    </w:rPr>
  </w:style>
  <w:style w:type="paragraph" w:styleId="CommentText">
    <w:name w:val="annotation text"/>
    <w:basedOn w:val="Normal"/>
    <w:link w:val="CommentTextChar"/>
    <w:uiPriority w:val="99"/>
    <w:unhideWhenUsed/>
    <w:rsid w:val="00512FF0"/>
    <w:pPr>
      <w:spacing w:line="240" w:lineRule="auto"/>
    </w:pPr>
    <w:rPr>
      <w:sz w:val="20"/>
      <w:szCs w:val="20"/>
    </w:rPr>
  </w:style>
  <w:style w:type="character" w:customStyle="1" w:styleId="CommentTextChar">
    <w:name w:val="Comment Text Char"/>
    <w:basedOn w:val="DefaultParagraphFont"/>
    <w:link w:val="CommentText"/>
    <w:uiPriority w:val="99"/>
    <w:rsid w:val="00512FF0"/>
    <w:rPr>
      <w:sz w:val="20"/>
      <w:szCs w:val="20"/>
    </w:rPr>
  </w:style>
  <w:style w:type="paragraph" w:styleId="CommentSubject">
    <w:name w:val="annotation subject"/>
    <w:basedOn w:val="CommentText"/>
    <w:next w:val="CommentText"/>
    <w:link w:val="CommentSubjectChar"/>
    <w:uiPriority w:val="99"/>
    <w:semiHidden/>
    <w:unhideWhenUsed/>
    <w:rsid w:val="00512FF0"/>
    <w:rPr>
      <w:b/>
      <w:bCs/>
    </w:rPr>
  </w:style>
  <w:style w:type="character" w:customStyle="1" w:styleId="CommentSubjectChar">
    <w:name w:val="Comment Subject Char"/>
    <w:basedOn w:val="CommentTextChar"/>
    <w:link w:val="CommentSubject"/>
    <w:uiPriority w:val="99"/>
    <w:semiHidden/>
    <w:rsid w:val="00512FF0"/>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94E03"/>
  </w:style>
  <w:style w:type="paragraph" w:customStyle="1" w:styleId="Heading">
    <w:name w:val="Heading"/>
    <w:next w:val="Normal"/>
    <w:rsid w:val="0032741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kern w:val="0"/>
      <w:sz w:val="22"/>
      <w:szCs w:val="22"/>
      <w:u w:color="444444"/>
      <w:bdr w:val="nil"/>
      <w:lang w:eastAsia="en-GB"/>
      <w14:textOutline w14:w="12700" w14:cap="flat" w14:cmpd="sng" w14:algn="ctr">
        <w14:noFill/>
        <w14:prstDash w14:val="solid"/>
        <w14:miter w14:lim="400000"/>
      </w14:textOutline>
      <w14:ligatures w14:val="none"/>
    </w:rPr>
  </w:style>
  <w:style w:type="paragraph" w:styleId="BodyText">
    <w:name w:val="Body Text"/>
    <w:basedOn w:val="Normal"/>
    <w:link w:val="BodyTextChar"/>
    <w:rsid w:val="00583318"/>
    <w:pPr>
      <w:spacing w:after="0" w:line="240" w:lineRule="auto"/>
    </w:pPr>
    <w:rPr>
      <w:rFonts w:ascii="Times New Roman" w:eastAsia="Times New Roman" w:hAnsi="Times New Roman" w:cs="Times New Roman"/>
      <w:i/>
      <w:kern w:val="0"/>
      <w:szCs w:val="20"/>
      <w:lang w:val="lt-LT" w:eastAsia="lt-LT"/>
      <w14:ligatures w14:val="none"/>
    </w:rPr>
  </w:style>
  <w:style w:type="character" w:customStyle="1" w:styleId="BodyTextChar">
    <w:name w:val="Body Text Char"/>
    <w:basedOn w:val="DefaultParagraphFont"/>
    <w:link w:val="BodyText"/>
    <w:rsid w:val="00583318"/>
    <w:rPr>
      <w:rFonts w:ascii="Times New Roman" w:eastAsia="Times New Roman" w:hAnsi="Times New Roman" w:cs="Times New Roman"/>
      <w:i/>
      <w:kern w:val="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3538</Words>
  <Characters>2018</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Lukoitienė</dc:creator>
  <cp:keywords/>
  <dc:description/>
  <cp:lastModifiedBy>Olga Lukoitienė</cp:lastModifiedBy>
  <cp:revision>40</cp:revision>
  <dcterms:created xsi:type="dcterms:W3CDTF">2026-06-18T04:51:00Z</dcterms:created>
  <dcterms:modified xsi:type="dcterms:W3CDTF">2026-06-22T07:08:00Z</dcterms:modified>
</cp:coreProperties>
</file>