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9786" w14:textId="16E52447" w:rsidR="009A4C5F" w:rsidRPr="00E34429" w:rsidRDefault="0529D9D2" w:rsidP="008A79A5">
      <w:pPr>
        <w:pStyle w:val="ListParagraph"/>
        <w:tabs>
          <w:tab w:val="left" w:pos="851"/>
        </w:tabs>
        <w:spacing w:after="0" w:line="276" w:lineRule="auto"/>
        <w:ind w:left="0" w:firstLine="624"/>
        <w:rPr>
          <w:rFonts w:ascii="Calibri" w:hAnsi="Calibri" w:cs="Calibri"/>
          <w:color w:val="000000"/>
          <w:lang w:val="lt-LT"/>
        </w:rPr>
      </w:pPr>
      <w:r w:rsidRPr="75C8A72E">
        <w:rPr>
          <w:rFonts w:ascii="Calibri" w:hAnsi="Calibri" w:cs="Calibri"/>
          <w:color w:val="000000" w:themeColor="text1"/>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Vadovaujantis Tarnybai Įstatyme nustatyta pažeidimų prevencijos funkcija, šiuo metu atliekama Gynybos resursų agentūros prie Krašto apsaugos ministerijos pirkimo Nr. 7776622 „Sportinių komplektų pirkimas“</w:t>
      </w:r>
      <w:r w:rsidR="332A0BB3" w:rsidRPr="75C8A72E">
        <w:rPr>
          <w:rFonts w:ascii="Calibri" w:hAnsi="Calibri" w:cs="Calibri"/>
          <w:color w:val="000000" w:themeColor="text1"/>
          <w:lang w:val="lt-LT"/>
        </w:rPr>
        <w:t xml:space="preserve"> (toliau – Pirkimas)</w:t>
      </w:r>
      <w:r w:rsidRPr="75C8A72E">
        <w:rPr>
          <w:rFonts w:ascii="Calibri" w:hAnsi="Calibri" w:cs="Calibri"/>
          <w:color w:val="000000" w:themeColor="text1"/>
          <w:lang w:val="lt-LT"/>
        </w:rPr>
        <w:t xml:space="preserve"> dokumentų atitikties Įstatymui ir jį įgyvendinantiems teisės aktams peržiūra (peržiūra prevenciniais tikslais atliekama tam tikra apimtimi).</w:t>
      </w:r>
    </w:p>
    <w:p w14:paraId="24806AC3" w14:textId="3084FFBC" w:rsidR="00140B37" w:rsidRPr="003512DD" w:rsidRDefault="00140B37" w:rsidP="008A79A5">
      <w:pPr>
        <w:pStyle w:val="ListParagraph"/>
        <w:tabs>
          <w:tab w:val="left" w:pos="851"/>
        </w:tabs>
        <w:spacing w:after="0" w:line="276" w:lineRule="auto"/>
        <w:ind w:left="0" w:firstLine="624"/>
        <w:rPr>
          <w:rFonts w:ascii="Calibri" w:hAnsi="Calibri" w:cs="Calibri"/>
          <w:color w:val="000000"/>
          <w:lang w:val="lt-LT"/>
        </w:rPr>
      </w:pPr>
      <w:r w:rsidRPr="42106D55">
        <w:rPr>
          <w:rFonts w:ascii="Calibri" w:hAnsi="Calibri" w:cs="Calibri"/>
          <w:color w:val="000000" w:themeColor="text1"/>
          <w:lang w:val="lt-LT"/>
        </w:rPr>
        <w:t xml:space="preserve">Tarnyba, prevencine tvarka peržiūrėjusi Pirkimo dokumentus, teikia rekomendacijas dėl Pirkimo dokumentų </w:t>
      </w:r>
      <w:r w:rsidR="07B75B0C" w:rsidRPr="42106D55">
        <w:rPr>
          <w:rFonts w:ascii="Calibri" w:hAnsi="Calibri" w:cs="Calibri"/>
          <w:color w:val="000000" w:themeColor="text1"/>
          <w:lang w:val="lt-LT"/>
        </w:rPr>
        <w:t>sąlygų</w:t>
      </w:r>
      <w:r w:rsidR="00074590">
        <w:rPr>
          <w:rFonts w:ascii="Calibri" w:hAnsi="Calibri" w:cs="Calibri"/>
          <w:color w:val="000000" w:themeColor="text1"/>
          <w:lang w:val="lt-LT"/>
        </w:rPr>
        <w:t>.</w:t>
      </w:r>
    </w:p>
    <w:p w14:paraId="311FA758" w14:textId="77777777" w:rsidR="003512DD" w:rsidRPr="00140B37" w:rsidRDefault="003512DD" w:rsidP="008A79A5">
      <w:pPr>
        <w:spacing w:after="0" w:line="276" w:lineRule="auto"/>
        <w:ind w:firstLine="624"/>
        <w:rPr>
          <w:lang w:val="lt-LT"/>
        </w:rPr>
      </w:pPr>
    </w:p>
    <w:p w14:paraId="461D5DD3" w14:textId="77777777" w:rsidR="00DA5261" w:rsidRDefault="00DA5261" w:rsidP="008A79A5">
      <w:pPr>
        <w:pStyle w:val="ListParagraph"/>
        <w:numPr>
          <w:ilvl w:val="0"/>
          <w:numId w:val="1"/>
        </w:numPr>
        <w:tabs>
          <w:tab w:val="left" w:pos="567"/>
          <w:tab w:val="left" w:pos="851"/>
        </w:tabs>
        <w:spacing w:after="0" w:line="276" w:lineRule="auto"/>
        <w:ind w:left="0" w:firstLine="624"/>
        <w:rPr>
          <w:rFonts w:ascii="Calibri" w:hAnsi="Calibri" w:cs="Calibri"/>
          <w:color w:val="000000"/>
          <w:lang w:val="lt-LT"/>
        </w:rPr>
      </w:pPr>
      <w:r w:rsidRPr="00A875CE">
        <w:rPr>
          <w:rFonts w:ascii="Calibri" w:hAnsi="Calibri" w:cs="Calibri"/>
          <w:color w:val="000000"/>
          <w:lang w:val="lt-LT"/>
        </w:rPr>
        <w:t>Pirkimo sąlygų 3.1 papunktyje yra</w:t>
      </w:r>
      <w:r>
        <w:rPr>
          <w:rFonts w:ascii="Calibri" w:hAnsi="Calibri" w:cs="Calibri"/>
          <w:color w:val="000000"/>
          <w:lang w:val="lt-LT"/>
        </w:rPr>
        <w:t xml:space="preserve"> nurodyta, kad „</w:t>
      </w:r>
      <w:r w:rsidRPr="00A875CE">
        <w:rPr>
          <w:rFonts w:ascii="Calibri" w:hAnsi="Calibri" w:cs="Calibri"/>
          <w:color w:val="000000"/>
          <w:lang w:val="lt-LT"/>
        </w:rPr>
        <w:t>Perkančioji organizacija tikrins tiekėjo ir ūkio subjektų, kurių pajėgumais remiasi tiekėjas siekdamas pagrįsti atitikimą kvalifikaciniams reikalavimams, pašalinimo pagrindų, kurie nurodyti pirkimo dokumentų 4 priede „Teikėjų pašalinimo pagrindai ir reikalaujami kvalifikacijos reikalavimai“ nebuvimą.</w:t>
      </w:r>
      <w:r>
        <w:rPr>
          <w:rFonts w:ascii="Calibri" w:hAnsi="Calibri" w:cs="Calibri"/>
          <w:color w:val="000000"/>
          <w:lang w:val="lt-LT"/>
        </w:rPr>
        <w:t xml:space="preserve"> &lt;...&gt;</w:t>
      </w:r>
      <w:r w:rsidRPr="00A875CE">
        <w:rPr>
          <w:rFonts w:ascii="Calibri" w:hAnsi="Calibri" w:cs="Calibri"/>
          <w:color w:val="000000"/>
          <w:lang w:val="lt-LT"/>
        </w:rPr>
        <w:t>. Tikrinimas atliekamas šia tvarka:</w:t>
      </w:r>
      <w:r w:rsidRPr="00A875CE">
        <w:rPr>
          <w:rFonts w:ascii="Calibri" w:hAnsi="Calibri" w:cs="Calibri"/>
          <w:color w:val="000000"/>
          <w:lang w:val="lt-LT"/>
        </w:rPr>
        <w:tab/>
      </w:r>
      <w:r w:rsidRPr="00A875CE">
        <w:rPr>
          <w:rFonts w:ascii="Calibri" w:hAnsi="Calibri" w:cs="Calibri"/>
          <w:color w:val="000000"/>
          <w:lang w:val="lt-LT"/>
        </w:rPr>
        <w:br/>
      </w:r>
      <w:r w:rsidRPr="00A875CE">
        <w:rPr>
          <w:rFonts w:ascii="Calibri" w:hAnsi="Calibri" w:cs="Calibri"/>
          <w:color w:val="000000"/>
          <w:lang w:val="lt-LT"/>
        </w:rPr>
        <w:tab/>
        <w:t xml:space="preserve">3.1.1. </w:t>
      </w:r>
      <w:r w:rsidRPr="00C40542">
        <w:rPr>
          <w:rFonts w:ascii="Calibri" w:hAnsi="Calibri" w:cs="Calibri"/>
          <w:color w:val="000000"/>
          <w:u w:val="single"/>
          <w:lang w:val="lt-LT"/>
        </w:rPr>
        <w:t>Perkančioji organizacija nereikalauja iš tiekėjo</w:t>
      </w:r>
      <w:r w:rsidRPr="00A875CE">
        <w:rPr>
          <w:rFonts w:ascii="Calibri" w:hAnsi="Calibri" w:cs="Calibri"/>
          <w:color w:val="000000"/>
          <w:lang w:val="lt-LT"/>
        </w:rPr>
        <w:t xml:space="preserve">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Pr>
          <w:rFonts w:ascii="Calibri" w:hAnsi="Calibri" w:cs="Calibri"/>
          <w:color w:val="000000"/>
          <w:lang w:val="lt-LT"/>
        </w:rPr>
        <w:t xml:space="preserve"> &lt;...&gt;“.</w:t>
      </w:r>
    </w:p>
    <w:p w14:paraId="6FA53B92" w14:textId="4D2CC67D" w:rsidR="00DA5261" w:rsidRPr="00604956" w:rsidRDefault="00DA5261" w:rsidP="008A79A5">
      <w:pPr>
        <w:pStyle w:val="ListParagraph"/>
        <w:tabs>
          <w:tab w:val="left" w:pos="851"/>
        </w:tabs>
        <w:spacing w:after="0" w:line="276" w:lineRule="auto"/>
        <w:ind w:left="0" w:firstLine="624"/>
        <w:rPr>
          <w:rFonts w:ascii="Calibri" w:hAnsi="Calibri" w:cs="Calibri"/>
          <w:color w:val="000000"/>
          <w:lang w:val="lt-LT"/>
        </w:rPr>
      </w:pPr>
      <w:r w:rsidRPr="42106D55">
        <w:rPr>
          <w:rFonts w:ascii="Calibri" w:hAnsi="Calibri" w:cs="Calibri"/>
          <w:color w:val="000000" w:themeColor="text1"/>
          <w:lang w:val="lt-LT"/>
        </w:rPr>
        <w:t>Pirkimo sąlygų 4 priedo „Tiekėjų pašalinimo pagrindai“(toliau – Pašalinimo pagrindai) 1 lentelės stulpelyje „Pašalinimo pagrindų nebuvimą įrodantys dokumentai“ 2, 4, 5, 6, 7, 8, 9, 10, 11, 12 punktuose yra nurodyta „</w:t>
      </w:r>
      <w:r w:rsidRPr="42106D55">
        <w:rPr>
          <w:rFonts w:ascii="Calibri" w:hAnsi="Calibri" w:cs="Calibri"/>
          <w:color w:val="000000" w:themeColor="text1"/>
          <w:u w:val="single"/>
          <w:lang w:val="lt-LT"/>
        </w:rPr>
        <w:t>Iš ne Lietuvoje įsteigtų subjektų reikalaujama atitinkamos užsienio šalies kompetentingos institucijos dokumento</w:t>
      </w:r>
      <w:r w:rsidRPr="42106D55">
        <w:rPr>
          <w:rFonts w:ascii="Calibri" w:hAnsi="Calibri" w:cs="Calibri"/>
          <w:color w:val="000000" w:themeColor="text1"/>
          <w:lang w:val="lt-LT"/>
        </w:rPr>
        <w:t>*</w:t>
      </w:r>
      <w:r w:rsidR="03EE6E31" w:rsidRPr="42106D55">
        <w:rPr>
          <w:rFonts w:ascii="Calibri" w:hAnsi="Calibri" w:cs="Calibri"/>
          <w:color w:val="000000" w:themeColor="text1"/>
          <w:lang w:val="lt-LT"/>
        </w:rPr>
        <w:t>“</w:t>
      </w:r>
      <w:r w:rsidRPr="42106D55">
        <w:rPr>
          <w:rFonts w:ascii="Calibri" w:hAnsi="Calibri" w:cs="Calibri"/>
          <w:color w:val="000000" w:themeColor="text1"/>
          <w:lang w:val="lt-LT"/>
        </w:rPr>
        <w:t>. Taip pat po Pašalinimo pagrindų lentele pateikiamas paaiškinimas: „*Perkančioji organizacija, tikrindama, ar užsienio (ne Lietuvoje) registruotas tiekėjas neturi pašalinimo pagrindų, informaciją pasitikrina „e-Certis“, adresu </w:t>
      </w:r>
      <w:hyperlink r:id="rId9">
        <w:r w:rsidRPr="42106D55">
          <w:rPr>
            <w:rFonts w:ascii="Calibri" w:hAnsi="Calibri" w:cs="Calibri"/>
            <w:color w:val="000000" w:themeColor="text1"/>
            <w:lang w:val="lt-LT"/>
          </w:rPr>
          <w:t>https://ec.europa.eu/tools/ecertis/</w:t>
        </w:r>
      </w:hyperlink>
      <w:r w:rsidRPr="42106D55">
        <w:rPr>
          <w:rFonts w:ascii="Calibri" w:hAnsi="Calibri" w:cs="Calibri"/>
          <w:color w:val="000000" w:themeColor="text1"/>
          <w:lang w:val="lt-LT"/>
        </w:rPr>
        <w:t>“.</w:t>
      </w:r>
    </w:p>
    <w:p w14:paraId="30EB3AAA" w14:textId="77777777" w:rsidR="00DA5261" w:rsidRDefault="00DA5261" w:rsidP="008A79A5">
      <w:pPr>
        <w:pStyle w:val="ListParagraph"/>
        <w:tabs>
          <w:tab w:val="left" w:pos="851"/>
        </w:tabs>
        <w:spacing w:after="0" w:line="276" w:lineRule="auto"/>
        <w:ind w:left="0" w:firstLine="624"/>
        <w:rPr>
          <w:rFonts w:ascii="Calibri" w:eastAsia="Calibri" w:hAnsi="Calibri" w:cs="Calibri"/>
          <w:color w:val="FF0000"/>
          <w:lang w:val="lt-LT"/>
        </w:rPr>
      </w:pPr>
      <w:r>
        <w:rPr>
          <w:rFonts w:ascii="Calibri" w:hAnsi="Calibri" w:cs="Calibri"/>
          <w:color w:val="000000"/>
          <w:lang w:val="lt-LT"/>
        </w:rPr>
        <w:t xml:space="preserve">Atsižvelgiant į tai, kad </w:t>
      </w:r>
      <w:r w:rsidRPr="5DB42F6A">
        <w:rPr>
          <w:rFonts w:ascii="Calibri" w:eastAsia="Calibri" w:hAnsi="Calibri" w:cs="Calibri"/>
          <w:lang w:val="lt-LT"/>
        </w:rPr>
        <w:t>pirkimo dokumentai turėtų būti tikslūs, aiškūs ir be dviprasmybių, rekomenduotina tikslinti P</w:t>
      </w:r>
      <w:r>
        <w:rPr>
          <w:rFonts w:ascii="Calibri" w:eastAsia="Calibri" w:hAnsi="Calibri" w:cs="Calibri"/>
          <w:lang w:val="lt-LT"/>
        </w:rPr>
        <w:t xml:space="preserve">ašalinimo pagrindų lentelėje keliamus reikalavimus dėl pašalinimo pagrindų nebuvimą įrodančių dokumentų, išduotų </w:t>
      </w:r>
      <w:r w:rsidRPr="00C40542">
        <w:rPr>
          <w:rFonts w:ascii="Calibri" w:hAnsi="Calibri" w:cs="Calibri"/>
          <w:color w:val="000000"/>
          <w:u w:val="single"/>
          <w:lang w:val="lt-LT"/>
        </w:rPr>
        <w:t>atitinkamos užsienio šalies kompetentingos institucijos</w:t>
      </w:r>
      <w:r>
        <w:rPr>
          <w:rFonts w:ascii="Calibri" w:hAnsi="Calibri" w:cs="Calibri"/>
          <w:color w:val="000000"/>
          <w:u w:val="single"/>
          <w:lang w:val="lt-LT"/>
        </w:rPr>
        <w:t>,</w:t>
      </w:r>
      <w:r>
        <w:rPr>
          <w:rFonts w:ascii="Calibri" w:eastAsia="Calibri" w:hAnsi="Calibri" w:cs="Calibri"/>
          <w:lang w:val="lt-LT"/>
        </w:rPr>
        <w:t xml:space="preserve"> pateikimo iš subjektų, kurie yra įsteigti ne Lietuvoje.</w:t>
      </w:r>
    </w:p>
    <w:p w14:paraId="4B365184" w14:textId="36CBED38" w:rsidR="00DA5261" w:rsidRPr="00054C94" w:rsidRDefault="00DA5261" w:rsidP="008A79A5">
      <w:pPr>
        <w:pStyle w:val="ListParagraph"/>
        <w:tabs>
          <w:tab w:val="left" w:pos="709"/>
        </w:tabs>
        <w:spacing w:after="0" w:line="276" w:lineRule="auto"/>
        <w:ind w:left="0" w:firstLine="624"/>
        <w:rPr>
          <w:rFonts w:ascii="Calibri" w:eastAsia="Calibri" w:hAnsi="Calibri" w:cs="Calibri"/>
          <w:lang w:val="lt-LT"/>
        </w:rPr>
      </w:pPr>
      <w:r w:rsidRPr="42106D55">
        <w:rPr>
          <w:rFonts w:ascii="Calibri" w:eastAsia="Calibri" w:hAnsi="Calibri" w:cs="Calibri"/>
          <w:lang w:val="lt-LT"/>
        </w:rPr>
        <w:t xml:space="preserve">Atkreiptinas dėmesys, kad </w:t>
      </w:r>
      <w:r w:rsidR="5B0BF252" w:rsidRPr="42106D55">
        <w:rPr>
          <w:rFonts w:ascii="Calibri" w:eastAsia="Calibri" w:hAnsi="Calibri" w:cs="Calibri"/>
          <w:lang w:val="lt-LT"/>
        </w:rPr>
        <w:t>P</w:t>
      </w:r>
      <w:r w:rsidRPr="42106D55">
        <w:rPr>
          <w:rFonts w:ascii="Calibri" w:eastAsia="Calibri" w:hAnsi="Calibri" w:cs="Calibri"/>
          <w:lang w:val="lt-LT"/>
        </w:rPr>
        <w:t xml:space="preserve">ašalinimo pagrindų lentelėje yra ir kitų netikslumų, kuriuos rekomenduotina tikslinti, t. y. 9 punkte, stulpelyje „Tiekėjo pašalinimo pagrindai“, yra nurodyta: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42106D55">
        <w:rPr>
          <w:rFonts w:ascii="Calibri" w:eastAsia="Calibri" w:hAnsi="Calibri" w:cs="Calibri"/>
          <w:lang w:val="lt-LT"/>
        </w:rPr>
        <w:lastRenderedPageBreak/>
        <w:t xml:space="preserve">metus buvo nutraukta sutartis arba per pastaruosius 3 metus buvo priimtas ir įsiteisėjęs teismo sprendimas, kuriuo </w:t>
      </w:r>
      <w:r w:rsidRPr="42106D55">
        <w:rPr>
          <w:rFonts w:ascii="Calibri" w:eastAsia="Calibri" w:hAnsi="Calibri" w:cs="Calibri"/>
          <w:b/>
          <w:bCs/>
          <w:lang w:val="lt-LT"/>
        </w:rPr>
        <w:t>tenkinamas perkančiosios organizacijos</w:t>
      </w:r>
      <w:r w:rsidRPr="42106D55">
        <w:rPr>
          <w:rFonts w:ascii="Calibri" w:eastAsia="Calibri" w:hAnsi="Calibri" w:cs="Calibri"/>
          <w:lang w:val="lt-LT"/>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w:t>
      </w:r>
      <w:r w:rsidRPr="42106D55">
        <w:rPr>
          <w:rFonts w:ascii="Calibri" w:eastAsia="Calibri" w:hAnsi="Calibri" w:cs="Calibri"/>
          <w:b/>
          <w:bCs/>
          <w:lang w:val="lt-LT"/>
        </w:rPr>
        <w:t>vykdydamas ankstesnę sutartį</w:t>
      </w:r>
      <w:r w:rsidRPr="42106D55">
        <w:rPr>
          <w:rFonts w:ascii="Calibri" w:eastAsia="Calibri" w:hAnsi="Calibri" w:cs="Calibri"/>
          <w:lang w:val="lt-LT"/>
        </w:rPr>
        <w:t xml:space="preserve">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D81B950" w:rsidRPr="42106D55">
        <w:rPr>
          <w:rFonts w:ascii="Calibri" w:eastAsia="Calibri" w:hAnsi="Calibri" w:cs="Calibri"/>
          <w:lang w:val="lt-LT"/>
        </w:rPr>
        <w:t>“</w:t>
      </w:r>
      <w:r w:rsidRPr="42106D55">
        <w:rPr>
          <w:rFonts w:ascii="Calibri" w:eastAsia="Calibri" w:hAnsi="Calibri" w:cs="Calibri"/>
          <w:lang w:val="lt-LT"/>
        </w:rPr>
        <w:t>.</w:t>
      </w:r>
    </w:p>
    <w:p w14:paraId="7DE212E9" w14:textId="1B9C0E5F" w:rsidR="00DA5261" w:rsidRDefault="00DA5261" w:rsidP="008A79A5">
      <w:pPr>
        <w:pStyle w:val="ListParagraph"/>
        <w:tabs>
          <w:tab w:val="left" w:pos="851"/>
        </w:tabs>
        <w:spacing w:after="0" w:line="276" w:lineRule="auto"/>
        <w:ind w:left="0" w:firstLine="624"/>
        <w:rPr>
          <w:rFonts w:ascii="Calibri" w:eastAsia="Calibri" w:hAnsi="Calibri" w:cs="Calibri"/>
          <w:lang w:val="lt-LT"/>
        </w:rPr>
      </w:pPr>
      <w:r w:rsidRPr="42106D55">
        <w:rPr>
          <w:rFonts w:ascii="Calibri" w:eastAsia="Calibri" w:hAnsi="Calibri" w:cs="Calibri"/>
          <w:lang w:val="lt-LT"/>
        </w:rPr>
        <w:t xml:space="preserve">Pažymėtina, kad tiekėjo pašalinimo pagrindu yra laikomas teismo sprendimas, kuriuo tenkinamas ne tik </w:t>
      </w:r>
      <w:r w:rsidRPr="42106D55">
        <w:rPr>
          <w:rFonts w:ascii="Calibri" w:eastAsia="Calibri" w:hAnsi="Calibri" w:cs="Calibri"/>
          <w:b/>
          <w:bCs/>
          <w:lang w:val="lt-LT"/>
        </w:rPr>
        <w:t>perkančiosios organizacijos</w:t>
      </w:r>
      <w:r w:rsidRPr="42106D55">
        <w:rPr>
          <w:rFonts w:ascii="Calibri" w:eastAsia="Calibri" w:hAnsi="Calibri" w:cs="Calibri"/>
          <w:lang w:val="lt-LT"/>
        </w:rPr>
        <w:t xml:space="preserve"> reikalavimas atlyginti nuostolius, bet taip pat ir teismo sprendimas, kuriuo tenkinamas </w:t>
      </w:r>
      <w:r w:rsidRPr="42106D55">
        <w:rPr>
          <w:rFonts w:ascii="Calibri" w:eastAsia="Calibri" w:hAnsi="Calibri" w:cs="Calibri"/>
          <w:b/>
          <w:bCs/>
          <w:lang w:val="lt-LT"/>
        </w:rPr>
        <w:t>perkančiojo subjekto</w:t>
      </w:r>
      <w:r w:rsidRPr="42106D55">
        <w:rPr>
          <w:rFonts w:ascii="Calibri" w:eastAsia="Calibri" w:hAnsi="Calibri" w:cs="Calibri"/>
          <w:lang w:val="lt-LT"/>
        </w:rPr>
        <w:t xml:space="preserve"> arba </w:t>
      </w:r>
      <w:r w:rsidRPr="42106D55">
        <w:rPr>
          <w:rFonts w:ascii="Calibri" w:eastAsia="Calibri" w:hAnsi="Calibri" w:cs="Calibri"/>
          <w:b/>
          <w:bCs/>
          <w:lang w:val="lt-LT"/>
        </w:rPr>
        <w:t>suteikiančios</w:t>
      </w:r>
      <w:r w:rsidR="1B2B0998" w:rsidRPr="42106D55">
        <w:rPr>
          <w:rFonts w:ascii="Calibri" w:eastAsia="Calibri" w:hAnsi="Calibri" w:cs="Calibri"/>
          <w:b/>
          <w:bCs/>
          <w:lang w:val="lt-LT"/>
        </w:rPr>
        <w:t>ios</w:t>
      </w:r>
      <w:r w:rsidRPr="42106D55">
        <w:rPr>
          <w:rFonts w:ascii="Calibri" w:eastAsia="Calibri" w:hAnsi="Calibri" w:cs="Calibri"/>
          <w:b/>
          <w:bCs/>
          <w:lang w:val="lt-LT"/>
        </w:rPr>
        <w:t xml:space="preserve"> institucijos</w:t>
      </w:r>
      <w:r w:rsidRPr="42106D55">
        <w:rPr>
          <w:rFonts w:ascii="Calibri" w:eastAsia="Calibri" w:hAnsi="Calibri" w:cs="Calibri"/>
          <w:lang w:val="lt-LT"/>
        </w:rPr>
        <w:t xml:space="preserve"> reikalavimas atlyginti nuostolius. </w:t>
      </w:r>
    </w:p>
    <w:p w14:paraId="64FC6C4E" w14:textId="77777777" w:rsidR="00DA5261" w:rsidRDefault="00DA5261" w:rsidP="008A79A5">
      <w:pPr>
        <w:pStyle w:val="ListParagraph"/>
        <w:tabs>
          <w:tab w:val="left" w:pos="851"/>
        </w:tabs>
        <w:spacing w:after="0" w:line="276" w:lineRule="auto"/>
        <w:ind w:left="0" w:firstLine="624"/>
        <w:rPr>
          <w:rFonts w:ascii="Calibri" w:eastAsia="Calibri" w:hAnsi="Calibri" w:cs="Calibri"/>
          <w:lang w:val="lt-LT"/>
        </w:rPr>
      </w:pPr>
      <w:r>
        <w:rPr>
          <w:rFonts w:ascii="Calibri" w:eastAsia="Calibri" w:hAnsi="Calibri" w:cs="Calibri"/>
          <w:lang w:val="lt-LT"/>
        </w:rPr>
        <w:t xml:space="preserve">Be to, tiekėjas pašalinamas iš pirkimo procedūros, kai </w:t>
      </w:r>
      <w:r w:rsidRPr="00054C94">
        <w:rPr>
          <w:rFonts w:ascii="Calibri" w:eastAsia="Calibri" w:hAnsi="Calibri" w:cs="Calibri"/>
          <w:lang w:val="lt-LT"/>
        </w:rPr>
        <w:t>esminį reikalavimą vykdė su dideliais arba nuolatiniais trūkumais</w:t>
      </w:r>
      <w:r>
        <w:rPr>
          <w:rFonts w:ascii="Calibri" w:eastAsia="Calibri" w:hAnsi="Calibri" w:cs="Calibri"/>
          <w:lang w:val="lt-LT"/>
        </w:rPr>
        <w:t xml:space="preserve"> ne tik </w:t>
      </w:r>
      <w:r w:rsidRPr="004F74D9">
        <w:rPr>
          <w:rFonts w:ascii="Calibri" w:eastAsia="Calibri" w:hAnsi="Calibri" w:cs="Calibri"/>
          <w:b/>
          <w:bCs/>
          <w:lang w:val="lt-LT"/>
        </w:rPr>
        <w:t>vykdydamas ankstesnę sutartį</w:t>
      </w:r>
      <w:r>
        <w:rPr>
          <w:rFonts w:ascii="Calibri" w:eastAsia="Calibri" w:hAnsi="Calibri" w:cs="Calibri"/>
          <w:lang w:val="lt-LT"/>
        </w:rPr>
        <w:t xml:space="preserve">, bet ir ankstesnę </w:t>
      </w:r>
      <w:r w:rsidRPr="004F74D9">
        <w:rPr>
          <w:rFonts w:ascii="Calibri" w:eastAsia="Calibri" w:hAnsi="Calibri" w:cs="Calibri"/>
          <w:b/>
          <w:bCs/>
          <w:lang w:val="lt-LT"/>
        </w:rPr>
        <w:t>sutartį su perkančiuoju subjektu</w:t>
      </w:r>
      <w:r>
        <w:rPr>
          <w:rFonts w:ascii="Calibri" w:eastAsia="Calibri" w:hAnsi="Calibri" w:cs="Calibri"/>
          <w:lang w:val="lt-LT"/>
        </w:rPr>
        <w:t xml:space="preserve"> arba </w:t>
      </w:r>
      <w:r w:rsidRPr="004F74D9">
        <w:rPr>
          <w:rFonts w:ascii="Calibri" w:eastAsia="Calibri" w:hAnsi="Calibri" w:cs="Calibri"/>
          <w:b/>
          <w:bCs/>
          <w:lang w:val="lt-LT"/>
        </w:rPr>
        <w:t>ankstesnę koncesijos sutartį</w:t>
      </w:r>
      <w:r>
        <w:rPr>
          <w:rFonts w:ascii="Calibri" w:eastAsia="Calibri" w:hAnsi="Calibri" w:cs="Calibri"/>
          <w:lang w:val="lt-LT"/>
        </w:rPr>
        <w:t>.</w:t>
      </w:r>
    </w:p>
    <w:p w14:paraId="633933AD" w14:textId="6AB9E8D4" w:rsidR="00140B37" w:rsidRDefault="00DA5261" w:rsidP="008A79A5">
      <w:pPr>
        <w:tabs>
          <w:tab w:val="left" w:pos="851"/>
        </w:tabs>
        <w:spacing w:after="0" w:line="276" w:lineRule="auto"/>
        <w:ind w:firstLine="624"/>
        <w:rPr>
          <w:rFonts w:ascii="Calibri" w:eastAsia="Calibri" w:hAnsi="Calibri" w:cs="Calibri"/>
          <w:lang w:val="lt-LT" w:eastAsia="lt-LT"/>
        </w:rPr>
      </w:pPr>
      <w:r w:rsidRPr="009B568B">
        <w:rPr>
          <w:rFonts w:ascii="Calibri" w:eastAsia="Calibri" w:hAnsi="Calibri" w:cs="Calibri"/>
          <w:lang w:val="lt-LT" w:eastAsia="lt-LT"/>
        </w:rPr>
        <w:t xml:space="preserve">Atkreiptinas dėmesys, kad siekiant padėti tinkamai suformuluoti pašalinimo pagrindų reikalavimus, Tarnyba yra parengusi ir paskelbusi atnaujintą </w:t>
      </w:r>
      <w:hyperlink r:id="rId10" w:history="1">
        <w:r w:rsidRPr="009B568B">
          <w:rPr>
            <w:rStyle w:val="Hyperlink"/>
            <w:rFonts w:ascii="Calibri" w:eastAsia="Calibri" w:hAnsi="Calibri" w:cs="Calibri"/>
            <w:lang w:val="lt-LT" w:eastAsia="lt-LT"/>
          </w:rPr>
          <w:t>pavyzdinę pašalinimo pagrindų lentelę</w:t>
        </w:r>
      </w:hyperlink>
      <w:r>
        <w:rPr>
          <w:rFonts w:ascii="Calibri" w:eastAsia="Calibri" w:hAnsi="Calibri" w:cs="Calibri"/>
          <w:lang w:val="lt-LT" w:eastAsia="lt-LT"/>
        </w:rPr>
        <w:t>,</w:t>
      </w:r>
      <w:r w:rsidRPr="009B568B">
        <w:rPr>
          <w:rFonts w:ascii="Calibri" w:eastAsia="Calibri" w:hAnsi="Calibri" w:cs="Calibri"/>
          <w:lang w:val="lt-LT" w:eastAsia="lt-LT"/>
        </w:rPr>
        <w:t xml:space="preserve"> todėl rengiant Pirkimo dokumentus rekomenduotina vadovautis šiuo dokumentu</w:t>
      </w:r>
      <w:r>
        <w:rPr>
          <w:rFonts w:ascii="Calibri" w:eastAsia="Calibri" w:hAnsi="Calibri" w:cs="Calibri"/>
          <w:lang w:val="lt-LT" w:eastAsia="lt-LT"/>
        </w:rPr>
        <w:t>.</w:t>
      </w:r>
    </w:p>
    <w:p w14:paraId="65D3F00C" w14:textId="77777777" w:rsidR="004C6870" w:rsidRDefault="004C6870" w:rsidP="008A79A5">
      <w:pPr>
        <w:tabs>
          <w:tab w:val="left" w:pos="851"/>
        </w:tabs>
        <w:spacing w:after="0" w:line="276" w:lineRule="auto"/>
        <w:ind w:firstLine="624"/>
        <w:rPr>
          <w:rFonts w:ascii="Calibri" w:eastAsia="Calibri" w:hAnsi="Calibri" w:cs="Calibri"/>
          <w:lang w:val="lt-LT" w:eastAsia="lt-LT"/>
        </w:rPr>
      </w:pPr>
    </w:p>
    <w:p w14:paraId="43C1CFEC" w14:textId="77777777" w:rsidR="00CB31C7" w:rsidRPr="00CB31C7" w:rsidRDefault="00CB31C7" w:rsidP="008A79A5">
      <w:pPr>
        <w:tabs>
          <w:tab w:val="left" w:pos="851"/>
        </w:tabs>
        <w:spacing w:after="0" w:line="276" w:lineRule="auto"/>
        <w:ind w:firstLine="624"/>
        <w:rPr>
          <w:rFonts w:ascii="Calibri" w:eastAsia="Calibri" w:hAnsi="Calibri" w:cs="Calibri"/>
          <w:lang w:val="lt-LT" w:eastAsia="lt-LT"/>
        </w:rPr>
      </w:pPr>
    </w:p>
    <w:p w14:paraId="7039C0C7" w14:textId="302109C6" w:rsidR="00CB31C7" w:rsidRDefault="00CB31C7" w:rsidP="008A79A5">
      <w:pPr>
        <w:pStyle w:val="ListParagraph"/>
        <w:numPr>
          <w:ilvl w:val="0"/>
          <w:numId w:val="1"/>
        </w:numPr>
        <w:tabs>
          <w:tab w:val="left" w:pos="709"/>
          <w:tab w:val="left" w:pos="993"/>
        </w:tabs>
        <w:spacing w:after="0" w:line="276" w:lineRule="auto"/>
        <w:ind w:left="0" w:firstLine="709"/>
        <w:rPr>
          <w:rFonts w:ascii="Calibri" w:eastAsia="Calibri" w:hAnsi="Calibri" w:cs="Calibri"/>
          <w:lang w:val="lt-LT"/>
        </w:rPr>
      </w:pPr>
      <w:r w:rsidRPr="00CB31C7">
        <w:rPr>
          <w:rFonts w:ascii="Calibri" w:eastAsia="Calibri" w:hAnsi="Calibri" w:cs="Calibri"/>
          <w:lang w:val="lt-LT"/>
        </w:rPr>
        <w:t xml:space="preserve">Pirkimo sąlygų 14.1 papunktyje yra nurodyta, kad ekonomiškai naudingiausias pasiūlymas išrenkamas pagal kainos/sąnaudų ir kokybės santykį (pasiūlymo techninės charakteristikos vertinamos kiekybiškai), o pasiūlymo vertinimo kriterijai ir tvarka nurodyti Pirkimo sąlygų </w:t>
      </w:r>
      <w:r>
        <w:rPr>
          <w:rFonts w:ascii="Calibri" w:eastAsia="Calibri" w:hAnsi="Calibri" w:cs="Calibri"/>
          <w:lang w:val="lt-LT"/>
        </w:rPr>
        <w:t>8</w:t>
      </w:r>
      <w:r w:rsidRPr="00CB31C7">
        <w:rPr>
          <w:rFonts w:ascii="Calibri" w:eastAsia="Calibri" w:hAnsi="Calibri" w:cs="Calibri"/>
          <w:lang w:val="lt-LT"/>
        </w:rPr>
        <w:t xml:space="preserve"> priede</w:t>
      </w:r>
      <w:r w:rsidR="00CE6189">
        <w:rPr>
          <w:rFonts w:ascii="Calibri" w:eastAsia="Calibri" w:hAnsi="Calibri" w:cs="Calibri"/>
          <w:lang w:val="lt-LT"/>
        </w:rPr>
        <w:t xml:space="preserve"> „Sportinių komplektų pasiūlymų vertinimo pagal kainos ir kokybės santykį metodika“</w:t>
      </w:r>
      <w:r w:rsidR="00C875A7">
        <w:rPr>
          <w:rFonts w:ascii="Calibri" w:eastAsia="Calibri" w:hAnsi="Calibri" w:cs="Calibri"/>
          <w:lang w:val="lt-LT"/>
        </w:rPr>
        <w:t xml:space="preserve"> (toliau – Vertinimo metodika).</w:t>
      </w:r>
    </w:p>
    <w:p w14:paraId="1A53117F" w14:textId="02FE56FF" w:rsidR="00292164" w:rsidRPr="009A2F66" w:rsidRDefault="00292164" w:rsidP="008A79A5">
      <w:pPr>
        <w:pStyle w:val="ListParagraph"/>
        <w:tabs>
          <w:tab w:val="left" w:pos="0"/>
          <w:tab w:val="left" w:pos="851"/>
          <w:tab w:val="left" w:pos="993"/>
        </w:tabs>
        <w:spacing w:after="0" w:line="276" w:lineRule="auto"/>
        <w:ind w:left="0" w:firstLine="709"/>
        <w:rPr>
          <w:rFonts w:ascii="Calibri" w:eastAsia="Calibri" w:hAnsi="Calibri" w:cs="Calibri"/>
          <w:lang w:val="lt-LT"/>
        </w:rPr>
      </w:pPr>
      <w:r w:rsidRPr="009A2F66">
        <w:rPr>
          <w:rFonts w:ascii="Calibri" w:eastAsia="Calibri" w:hAnsi="Calibri" w:cs="Calibri"/>
          <w:lang w:val="lt-LT"/>
        </w:rPr>
        <w:t xml:space="preserve">Vertinimo metodikoje yra numatyti vertinimo kriterijai – kaina ir </w:t>
      </w:r>
      <w:r w:rsidR="000D41BB" w:rsidRPr="009A2F66">
        <w:rPr>
          <w:rFonts w:ascii="Calibri" w:eastAsia="Calibri" w:hAnsi="Calibri" w:cs="Calibri"/>
          <w:lang w:val="lt-LT"/>
        </w:rPr>
        <w:t>t</w:t>
      </w:r>
      <w:r w:rsidR="00E04284" w:rsidRPr="009A2F66">
        <w:rPr>
          <w:rFonts w:ascii="Calibri" w:eastAsia="Calibri" w:hAnsi="Calibri" w:cs="Calibri"/>
          <w:lang w:val="lt-LT"/>
        </w:rPr>
        <w:t>ri</w:t>
      </w:r>
      <w:r w:rsidR="000D41BB" w:rsidRPr="009A2F66">
        <w:rPr>
          <w:rFonts w:ascii="Calibri" w:eastAsia="Calibri" w:hAnsi="Calibri" w:cs="Calibri"/>
          <w:lang w:val="lt-LT"/>
        </w:rPr>
        <w:t>kotažinės medžiagos</w:t>
      </w:r>
      <w:r w:rsidR="00E364AC">
        <w:rPr>
          <w:rFonts w:ascii="Calibri" w:eastAsia="Calibri" w:hAnsi="Calibri" w:cs="Calibri"/>
          <w:lang w:val="lt-LT"/>
        </w:rPr>
        <w:t xml:space="preserve"> </w:t>
      </w:r>
      <w:r w:rsidR="000D41BB" w:rsidRPr="009A2F66">
        <w:rPr>
          <w:rFonts w:ascii="Calibri" w:eastAsia="Calibri" w:hAnsi="Calibri" w:cs="Calibri"/>
          <w:lang w:val="lt-LT"/>
        </w:rPr>
        <w:t>šortams</w:t>
      </w:r>
      <w:r w:rsidR="00FB2200" w:rsidRPr="009A2F66">
        <w:rPr>
          <w:rFonts w:ascii="Calibri" w:eastAsia="Calibri" w:hAnsi="Calibri" w:cs="Calibri"/>
          <w:lang w:val="lt-LT"/>
        </w:rPr>
        <w:t xml:space="preserve"> (laidumo orui ir </w:t>
      </w:r>
      <w:r w:rsidR="00F06362" w:rsidRPr="009A2F66">
        <w:rPr>
          <w:rFonts w:ascii="Calibri" w:eastAsia="Calibri" w:hAnsi="Calibri" w:cs="Calibri"/>
          <w:lang w:val="lt-LT"/>
        </w:rPr>
        <w:t>duobimo jėgos)</w:t>
      </w:r>
      <w:r w:rsidRPr="009A2F66">
        <w:rPr>
          <w:rFonts w:ascii="Calibri" w:eastAsia="Calibri" w:hAnsi="Calibri" w:cs="Calibri"/>
          <w:lang w:val="lt-LT"/>
        </w:rPr>
        <w:t xml:space="preserve"> techniniai pranašumai, už kuriuos yra numatyta skirti papildomus balus.</w:t>
      </w:r>
      <w:r w:rsidR="00B56E75" w:rsidRPr="009A2F66">
        <w:rPr>
          <w:rFonts w:ascii="Calibri" w:eastAsia="Calibri" w:hAnsi="Calibri" w:cs="Calibri"/>
          <w:lang w:val="lt-LT"/>
        </w:rPr>
        <w:t xml:space="preserve"> </w:t>
      </w:r>
    </w:p>
    <w:p w14:paraId="73420AEE" w14:textId="54CF4443" w:rsidR="00E50AB5" w:rsidRDefault="007C28E6" w:rsidP="008A79A5">
      <w:pPr>
        <w:tabs>
          <w:tab w:val="left" w:pos="993"/>
        </w:tabs>
        <w:spacing w:after="0" w:line="276" w:lineRule="auto"/>
        <w:ind w:firstLine="709"/>
        <w:rPr>
          <w:rFonts w:ascii="Calibri" w:hAnsi="Calibri" w:cs="Calibri"/>
        </w:rPr>
      </w:pPr>
      <w:r>
        <w:rPr>
          <w:rFonts w:ascii="Calibri" w:hAnsi="Calibri" w:cs="Calibri"/>
        </w:rPr>
        <w:t>S</w:t>
      </w:r>
      <w:r w:rsidRPr="00CD65D9">
        <w:rPr>
          <w:rFonts w:ascii="Calibri" w:hAnsi="Calibri" w:cs="Calibri"/>
        </w:rPr>
        <w:t xml:space="preserve">utarties </w:t>
      </w:r>
      <w:r>
        <w:rPr>
          <w:rFonts w:ascii="Calibri" w:hAnsi="Calibri" w:cs="Calibri"/>
        </w:rPr>
        <w:t xml:space="preserve">projekto </w:t>
      </w:r>
      <w:r w:rsidRPr="00CD65D9">
        <w:rPr>
          <w:rFonts w:ascii="Calibri" w:hAnsi="Calibri" w:cs="Calibri"/>
        </w:rPr>
        <w:t xml:space="preserve">specialiosios dalies 1.1 papunktyje nurodyta, kad Tiekėjas įsipareigoja parduoti ir pristatyti prekes, </w:t>
      </w:r>
      <w:r w:rsidR="00E15A19">
        <w:rPr>
          <w:rFonts w:ascii="Calibri" w:hAnsi="Calibri" w:cs="Calibri"/>
        </w:rPr>
        <w:t>atitinkančias</w:t>
      </w:r>
      <w:r w:rsidR="00E50AB5">
        <w:rPr>
          <w:rFonts w:ascii="Calibri" w:hAnsi="Calibri" w:cs="Calibri"/>
        </w:rPr>
        <w:t xml:space="preserve"> </w:t>
      </w:r>
      <w:r w:rsidR="000F202C">
        <w:rPr>
          <w:rFonts w:ascii="Calibri" w:hAnsi="Calibri" w:cs="Calibri"/>
        </w:rPr>
        <w:t>P</w:t>
      </w:r>
      <w:r w:rsidR="00271F50">
        <w:rPr>
          <w:rFonts w:ascii="Calibri" w:hAnsi="Calibri" w:cs="Calibri"/>
        </w:rPr>
        <w:t xml:space="preserve">irkimo </w:t>
      </w:r>
      <w:r w:rsidR="00B958DF">
        <w:rPr>
          <w:rFonts w:ascii="Calibri" w:hAnsi="Calibri" w:cs="Calibri"/>
        </w:rPr>
        <w:t>T</w:t>
      </w:r>
      <w:r w:rsidR="00271F50">
        <w:rPr>
          <w:rFonts w:ascii="Calibri" w:hAnsi="Calibri" w:cs="Calibri"/>
        </w:rPr>
        <w:t>echninė</w:t>
      </w:r>
      <w:r w:rsidR="00B958DF">
        <w:rPr>
          <w:rFonts w:ascii="Calibri" w:hAnsi="Calibri" w:cs="Calibri"/>
        </w:rPr>
        <w:t>je</w:t>
      </w:r>
      <w:r w:rsidR="00271F50">
        <w:rPr>
          <w:rFonts w:ascii="Calibri" w:hAnsi="Calibri" w:cs="Calibri"/>
        </w:rPr>
        <w:t xml:space="preserve"> specifikacijo</w:t>
      </w:r>
      <w:r w:rsidR="00B958DF">
        <w:rPr>
          <w:rFonts w:ascii="Calibri" w:hAnsi="Calibri" w:cs="Calibri"/>
        </w:rPr>
        <w:t>je (Pirkimo</w:t>
      </w:r>
      <w:r w:rsidR="005C1F45">
        <w:rPr>
          <w:rFonts w:ascii="Calibri" w:hAnsi="Calibri" w:cs="Calibri"/>
        </w:rPr>
        <w:t xml:space="preserve"> sąlygų</w:t>
      </w:r>
      <w:r w:rsidR="00B958DF">
        <w:rPr>
          <w:rFonts w:ascii="Calibri" w:hAnsi="Calibri" w:cs="Calibri"/>
        </w:rPr>
        <w:t xml:space="preserve"> ir Sutarties </w:t>
      </w:r>
      <w:r w:rsidR="000F202C">
        <w:rPr>
          <w:rFonts w:ascii="Calibri" w:hAnsi="Calibri" w:cs="Calibri"/>
        </w:rPr>
        <w:t>1 pried</w:t>
      </w:r>
      <w:r w:rsidR="00524FB8">
        <w:rPr>
          <w:rFonts w:ascii="Calibri" w:hAnsi="Calibri" w:cs="Calibri"/>
        </w:rPr>
        <w:t>a</w:t>
      </w:r>
      <w:r w:rsidR="00CA37F8">
        <w:rPr>
          <w:rFonts w:ascii="Calibri" w:hAnsi="Calibri" w:cs="Calibri"/>
        </w:rPr>
        <w:t>i</w:t>
      </w:r>
      <w:r w:rsidR="005A5E32">
        <w:rPr>
          <w:rFonts w:ascii="Calibri" w:hAnsi="Calibri" w:cs="Calibri"/>
        </w:rPr>
        <w:t xml:space="preserve"> toliau</w:t>
      </w:r>
      <w:r w:rsidR="00EA468F">
        <w:rPr>
          <w:rFonts w:ascii="Calibri" w:hAnsi="Calibri" w:cs="Calibri"/>
        </w:rPr>
        <w:t xml:space="preserve"> – </w:t>
      </w:r>
      <w:r w:rsidR="00524FB8">
        <w:rPr>
          <w:rFonts w:ascii="Calibri" w:hAnsi="Calibri" w:cs="Calibri"/>
        </w:rPr>
        <w:t>Techninė specifikacija</w:t>
      </w:r>
      <w:r w:rsidR="000F202C">
        <w:rPr>
          <w:rFonts w:ascii="Calibri" w:hAnsi="Calibri" w:cs="Calibri"/>
        </w:rPr>
        <w:t>)</w:t>
      </w:r>
      <w:r w:rsidR="004540C3">
        <w:rPr>
          <w:rFonts w:ascii="Calibri" w:hAnsi="Calibri" w:cs="Calibri"/>
        </w:rPr>
        <w:t xml:space="preserve"> nustatytus reikalavimus</w:t>
      </w:r>
      <w:r w:rsidR="002E3D14">
        <w:rPr>
          <w:rFonts w:ascii="Calibri" w:hAnsi="Calibri" w:cs="Calibri"/>
        </w:rPr>
        <w:t>, ne prastesnių savybių</w:t>
      </w:r>
      <w:r w:rsidR="003F14DB">
        <w:rPr>
          <w:rFonts w:ascii="Calibri" w:hAnsi="Calibri" w:cs="Calibri"/>
        </w:rPr>
        <w:t xml:space="preserve"> nei</w:t>
      </w:r>
      <w:r w:rsidR="002E3D14">
        <w:rPr>
          <w:rFonts w:ascii="Calibri" w:hAnsi="Calibri" w:cs="Calibri"/>
        </w:rPr>
        <w:t xml:space="preserve"> nurodyt</w:t>
      </w:r>
      <w:r w:rsidR="006E5A8A">
        <w:rPr>
          <w:rFonts w:ascii="Calibri" w:hAnsi="Calibri" w:cs="Calibri"/>
        </w:rPr>
        <w:t>a</w:t>
      </w:r>
      <w:r w:rsidR="002E3D14">
        <w:rPr>
          <w:rFonts w:ascii="Calibri" w:hAnsi="Calibri" w:cs="Calibri"/>
        </w:rPr>
        <w:t xml:space="preserve"> Pasiūlyme (</w:t>
      </w:r>
      <w:r w:rsidR="00621FFE">
        <w:rPr>
          <w:rFonts w:ascii="Calibri" w:hAnsi="Calibri" w:cs="Calibri"/>
        </w:rPr>
        <w:t xml:space="preserve">Pirkimo </w:t>
      </w:r>
      <w:r w:rsidR="008A6D5D">
        <w:rPr>
          <w:rFonts w:ascii="Calibri" w:hAnsi="Calibri" w:cs="Calibri"/>
        </w:rPr>
        <w:t>sąlygų</w:t>
      </w:r>
      <w:r w:rsidR="00621FFE">
        <w:rPr>
          <w:rFonts w:ascii="Calibri" w:hAnsi="Calibri" w:cs="Calibri"/>
        </w:rPr>
        <w:t xml:space="preserve"> </w:t>
      </w:r>
      <w:r w:rsidR="00B42732">
        <w:rPr>
          <w:rFonts w:ascii="Calibri" w:hAnsi="Calibri" w:cs="Calibri"/>
        </w:rPr>
        <w:t xml:space="preserve">ir </w:t>
      </w:r>
      <w:r w:rsidR="009870AF">
        <w:rPr>
          <w:rFonts w:ascii="Calibri" w:hAnsi="Calibri" w:cs="Calibri"/>
        </w:rPr>
        <w:t xml:space="preserve">Sutarties 2 </w:t>
      </w:r>
      <w:r w:rsidR="00B42732">
        <w:rPr>
          <w:rFonts w:ascii="Calibri" w:hAnsi="Calibri" w:cs="Calibri"/>
        </w:rPr>
        <w:t>pried</w:t>
      </w:r>
      <w:r w:rsidR="00971146">
        <w:rPr>
          <w:rFonts w:ascii="Calibri" w:hAnsi="Calibri" w:cs="Calibri"/>
        </w:rPr>
        <w:t>ai</w:t>
      </w:r>
      <w:r w:rsidR="00B42732">
        <w:rPr>
          <w:rFonts w:ascii="Calibri" w:hAnsi="Calibri" w:cs="Calibri"/>
        </w:rPr>
        <w:t xml:space="preserve">) ir </w:t>
      </w:r>
      <w:r w:rsidR="00416BB5">
        <w:rPr>
          <w:rFonts w:ascii="Calibri" w:hAnsi="Calibri" w:cs="Calibri"/>
        </w:rPr>
        <w:t>pagamint</w:t>
      </w:r>
      <w:r w:rsidR="00DB7E74">
        <w:rPr>
          <w:rFonts w:ascii="Calibri" w:hAnsi="Calibri" w:cs="Calibri"/>
        </w:rPr>
        <w:t>a</w:t>
      </w:r>
      <w:r w:rsidR="00416BB5">
        <w:rPr>
          <w:rFonts w:ascii="Calibri" w:hAnsi="Calibri" w:cs="Calibri"/>
        </w:rPr>
        <w:t xml:space="preserve">s pagal </w:t>
      </w:r>
      <w:r w:rsidR="00416BB5" w:rsidRPr="00AB5DF9">
        <w:rPr>
          <w:rFonts w:ascii="Calibri" w:hAnsi="Calibri" w:cs="Calibri"/>
          <w:u w:val="single"/>
        </w:rPr>
        <w:t>Sutartyje nustatyta tvarka</w:t>
      </w:r>
      <w:r w:rsidR="00416BB5">
        <w:rPr>
          <w:rFonts w:ascii="Calibri" w:hAnsi="Calibri" w:cs="Calibri"/>
        </w:rPr>
        <w:t xml:space="preserve"> Pirkėjo patvirtintą</w:t>
      </w:r>
      <w:r w:rsidR="00AB5DF9">
        <w:rPr>
          <w:rFonts w:ascii="Calibri" w:hAnsi="Calibri" w:cs="Calibri"/>
        </w:rPr>
        <w:t xml:space="preserve"> darbinį pavyzdį.</w:t>
      </w:r>
      <w:r w:rsidR="00AE5620">
        <w:rPr>
          <w:rFonts w:ascii="Calibri" w:hAnsi="Calibri" w:cs="Calibri"/>
        </w:rPr>
        <w:t xml:space="preserve"> Sutarties bendrosios dalies</w:t>
      </w:r>
      <w:r w:rsidR="00172266">
        <w:rPr>
          <w:rFonts w:ascii="Calibri" w:hAnsi="Calibri" w:cs="Calibri"/>
        </w:rPr>
        <w:t xml:space="preserve"> 3.5.1 papunktyje nurodyta, kad prekių darbiniai pavyzdžiai</w:t>
      </w:r>
      <w:r w:rsidR="000014A1">
        <w:rPr>
          <w:rFonts w:ascii="Calibri" w:hAnsi="Calibri" w:cs="Calibri"/>
        </w:rPr>
        <w:t xml:space="preserve"> turi atitikti Sutartyje ir jos priede (-uose) nustatytus reikalavimus.</w:t>
      </w:r>
    </w:p>
    <w:p w14:paraId="3E3B1B56" w14:textId="0D9D96FA" w:rsidR="00D54AED" w:rsidRDefault="002B79E0" w:rsidP="008A79A5">
      <w:pPr>
        <w:tabs>
          <w:tab w:val="left" w:pos="993"/>
        </w:tabs>
        <w:spacing w:after="0" w:line="276" w:lineRule="auto"/>
        <w:ind w:firstLine="709"/>
        <w:rPr>
          <w:rFonts w:ascii="Calibri" w:hAnsi="Calibri" w:cs="Calibri"/>
        </w:rPr>
      </w:pPr>
      <w:r w:rsidRPr="42106D55">
        <w:rPr>
          <w:rFonts w:ascii="Calibri" w:hAnsi="Calibri" w:cs="Calibri"/>
        </w:rPr>
        <w:lastRenderedPageBreak/>
        <w:t>Techninė</w:t>
      </w:r>
      <w:r w:rsidR="00A40781" w:rsidRPr="42106D55">
        <w:rPr>
          <w:rFonts w:ascii="Calibri" w:hAnsi="Calibri" w:cs="Calibri"/>
        </w:rPr>
        <w:t>s</w:t>
      </w:r>
      <w:r w:rsidRPr="42106D55">
        <w:rPr>
          <w:rFonts w:ascii="Calibri" w:hAnsi="Calibri" w:cs="Calibri"/>
        </w:rPr>
        <w:t xml:space="preserve"> specifikacij</w:t>
      </w:r>
      <w:r w:rsidR="00A40781" w:rsidRPr="42106D55">
        <w:rPr>
          <w:rFonts w:ascii="Calibri" w:hAnsi="Calibri" w:cs="Calibri"/>
        </w:rPr>
        <w:t>os</w:t>
      </w:r>
      <w:r w:rsidRPr="42106D55">
        <w:rPr>
          <w:rFonts w:ascii="Calibri" w:hAnsi="Calibri" w:cs="Calibri"/>
        </w:rPr>
        <w:t xml:space="preserve"> </w:t>
      </w:r>
      <w:r w:rsidR="00F41529" w:rsidRPr="42106D55">
        <w:rPr>
          <w:rFonts w:ascii="Calibri" w:hAnsi="Calibri" w:cs="Calibri"/>
        </w:rPr>
        <w:t>4</w:t>
      </w:r>
      <w:r w:rsidR="00882914">
        <w:rPr>
          <w:rFonts w:ascii="Calibri" w:hAnsi="Calibri" w:cs="Calibri"/>
        </w:rPr>
        <w:t>0</w:t>
      </w:r>
      <w:r w:rsidRPr="42106D55">
        <w:rPr>
          <w:rFonts w:ascii="Calibri" w:hAnsi="Calibri" w:cs="Calibri"/>
        </w:rPr>
        <w:t xml:space="preserve"> punkte yra nurodyta, kad darbiniai Pirkimo objekto pavyzdžiai bus derinami ir tvirtinami sudarius sutartį.</w:t>
      </w:r>
      <w:r w:rsidR="00F90B5F" w:rsidRPr="42106D55">
        <w:rPr>
          <w:rFonts w:ascii="Calibri" w:hAnsi="Calibri" w:cs="Calibri"/>
        </w:rPr>
        <w:t xml:space="preserve"> </w:t>
      </w:r>
      <w:r w:rsidR="00451D42" w:rsidRPr="42106D55">
        <w:rPr>
          <w:rFonts w:ascii="Calibri" w:hAnsi="Calibri" w:cs="Calibri"/>
        </w:rPr>
        <w:t xml:space="preserve">Atkreiptinas dėmesys, kad Techninėje specifikacijoje (pvz., </w:t>
      </w:r>
      <w:r w:rsidR="00067822" w:rsidRPr="42106D55">
        <w:rPr>
          <w:rFonts w:ascii="Calibri" w:hAnsi="Calibri" w:cs="Calibri"/>
        </w:rPr>
        <w:t>42.4</w:t>
      </w:r>
      <w:r w:rsidR="00451D42" w:rsidRPr="42106D55">
        <w:rPr>
          <w:rFonts w:ascii="Calibri" w:hAnsi="Calibri" w:cs="Calibri"/>
        </w:rPr>
        <w:t xml:space="preserve"> papunktyje) yra nurodyta, kad darbinių pavyzdžių tvirtinimui turi būti pristatytas </w:t>
      </w:r>
      <w:r w:rsidR="00D857AB" w:rsidRPr="42106D55">
        <w:rPr>
          <w:rFonts w:ascii="Calibri" w:hAnsi="Calibri" w:cs="Calibri"/>
        </w:rPr>
        <w:t xml:space="preserve">gaminio </w:t>
      </w:r>
      <w:r w:rsidR="00451D42" w:rsidRPr="42106D55">
        <w:rPr>
          <w:rFonts w:ascii="Calibri" w:hAnsi="Calibri" w:cs="Calibri"/>
        </w:rPr>
        <w:t>techninis aprašas</w:t>
      </w:r>
      <w:r w:rsidR="00626000" w:rsidRPr="42106D55">
        <w:rPr>
          <w:rFonts w:ascii="Calibri" w:hAnsi="Calibri" w:cs="Calibri"/>
        </w:rPr>
        <w:t xml:space="preserve"> su gaminio</w:t>
      </w:r>
      <w:r w:rsidR="00BD4CF3" w:rsidRPr="42106D55">
        <w:rPr>
          <w:rFonts w:ascii="Calibri" w:hAnsi="Calibri" w:cs="Calibri"/>
        </w:rPr>
        <w:t xml:space="preserve"> siuvime panaudotų medžiagų pavyzdžiais ir </w:t>
      </w:r>
      <w:r w:rsidR="003860D2" w:rsidRPr="42106D55">
        <w:rPr>
          <w:rFonts w:ascii="Calibri" w:hAnsi="Calibri" w:cs="Calibri"/>
        </w:rPr>
        <w:t>jų</w:t>
      </w:r>
      <w:r w:rsidR="005B7BAF" w:rsidRPr="42106D55">
        <w:rPr>
          <w:rFonts w:ascii="Calibri" w:hAnsi="Calibri" w:cs="Calibri"/>
        </w:rPr>
        <w:t xml:space="preserve"> charakteristikomis</w:t>
      </w:r>
      <w:r w:rsidR="0036616F" w:rsidRPr="42106D55">
        <w:rPr>
          <w:rFonts w:ascii="Calibri" w:hAnsi="Calibri" w:cs="Calibri"/>
        </w:rPr>
        <w:t xml:space="preserve">, įrodančiomis jų atitikimą </w:t>
      </w:r>
      <w:r w:rsidR="00403868" w:rsidRPr="42106D55">
        <w:rPr>
          <w:rFonts w:ascii="Calibri" w:hAnsi="Calibri" w:cs="Calibri"/>
        </w:rPr>
        <w:t>T</w:t>
      </w:r>
      <w:r w:rsidR="0036616F" w:rsidRPr="42106D55">
        <w:rPr>
          <w:rFonts w:ascii="Calibri" w:hAnsi="Calibri" w:cs="Calibri"/>
        </w:rPr>
        <w:t>echninėje specifikacijoje nus</w:t>
      </w:r>
      <w:r w:rsidR="007C4ECD" w:rsidRPr="42106D55">
        <w:rPr>
          <w:rFonts w:ascii="Calibri" w:hAnsi="Calibri" w:cs="Calibri"/>
        </w:rPr>
        <w:t>taty</w:t>
      </w:r>
      <w:r w:rsidR="003F74B3" w:rsidRPr="42106D55">
        <w:rPr>
          <w:rFonts w:ascii="Calibri" w:hAnsi="Calibri" w:cs="Calibri"/>
        </w:rPr>
        <w:t>tiems</w:t>
      </w:r>
      <w:r w:rsidR="007C4ECD" w:rsidRPr="42106D55">
        <w:rPr>
          <w:rFonts w:ascii="Calibri" w:hAnsi="Calibri" w:cs="Calibri"/>
        </w:rPr>
        <w:t xml:space="preserve"> reikalavim</w:t>
      </w:r>
      <w:r w:rsidR="003F74B3" w:rsidRPr="42106D55">
        <w:rPr>
          <w:rFonts w:ascii="Calibri" w:hAnsi="Calibri" w:cs="Calibri"/>
        </w:rPr>
        <w:t>ams</w:t>
      </w:r>
      <w:r w:rsidR="0042333F" w:rsidRPr="42106D55">
        <w:rPr>
          <w:rFonts w:ascii="Calibri" w:hAnsi="Calibri" w:cs="Calibri"/>
        </w:rPr>
        <w:t xml:space="preserve">. </w:t>
      </w:r>
      <w:r w:rsidR="00416266" w:rsidRPr="42106D55">
        <w:rPr>
          <w:rFonts w:ascii="Calibri" w:hAnsi="Calibri" w:cs="Calibri"/>
          <w:color w:val="000000" w:themeColor="text1"/>
          <w:lang w:val="af-ZA"/>
        </w:rPr>
        <w:t xml:space="preserve">Be to, Techninės specifikacijos </w:t>
      </w:r>
      <w:r w:rsidR="00416266" w:rsidRPr="42106D55">
        <w:rPr>
          <w:rFonts w:ascii="Calibri" w:hAnsi="Calibri" w:cs="Calibri"/>
          <w:color w:val="000000" w:themeColor="text1"/>
          <w:lang w:val="lt-LT"/>
        </w:rPr>
        <w:t>58 punkte nurodyta, kad</w:t>
      </w:r>
      <w:r w:rsidR="00BC2DFC" w:rsidRPr="42106D55">
        <w:rPr>
          <w:rFonts w:ascii="Calibri" w:hAnsi="Calibri" w:cs="Calibri"/>
        </w:rPr>
        <w:t xml:space="preserve"> </w:t>
      </w:r>
      <w:r w:rsidR="00D54AED" w:rsidRPr="42106D55">
        <w:rPr>
          <w:rFonts w:ascii="Calibri" w:hAnsi="Calibri" w:cs="Calibri"/>
        </w:rPr>
        <w:t xml:space="preserve">Pirkėjas iš pasirinktos prekių partijos gali patikrinti prekių kokybę ir atlikti jų laboratorinius bandymus. Gauti rezultatai turi atitikti Techninėje specifikacijos nurodytus reikalavimus ar darbinius pavyzdžius (kurie, kaip buvo rašyta anksčiau, taip pat turi atitikti Techninėje specifikacijoje nurodytus reikalavimus, bet ne Vertinimo metodikos reikalavimus), nes priešingu atveju būtų brokuojama visa </w:t>
      </w:r>
      <w:r w:rsidR="0EF5B44D" w:rsidRPr="42106D55">
        <w:rPr>
          <w:rFonts w:ascii="Calibri" w:hAnsi="Calibri" w:cs="Calibri"/>
        </w:rPr>
        <w:t>p</w:t>
      </w:r>
      <w:r w:rsidR="00D54AED" w:rsidRPr="42106D55">
        <w:rPr>
          <w:rFonts w:ascii="Calibri" w:hAnsi="Calibri" w:cs="Calibri"/>
        </w:rPr>
        <w:t>rekių partija.</w:t>
      </w:r>
    </w:p>
    <w:p w14:paraId="6DC6A4DF" w14:textId="4233154E" w:rsidR="009D7BA8" w:rsidRDefault="0056096C" w:rsidP="008A79A5">
      <w:pPr>
        <w:tabs>
          <w:tab w:val="left" w:pos="709"/>
        </w:tabs>
        <w:spacing w:after="0" w:line="276" w:lineRule="auto"/>
        <w:ind w:firstLine="709"/>
        <w:rPr>
          <w:rFonts w:ascii="Calibri" w:hAnsi="Calibri" w:cs="Calibri"/>
        </w:rPr>
      </w:pPr>
      <w:r>
        <w:rPr>
          <w:rFonts w:ascii="Calibri" w:hAnsi="Calibri" w:cs="Calibri"/>
        </w:rPr>
        <w:tab/>
        <w:t>Sutarties specialiosios dalies</w:t>
      </w:r>
      <w:r w:rsidR="00CA1E60">
        <w:rPr>
          <w:rFonts w:ascii="Calibri" w:hAnsi="Calibri" w:cs="Calibri"/>
        </w:rPr>
        <w:t xml:space="preserve"> 6 punkte, kuriame numatytos sąlygos dėl prek</w:t>
      </w:r>
      <w:r w:rsidR="0000774C">
        <w:rPr>
          <w:rFonts w:ascii="Calibri" w:hAnsi="Calibri" w:cs="Calibri"/>
        </w:rPr>
        <w:t>ių kokybės</w:t>
      </w:r>
      <w:r w:rsidR="00E3154F">
        <w:rPr>
          <w:rFonts w:ascii="Calibri" w:hAnsi="Calibri" w:cs="Calibri"/>
        </w:rPr>
        <w:t>,</w:t>
      </w:r>
      <w:r w:rsidR="00CA1E60">
        <w:rPr>
          <w:rFonts w:ascii="Calibri" w:hAnsi="Calibri" w:cs="Calibri"/>
        </w:rPr>
        <w:tab/>
      </w:r>
      <w:r>
        <w:rPr>
          <w:rFonts w:ascii="Calibri" w:hAnsi="Calibri" w:cs="Calibri"/>
        </w:rPr>
        <w:t xml:space="preserve"> </w:t>
      </w:r>
      <w:r w:rsidR="0000774C">
        <w:rPr>
          <w:rFonts w:ascii="Calibri" w:hAnsi="Calibri" w:cs="Calibri"/>
        </w:rPr>
        <w:t xml:space="preserve">taip pat </w:t>
      </w:r>
      <w:r>
        <w:rPr>
          <w:rFonts w:ascii="Calibri" w:hAnsi="Calibri" w:cs="Calibri"/>
        </w:rPr>
        <w:t>yra numatyta</w:t>
      </w:r>
      <w:r w:rsidR="0000774C">
        <w:rPr>
          <w:rFonts w:ascii="Calibri" w:hAnsi="Calibri" w:cs="Calibri"/>
        </w:rPr>
        <w:t xml:space="preserve"> (pvz., 6.1, 6.3 ir 6.4 papunkčiuose)</w:t>
      </w:r>
      <w:r>
        <w:rPr>
          <w:rFonts w:ascii="Calibri" w:hAnsi="Calibri" w:cs="Calibri"/>
        </w:rPr>
        <w:t xml:space="preserve">, kad prekės turi atitikti </w:t>
      </w:r>
      <w:r w:rsidR="001E7440">
        <w:rPr>
          <w:rFonts w:ascii="Calibri" w:hAnsi="Calibri" w:cs="Calibri"/>
        </w:rPr>
        <w:t>T</w:t>
      </w:r>
      <w:r>
        <w:rPr>
          <w:rFonts w:ascii="Calibri" w:hAnsi="Calibri" w:cs="Calibri"/>
        </w:rPr>
        <w:t xml:space="preserve">echninės specifikacijos </w:t>
      </w:r>
      <w:r w:rsidR="1C90D939">
        <w:rPr>
          <w:rFonts w:ascii="Calibri" w:hAnsi="Calibri" w:cs="Calibri"/>
        </w:rPr>
        <w:t xml:space="preserve">reikalavimus </w:t>
      </w:r>
      <w:r>
        <w:rPr>
          <w:rFonts w:ascii="Calibri" w:hAnsi="Calibri" w:cs="Calibri"/>
        </w:rPr>
        <w:t>bei darbinį pavyzdį</w:t>
      </w:r>
      <w:r w:rsidR="00E3154F">
        <w:rPr>
          <w:rFonts w:ascii="Calibri" w:hAnsi="Calibri" w:cs="Calibri"/>
        </w:rPr>
        <w:t xml:space="preserve">. </w:t>
      </w:r>
    </w:p>
    <w:p w14:paraId="33D1976B" w14:textId="5BCD6B7C" w:rsidR="00D55792" w:rsidRPr="007D3EC3" w:rsidRDefault="00D55792" w:rsidP="008A79A5">
      <w:pPr>
        <w:tabs>
          <w:tab w:val="left" w:pos="993"/>
        </w:tabs>
        <w:spacing w:after="0" w:line="276" w:lineRule="auto"/>
        <w:ind w:firstLine="709"/>
        <w:rPr>
          <w:rFonts w:ascii="Calibri" w:hAnsi="Calibri" w:cs="Calibri"/>
        </w:rPr>
      </w:pPr>
      <w:r w:rsidRPr="42106D55">
        <w:rPr>
          <w:rFonts w:ascii="Calibri" w:hAnsi="Calibri" w:cs="Calibri"/>
        </w:rPr>
        <w:t>Pažymėtina, kad ekonomiškai naudingiausio pasiūlymo vertinimo kriterijai pirkimo sąlygose turi būti nustatomi ne todėl, kad būtų galima tik palyginti tiekėjų pasiūlymus, o tam, kad pasiūlymų vertinimo metu pamatuota ekonominė nauda būtų įgyvendinta vykdant sudarytą pirkimo sutartį. Lietuvos Aukščiausiasis Teismas, formuodamas teisės taikymo praktiką, nurodė, kad pasiūlymo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w:t>
      </w:r>
      <w:r w:rsidR="004B659F">
        <w:rPr>
          <w:rFonts w:ascii="Calibri" w:hAnsi="Calibri" w:cs="Calibri"/>
        </w:rPr>
        <w:t xml:space="preserve"> </w:t>
      </w:r>
      <w:r w:rsidR="00EA09ED" w:rsidRPr="000C67AE">
        <w:rPr>
          <w:rFonts w:ascii="Calibri" w:hAnsi="Calibri" w:cs="Calibri"/>
        </w:rPr>
        <w:t>(</w:t>
      </w:r>
      <w:r w:rsidR="004B659F" w:rsidRPr="00235192">
        <w:rPr>
          <w:rFonts w:ascii="Calibri" w:hAnsi="Calibri" w:cs="Calibri"/>
        </w:rPr>
        <w:t>nutartis civilinėje byloje Nr. e3K-3-178-378/2018</w:t>
      </w:r>
      <w:r w:rsidR="00EA09ED" w:rsidRPr="00235192">
        <w:rPr>
          <w:rFonts w:ascii="Calibri" w:hAnsi="Calibri" w:cs="Calibri"/>
        </w:rPr>
        <w:t>)</w:t>
      </w:r>
      <w:r w:rsidRPr="000C67AE">
        <w:rPr>
          <w:rFonts w:ascii="Calibri" w:hAnsi="Calibri" w:cs="Calibri"/>
        </w:rPr>
        <w:t>.</w:t>
      </w:r>
    </w:p>
    <w:p w14:paraId="0AAAAFC7" w14:textId="23977A9F" w:rsidR="00D55792" w:rsidRPr="007D3EC3" w:rsidRDefault="00D55792" w:rsidP="008A79A5">
      <w:pPr>
        <w:tabs>
          <w:tab w:val="left" w:pos="993"/>
        </w:tabs>
        <w:spacing w:after="0" w:line="276" w:lineRule="auto"/>
        <w:ind w:firstLine="709"/>
        <w:rPr>
          <w:rFonts w:ascii="Calibri" w:hAnsi="Calibri" w:cs="Calibri"/>
        </w:rPr>
      </w:pPr>
      <w:r w:rsidRPr="42106D55">
        <w:rPr>
          <w:rFonts w:ascii="Calibri" w:hAnsi="Calibri" w:cs="Calibri"/>
        </w:rPr>
        <w:t xml:space="preserve">Atsižvelgiant į anksčiau išdėstytą rekomenduojama tikslinti </w:t>
      </w:r>
      <w:r w:rsidR="00DF35E0" w:rsidRPr="42106D55">
        <w:rPr>
          <w:rFonts w:ascii="Calibri" w:hAnsi="Calibri" w:cs="Calibri"/>
        </w:rPr>
        <w:t>Techninės specifikacijos</w:t>
      </w:r>
      <w:r w:rsidRPr="42106D55">
        <w:rPr>
          <w:rFonts w:ascii="Calibri" w:hAnsi="Calibri" w:cs="Calibri"/>
        </w:rPr>
        <w:t xml:space="preserve"> ir </w:t>
      </w:r>
      <w:r w:rsidR="007127DF" w:rsidRPr="42106D55">
        <w:rPr>
          <w:rFonts w:ascii="Calibri" w:hAnsi="Calibri" w:cs="Calibri"/>
        </w:rPr>
        <w:t xml:space="preserve">Sutarties projekto </w:t>
      </w:r>
      <w:r w:rsidR="6E988648" w:rsidRPr="42106D55">
        <w:rPr>
          <w:rFonts w:ascii="Calibri" w:hAnsi="Calibri" w:cs="Calibri"/>
        </w:rPr>
        <w:t>sąlygas</w:t>
      </w:r>
      <w:r w:rsidR="65F691D3" w:rsidRPr="42106D55">
        <w:rPr>
          <w:rFonts w:ascii="Calibri" w:hAnsi="Calibri" w:cs="Calibri"/>
        </w:rPr>
        <w:t xml:space="preserve"> (tas, kuriose nenumatyta)</w:t>
      </w:r>
      <w:r w:rsidR="007127DF" w:rsidRPr="42106D55">
        <w:rPr>
          <w:rFonts w:ascii="Calibri" w:hAnsi="Calibri" w:cs="Calibri"/>
        </w:rPr>
        <w:t>, nurodant</w:t>
      </w:r>
      <w:r w:rsidR="00BC1317" w:rsidRPr="42106D55">
        <w:rPr>
          <w:rFonts w:ascii="Calibri" w:hAnsi="Calibri" w:cs="Calibri"/>
        </w:rPr>
        <w:t>, kad</w:t>
      </w:r>
      <w:r w:rsidR="007127DF" w:rsidRPr="42106D55">
        <w:rPr>
          <w:rFonts w:ascii="Calibri" w:hAnsi="Calibri" w:cs="Calibri"/>
        </w:rPr>
        <w:t xml:space="preserve"> </w:t>
      </w:r>
      <w:r w:rsidRPr="42106D55">
        <w:rPr>
          <w:rFonts w:ascii="Calibri" w:hAnsi="Calibri" w:cs="Calibri"/>
        </w:rPr>
        <w:t>perkamas objektas ir jo</w:t>
      </w:r>
      <w:r w:rsidR="004434CC" w:rsidRPr="42106D55">
        <w:rPr>
          <w:rFonts w:ascii="Calibri" w:hAnsi="Calibri" w:cs="Calibri"/>
        </w:rPr>
        <w:t xml:space="preserve"> darbiniai</w:t>
      </w:r>
      <w:r w:rsidRPr="42106D55">
        <w:rPr>
          <w:rFonts w:ascii="Calibri" w:hAnsi="Calibri" w:cs="Calibri"/>
        </w:rPr>
        <w:t xml:space="preserve"> pavyzdžiai turėtų atitikti ne tik Techninėje specifikacijoje nurodytus reikalavimus, bet ir pagal Vertinimo metodikos antrąjį kriterijų (techniniai pranašumai) Tiekėjo deklaruotus parametrus, už kuriuos buvo skirti papildomi balai. </w:t>
      </w:r>
    </w:p>
    <w:p w14:paraId="1368BAC3" w14:textId="492C280F" w:rsidR="00D55792" w:rsidRDefault="008355E5" w:rsidP="008A79A5">
      <w:pPr>
        <w:spacing w:after="0" w:line="276" w:lineRule="auto"/>
        <w:ind w:firstLine="709"/>
        <w:rPr>
          <w:rFonts w:ascii="Calibri" w:hAnsi="Calibri" w:cs="Calibri"/>
        </w:rPr>
      </w:pPr>
      <w:r>
        <w:rPr>
          <w:rFonts w:ascii="Calibri" w:hAnsi="Calibri" w:cs="Calibri"/>
        </w:rPr>
        <w:tab/>
        <w:t xml:space="preserve">Tarnyba atkreipia dėmesį, kad rekomendacijos dėl </w:t>
      </w:r>
      <w:r w:rsidR="32B17936">
        <w:rPr>
          <w:rFonts w:ascii="Calibri" w:hAnsi="Calibri" w:cs="Calibri"/>
        </w:rPr>
        <w:t>analogiškų</w:t>
      </w:r>
      <w:r w:rsidR="00632E9D">
        <w:rPr>
          <w:rFonts w:ascii="Calibri" w:hAnsi="Calibri" w:cs="Calibri"/>
        </w:rPr>
        <w:t xml:space="preserve"> </w:t>
      </w:r>
      <w:r w:rsidR="59EB38C5">
        <w:rPr>
          <w:rFonts w:ascii="Calibri" w:hAnsi="Calibri" w:cs="Calibri"/>
        </w:rPr>
        <w:t>t</w:t>
      </w:r>
      <w:r w:rsidR="00632E9D">
        <w:rPr>
          <w:rFonts w:ascii="Calibri" w:hAnsi="Calibri" w:cs="Calibri"/>
        </w:rPr>
        <w:t xml:space="preserve">echninės specifikacijos ir </w:t>
      </w:r>
      <w:r w:rsidR="00145EC3">
        <w:rPr>
          <w:rFonts w:ascii="Calibri" w:hAnsi="Calibri" w:cs="Calibri"/>
        </w:rPr>
        <w:t>s</w:t>
      </w:r>
      <w:r w:rsidR="00632E9D">
        <w:rPr>
          <w:rFonts w:ascii="Calibri" w:hAnsi="Calibri" w:cs="Calibri"/>
        </w:rPr>
        <w:t xml:space="preserve">utarties sąlygų </w:t>
      </w:r>
      <w:r w:rsidR="6887E909">
        <w:rPr>
          <w:rFonts w:ascii="Calibri" w:hAnsi="Calibri" w:cs="Calibri"/>
        </w:rPr>
        <w:t xml:space="preserve">trūkumų </w:t>
      </w:r>
      <w:r w:rsidR="007F23FD">
        <w:rPr>
          <w:rFonts w:ascii="Calibri" w:hAnsi="Calibri" w:cs="Calibri"/>
        </w:rPr>
        <w:t>Perkančiajai organizacijai</w:t>
      </w:r>
      <w:r w:rsidR="00632E9D">
        <w:rPr>
          <w:rFonts w:ascii="Calibri" w:hAnsi="Calibri" w:cs="Calibri"/>
        </w:rPr>
        <w:t xml:space="preserve"> jau buvo teiktos </w:t>
      </w:r>
      <w:r w:rsidR="007F23FD">
        <w:rPr>
          <w:rFonts w:ascii="Calibri" w:hAnsi="Calibri" w:cs="Calibri"/>
        </w:rPr>
        <w:t>vykdant kitų pirkimų</w:t>
      </w:r>
      <w:r w:rsidR="00B73F0E">
        <w:rPr>
          <w:rFonts w:ascii="Calibri" w:hAnsi="Calibri" w:cs="Calibri"/>
        </w:rPr>
        <w:t xml:space="preserve"> (</w:t>
      </w:r>
      <w:r w:rsidR="00F31FD4">
        <w:rPr>
          <w:rFonts w:ascii="Calibri" w:hAnsi="Calibri" w:cs="Calibri"/>
        </w:rPr>
        <w:t xml:space="preserve">pvz. </w:t>
      </w:r>
      <w:r w:rsidR="00B73F0E">
        <w:rPr>
          <w:rFonts w:ascii="Calibri" w:hAnsi="Calibri" w:cs="Calibri"/>
        </w:rPr>
        <w:t>pirkimų Nr.</w:t>
      </w:r>
      <w:r w:rsidR="00341AB3">
        <w:rPr>
          <w:rFonts w:ascii="Calibri" w:hAnsi="Calibri" w:cs="Calibri"/>
        </w:rPr>
        <w:t> </w:t>
      </w:r>
      <w:r w:rsidR="00E50D3E">
        <w:rPr>
          <w:rFonts w:ascii="Calibri" w:hAnsi="Calibri" w:cs="Calibri"/>
        </w:rPr>
        <w:t>724853</w:t>
      </w:r>
      <w:r w:rsidR="00B2485E">
        <w:rPr>
          <w:rFonts w:ascii="Calibri" w:hAnsi="Calibri" w:cs="Calibri"/>
        </w:rPr>
        <w:t>2</w:t>
      </w:r>
      <w:r w:rsidR="00E50D3E">
        <w:rPr>
          <w:rFonts w:ascii="Calibri" w:hAnsi="Calibri" w:cs="Calibri"/>
        </w:rPr>
        <w:t xml:space="preserve">, Nr. </w:t>
      </w:r>
      <w:r w:rsidR="00872505">
        <w:rPr>
          <w:rFonts w:ascii="Calibri" w:hAnsi="Calibri" w:cs="Calibri"/>
        </w:rPr>
        <w:t>7074062, Nr. 7650113)</w:t>
      </w:r>
      <w:r w:rsidR="00B73F0E">
        <w:rPr>
          <w:rFonts w:ascii="Calibri" w:hAnsi="Calibri" w:cs="Calibri"/>
        </w:rPr>
        <w:t xml:space="preserve"> </w:t>
      </w:r>
      <w:r w:rsidR="00D16E59">
        <w:rPr>
          <w:rFonts w:ascii="Calibri" w:hAnsi="Calibri" w:cs="Calibri"/>
        </w:rPr>
        <w:t xml:space="preserve">dokumentų </w:t>
      </w:r>
      <w:r w:rsidR="007F23FD">
        <w:rPr>
          <w:rFonts w:ascii="Calibri" w:hAnsi="Calibri" w:cs="Calibri"/>
        </w:rPr>
        <w:t>prevencinę</w:t>
      </w:r>
      <w:r w:rsidR="00603569">
        <w:rPr>
          <w:rFonts w:ascii="Calibri" w:hAnsi="Calibri" w:cs="Calibri"/>
        </w:rPr>
        <w:t xml:space="preserve"> pe</w:t>
      </w:r>
      <w:r w:rsidR="004D27AB">
        <w:rPr>
          <w:rFonts w:ascii="Calibri" w:hAnsi="Calibri" w:cs="Calibri"/>
        </w:rPr>
        <w:t>r</w:t>
      </w:r>
      <w:r w:rsidR="00603569">
        <w:rPr>
          <w:rFonts w:ascii="Calibri" w:hAnsi="Calibri" w:cs="Calibri"/>
        </w:rPr>
        <w:t xml:space="preserve">žiūrą ir paskelbtos viešai </w:t>
      </w:r>
      <w:r w:rsidR="007318CE">
        <w:rPr>
          <w:rFonts w:ascii="Calibri" w:hAnsi="Calibri" w:cs="Calibri"/>
        </w:rPr>
        <w:t>T</w:t>
      </w:r>
      <w:r w:rsidR="00603569">
        <w:rPr>
          <w:rFonts w:ascii="Calibri" w:hAnsi="Calibri" w:cs="Calibri"/>
        </w:rPr>
        <w:t>arnybos svetainėje</w:t>
      </w:r>
      <w:r w:rsidR="0009323A">
        <w:rPr>
          <w:rFonts w:ascii="Calibri" w:hAnsi="Calibri" w:cs="Calibri"/>
        </w:rPr>
        <w:t xml:space="preserve"> adresu: </w:t>
      </w:r>
      <w:hyperlink r:id="rId11">
        <w:r w:rsidR="0009323A" w:rsidRPr="42106D55">
          <w:rPr>
            <w:rStyle w:val="Hyperlink"/>
            <w:rFonts w:ascii="Calibri" w:hAnsi="Calibri" w:cs="Calibri"/>
          </w:rPr>
          <w:t>2026 metai - Viešųjų pirkimų tarnyba</w:t>
        </w:r>
      </w:hyperlink>
      <w:r w:rsidR="00603569">
        <w:rPr>
          <w:rFonts w:ascii="Calibri" w:hAnsi="Calibri" w:cs="Calibri"/>
        </w:rPr>
        <w:t>.</w:t>
      </w:r>
      <w:r w:rsidR="00560702">
        <w:rPr>
          <w:rFonts w:ascii="Calibri" w:hAnsi="Calibri" w:cs="Calibri"/>
        </w:rPr>
        <w:t xml:space="preserve"> Atsižvelgiant į tai </w:t>
      </w:r>
      <w:r w:rsidR="002E7E3C">
        <w:rPr>
          <w:rFonts w:ascii="Calibri" w:hAnsi="Calibri" w:cs="Calibri"/>
        </w:rPr>
        <w:t xml:space="preserve">rekomenduotina inicijuojant </w:t>
      </w:r>
      <w:r w:rsidR="00A0468E">
        <w:rPr>
          <w:rFonts w:ascii="Calibri" w:hAnsi="Calibri" w:cs="Calibri"/>
        </w:rPr>
        <w:t xml:space="preserve">kitą pirkimą susipažinti su teiktomis rekomendacijomis ir į jas atsižvelgti ruošiant </w:t>
      </w:r>
      <w:r w:rsidR="27F5A913">
        <w:rPr>
          <w:rFonts w:ascii="Calibri" w:hAnsi="Calibri" w:cs="Calibri"/>
        </w:rPr>
        <w:t>p</w:t>
      </w:r>
      <w:r w:rsidR="00341AB3">
        <w:rPr>
          <w:rFonts w:ascii="Calibri" w:hAnsi="Calibri" w:cs="Calibri"/>
        </w:rPr>
        <w:t>irkim</w:t>
      </w:r>
      <w:r w:rsidR="3F3C1257">
        <w:rPr>
          <w:rFonts w:ascii="Calibri" w:hAnsi="Calibri" w:cs="Calibri"/>
        </w:rPr>
        <w:t>ų</w:t>
      </w:r>
      <w:r w:rsidR="00341AB3">
        <w:rPr>
          <w:rFonts w:ascii="Calibri" w:hAnsi="Calibri" w:cs="Calibri"/>
        </w:rPr>
        <w:t xml:space="preserve"> dokumentus.</w:t>
      </w:r>
      <w:r w:rsidR="00603569">
        <w:rPr>
          <w:rFonts w:ascii="Calibri" w:hAnsi="Calibri" w:cs="Calibri"/>
        </w:rPr>
        <w:t xml:space="preserve"> </w:t>
      </w:r>
    </w:p>
    <w:p w14:paraId="677A796D" w14:textId="77777777" w:rsidR="002B35DC" w:rsidRDefault="002B35DC" w:rsidP="008A79A5">
      <w:pPr>
        <w:spacing w:after="0" w:line="276" w:lineRule="auto"/>
        <w:ind w:firstLine="709"/>
        <w:rPr>
          <w:rFonts w:ascii="Calibri" w:hAnsi="Calibri" w:cs="Calibri"/>
        </w:rPr>
      </w:pPr>
    </w:p>
    <w:p w14:paraId="5ABBEC84" w14:textId="335A30F4" w:rsidR="003458D9" w:rsidRPr="002E6830" w:rsidRDefault="00050973" w:rsidP="008A79A5">
      <w:pPr>
        <w:pStyle w:val="ListParagraph"/>
        <w:numPr>
          <w:ilvl w:val="0"/>
          <w:numId w:val="1"/>
        </w:numPr>
        <w:tabs>
          <w:tab w:val="left" w:pos="851"/>
        </w:tabs>
        <w:spacing w:after="0" w:line="276" w:lineRule="auto"/>
        <w:ind w:left="0" w:firstLine="624"/>
        <w:rPr>
          <w:rFonts w:ascii="Calibri" w:hAnsi="Calibri" w:cs="Calibri"/>
        </w:rPr>
      </w:pPr>
      <w:r w:rsidRPr="42106D55">
        <w:rPr>
          <w:rFonts w:ascii="Calibri" w:hAnsi="Calibri" w:cs="Calibri"/>
        </w:rPr>
        <w:t>Atkreiptinas dėmesys, kad Pirkimo sąlyg</w:t>
      </w:r>
      <w:r w:rsidR="00F33B75" w:rsidRPr="42106D55">
        <w:rPr>
          <w:rFonts w:ascii="Calibri" w:hAnsi="Calibri" w:cs="Calibri"/>
        </w:rPr>
        <w:t>ose</w:t>
      </w:r>
      <w:r w:rsidRPr="42106D55">
        <w:rPr>
          <w:rFonts w:ascii="Calibri" w:hAnsi="Calibri" w:cs="Calibri"/>
        </w:rPr>
        <w:t xml:space="preserve"> </w:t>
      </w:r>
      <w:r w:rsidR="00EA022D" w:rsidRPr="42106D55">
        <w:rPr>
          <w:rFonts w:ascii="Calibri" w:hAnsi="Calibri" w:cs="Calibri"/>
        </w:rPr>
        <w:t xml:space="preserve">(pvz., </w:t>
      </w:r>
      <w:r w:rsidR="00A451DE" w:rsidRPr="42106D55">
        <w:rPr>
          <w:rFonts w:ascii="Calibri" w:hAnsi="Calibri" w:cs="Calibri"/>
        </w:rPr>
        <w:t>8.1 papunktyje</w:t>
      </w:r>
      <w:r w:rsidR="00EA022D" w:rsidRPr="42106D55">
        <w:rPr>
          <w:rFonts w:ascii="Calibri" w:hAnsi="Calibri" w:cs="Calibri"/>
        </w:rPr>
        <w:t>)</w:t>
      </w:r>
      <w:r w:rsidR="00A451DE" w:rsidRPr="42106D55">
        <w:rPr>
          <w:rFonts w:ascii="Calibri" w:hAnsi="Calibri" w:cs="Calibri"/>
        </w:rPr>
        <w:t xml:space="preserve"> nurodyta, kad </w:t>
      </w:r>
      <w:r w:rsidR="000D1424" w:rsidRPr="42106D55">
        <w:rPr>
          <w:rFonts w:ascii="Calibri" w:hAnsi="Calibri" w:cs="Calibri"/>
        </w:rPr>
        <w:t>iki skelbime numatyto pasiūlymų pateikimo termino pabaigos turi būti pateikiami</w:t>
      </w:r>
      <w:r w:rsidR="0002246F" w:rsidRPr="42106D55">
        <w:rPr>
          <w:rFonts w:ascii="Calibri" w:hAnsi="Calibri" w:cs="Calibri"/>
        </w:rPr>
        <w:t xml:space="preserve"> trikotažinių medžiagų</w:t>
      </w:r>
      <w:r w:rsidR="00B46FBB" w:rsidRPr="42106D55">
        <w:rPr>
          <w:rFonts w:ascii="Calibri" w:hAnsi="Calibri" w:cs="Calibri"/>
        </w:rPr>
        <w:t xml:space="preserve"> pavyzdžiai</w:t>
      </w:r>
      <w:r w:rsidR="006A3112" w:rsidRPr="42106D55">
        <w:rPr>
          <w:rFonts w:ascii="Calibri" w:hAnsi="Calibri" w:cs="Calibri"/>
        </w:rPr>
        <w:t xml:space="preserve">, o susipažinimas su jais vyks tik po susipažinimo su CVP IS priemonėmis </w:t>
      </w:r>
      <w:r w:rsidR="006A3112" w:rsidRPr="42106D55">
        <w:rPr>
          <w:rFonts w:ascii="Calibri" w:hAnsi="Calibri" w:cs="Calibri"/>
        </w:rPr>
        <w:lastRenderedPageBreak/>
        <w:t xml:space="preserve">pateiktais tiekėjų pasiūlymais (pvz., </w:t>
      </w:r>
      <w:r w:rsidR="00F33B75" w:rsidRPr="42106D55">
        <w:rPr>
          <w:rFonts w:ascii="Calibri" w:hAnsi="Calibri" w:cs="Calibri"/>
        </w:rPr>
        <w:t>8.6 papunktyje)</w:t>
      </w:r>
      <w:r w:rsidR="003458D9" w:rsidRPr="42106D55">
        <w:rPr>
          <w:rFonts w:ascii="Calibri" w:hAnsi="Calibri" w:cs="Calibri"/>
        </w:rPr>
        <w:t xml:space="preserve">, </w:t>
      </w:r>
      <w:r w:rsidR="00950CB3" w:rsidRPr="42106D55">
        <w:rPr>
          <w:rFonts w:ascii="Calibri" w:hAnsi="Calibri" w:cs="Calibri"/>
        </w:rPr>
        <w:t xml:space="preserve">tačiau Pirkimo sąlygų 8.9 papunktyje yra nurodyta, kad Perkančioji </w:t>
      </w:r>
      <w:r w:rsidR="002E6830" w:rsidRPr="42106D55">
        <w:rPr>
          <w:rFonts w:ascii="Calibri" w:hAnsi="Calibri" w:cs="Calibri"/>
        </w:rPr>
        <w:t>organizacija „</w:t>
      </w:r>
      <w:r w:rsidR="003458D9" w:rsidRPr="42106D55">
        <w:rPr>
          <w:rFonts w:ascii="Calibri" w:hAnsi="Calibri" w:cs="Calibri"/>
        </w:rPr>
        <w:t>turi teisę bet kuriuo pirkimo procedūrų metu perkančiosios organizacijos pasirinktoje akredituotoje laboratorijoje atlikti laboratorinius bandymus su pateiktu trikotažo pavyzdžiu, siekiant įsitikinti, ar pirkimui siūlomo trikotažo pavyzdys atitinka pasiūlyme nurodytus rodiklius</w:t>
      </w:r>
      <w:r w:rsidR="051DBE79" w:rsidRPr="42106D55">
        <w:rPr>
          <w:rFonts w:ascii="Calibri" w:hAnsi="Calibri" w:cs="Calibri"/>
        </w:rPr>
        <w:t>“</w:t>
      </w:r>
      <w:r w:rsidR="003458D9" w:rsidRPr="42106D55">
        <w:rPr>
          <w:rFonts w:ascii="Calibri" w:hAnsi="Calibri" w:cs="Calibri"/>
        </w:rPr>
        <w:t>.</w:t>
      </w:r>
    </w:p>
    <w:p w14:paraId="11046825" w14:textId="06C049AB" w:rsidR="009D7BA8" w:rsidRDefault="00297DDA" w:rsidP="008A79A5">
      <w:pPr>
        <w:tabs>
          <w:tab w:val="left" w:pos="709"/>
        </w:tabs>
        <w:spacing w:after="0" w:line="276" w:lineRule="auto"/>
        <w:rPr>
          <w:rFonts w:ascii="Calibri" w:hAnsi="Calibri" w:cs="Calibri"/>
          <w:lang w:val="af-ZA"/>
        </w:rPr>
      </w:pPr>
      <w:r>
        <w:rPr>
          <w:rFonts w:ascii="Calibri" w:hAnsi="Calibri" w:cs="Calibri"/>
          <w:lang w:val="af-ZA"/>
        </w:rPr>
        <w:tab/>
      </w:r>
      <w:r w:rsidRPr="007E7832">
        <w:rPr>
          <w:rFonts w:ascii="Calibri" w:hAnsi="Calibri" w:cs="Calibri"/>
          <w:lang w:val="af-ZA"/>
        </w:rPr>
        <w:t>Atsižvelgiant į tai, kad Pirkimo dokumentai tur</w:t>
      </w:r>
      <w:r>
        <w:rPr>
          <w:rFonts w:ascii="Calibri" w:hAnsi="Calibri" w:cs="Calibri"/>
          <w:lang w:val="af-ZA"/>
        </w:rPr>
        <w:t>i</w:t>
      </w:r>
      <w:r w:rsidRPr="007E7832">
        <w:rPr>
          <w:rFonts w:ascii="Calibri" w:hAnsi="Calibri" w:cs="Calibri"/>
          <w:lang w:val="af-ZA"/>
        </w:rPr>
        <w:t xml:space="preserve"> būti tikslūs, aiškūs</w:t>
      </w:r>
      <w:r w:rsidR="005179A0">
        <w:rPr>
          <w:rFonts w:ascii="Calibri" w:hAnsi="Calibri" w:cs="Calibri"/>
          <w:lang w:val="af-ZA"/>
        </w:rPr>
        <w:t xml:space="preserve"> ir</w:t>
      </w:r>
      <w:r w:rsidRPr="007E7832">
        <w:rPr>
          <w:rFonts w:ascii="Calibri" w:hAnsi="Calibri" w:cs="Calibri"/>
          <w:lang w:val="af-ZA"/>
        </w:rPr>
        <w:t xml:space="preserve"> be dviprasmybių (Įstatymo 35 straipsnio 4 dalis), rekomenduojama tikslinti</w:t>
      </w:r>
      <w:r w:rsidR="005179A0">
        <w:rPr>
          <w:rFonts w:ascii="Calibri" w:hAnsi="Calibri" w:cs="Calibri"/>
          <w:lang w:val="af-ZA"/>
        </w:rPr>
        <w:t xml:space="preserve"> </w:t>
      </w:r>
      <w:r w:rsidR="00C70BED">
        <w:rPr>
          <w:rFonts w:ascii="Calibri" w:hAnsi="Calibri" w:cs="Calibri"/>
          <w:lang w:val="af-ZA"/>
        </w:rPr>
        <w:t>minėtas</w:t>
      </w:r>
      <w:r w:rsidR="00C11C45">
        <w:rPr>
          <w:rFonts w:ascii="Calibri" w:hAnsi="Calibri" w:cs="Calibri"/>
          <w:lang w:val="af-ZA"/>
        </w:rPr>
        <w:t xml:space="preserve"> </w:t>
      </w:r>
      <w:r w:rsidR="005179A0">
        <w:rPr>
          <w:rFonts w:ascii="Calibri" w:hAnsi="Calibri" w:cs="Calibri"/>
          <w:lang w:val="af-ZA"/>
        </w:rPr>
        <w:t>Pirkimo sąlyg</w:t>
      </w:r>
      <w:r w:rsidR="565B9C42">
        <w:rPr>
          <w:rFonts w:ascii="Calibri" w:hAnsi="Calibri" w:cs="Calibri"/>
          <w:lang w:val="af-ZA"/>
        </w:rPr>
        <w:t>as</w:t>
      </w:r>
      <w:r w:rsidR="00956C19">
        <w:rPr>
          <w:rFonts w:ascii="Calibri" w:hAnsi="Calibri" w:cs="Calibri"/>
          <w:lang w:val="af-ZA"/>
        </w:rPr>
        <w:t>.</w:t>
      </w:r>
    </w:p>
    <w:p w14:paraId="2A217B3B" w14:textId="77777777" w:rsidR="006D05D6" w:rsidRDefault="006D05D6" w:rsidP="006D05D6">
      <w:pPr>
        <w:tabs>
          <w:tab w:val="left" w:pos="993"/>
        </w:tabs>
        <w:spacing w:after="0" w:line="276" w:lineRule="auto"/>
        <w:ind w:firstLine="567"/>
        <w:rPr>
          <w:rFonts w:ascii="Calibri" w:hAnsi="Calibri" w:cs="Calibri"/>
        </w:rPr>
      </w:pPr>
    </w:p>
    <w:p w14:paraId="42FDB96C" w14:textId="3EDF1C6C" w:rsidR="00ED2CE8" w:rsidRPr="00ED2CE8" w:rsidRDefault="00ED2CE8" w:rsidP="008A79A5">
      <w:pPr>
        <w:pStyle w:val="ListParagraph"/>
        <w:numPr>
          <w:ilvl w:val="0"/>
          <w:numId w:val="1"/>
        </w:numPr>
        <w:tabs>
          <w:tab w:val="left" w:pos="709"/>
          <w:tab w:val="left" w:pos="851"/>
        </w:tabs>
        <w:spacing w:after="0" w:line="276" w:lineRule="auto"/>
        <w:ind w:left="0" w:firstLine="624"/>
        <w:rPr>
          <w:rFonts w:ascii="Calibri" w:hAnsi="Calibri" w:cs="Calibri"/>
        </w:rPr>
      </w:pPr>
      <w:r w:rsidRPr="42106D55">
        <w:rPr>
          <w:rFonts w:ascii="Calibri" w:eastAsia="Calibri" w:hAnsi="Calibri" w:cs="Calibri"/>
          <w:lang w:val="lt-LT" w:eastAsia="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w:t>
      </w:r>
      <w:r w:rsidR="3581AA6B" w:rsidRPr="42106D55">
        <w:rPr>
          <w:rFonts w:ascii="Calibri" w:eastAsia="Calibri" w:hAnsi="Calibri" w:cs="Calibri"/>
          <w:lang w:val="lt-LT" w:eastAsia="lt-LT"/>
        </w:rPr>
        <w:t>Į</w:t>
      </w:r>
      <w:r w:rsidRPr="42106D55">
        <w:rPr>
          <w:rFonts w:ascii="Calibri" w:eastAsia="Calibri" w:hAnsi="Calibri" w:cs="Calibri"/>
          <w:lang w:val="lt-LT" w:eastAsia="lt-LT"/>
        </w:rPr>
        <w:t xml:space="preserve">statymo 96 straipsnio 2 dalies 1 punkte nurodytoje ataskaitoje. </w:t>
      </w:r>
    </w:p>
    <w:p w14:paraId="1ABF2E6A" w14:textId="77777777" w:rsidR="00ED2CE8" w:rsidRPr="00CB1973" w:rsidRDefault="00ED2CE8" w:rsidP="008A79A5">
      <w:pPr>
        <w:pStyle w:val="ListParagraph"/>
        <w:tabs>
          <w:tab w:val="left" w:pos="851"/>
          <w:tab w:val="left" w:pos="993"/>
        </w:tabs>
        <w:spacing w:after="0" w:line="276" w:lineRule="auto"/>
        <w:ind w:left="0" w:firstLine="709"/>
        <w:rPr>
          <w:rFonts w:ascii="Calibri" w:eastAsia="Calibri" w:hAnsi="Calibri" w:cs="Calibri"/>
          <w:lang w:val="lt-LT" w:eastAsia="lt-LT"/>
        </w:rPr>
      </w:pPr>
      <w:r w:rsidRPr="00CB1973">
        <w:rPr>
          <w:rFonts w:ascii="Calibri" w:eastAsia="Calibri" w:hAnsi="Calibri" w:cs="Calibri"/>
          <w:lang w:val="lt-LT" w:eastAsia="lt-LT"/>
        </w:rPr>
        <w:t xml:space="preserve">Pirkimo sąlygų 3 priede pateiktas „Prekių viešojo pirkimo-pardavimo sutarties projektas“ parengtas netaikant </w:t>
      </w:r>
      <w:r>
        <w:rPr>
          <w:rFonts w:ascii="Calibri" w:eastAsia="Calibri" w:hAnsi="Calibri" w:cs="Calibri"/>
          <w:lang w:val="lt-LT" w:eastAsia="lt-LT"/>
        </w:rPr>
        <w:t>T</w:t>
      </w:r>
      <w:r w:rsidRPr="00CB1973">
        <w:rPr>
          <w:rFonts w:ascii="Calibri" w:eastAsia="Calibri" w:hAnsi="Calibri" w:cs="Calibri"/>
          <w:lang w:val="lt-LT" w:eastAsia="lt-LT"/>
        </w:rPr>
        <w:t xml:space="preserve">arnybos direktoriaus 2024 m. vasario 8 d. įsakymu Nr. 1S-19 patvirtintų Prekių viešojo pirkimo–pardavimo sutarties tipinių sąlygų (toliau – Sutarties tipinės sąlygos). </w:t>
      </w:r>
    </w:p>
    <w:p w14:paraId="74240142" w14:textId="02731840" w:rsidR="00B92BA9" w:rsidRPr="00D10792" w:rsidRDefault="00ED2CE8" w:rsidP="00D10792">
      <w:pPr>
        <w:pStyle w:val="ListParagraph"/>
        <w:tabs>
          <w:tab w:val="left" w:pos="851"/>
          <w:tab w:val="left" w:pos="993"/>
        </w:tabs>
        <w:spacing w:after="0" w:line="276" w:lineRule="auto"/>
        <w:ind w:left="0" w:firstLine="567"/>
        <w:rPr>
          <w:rFonts w:ascii="Calibri" w:eastAsia="Calibri" w:hAnsi="Calibri" w:cs="Calibri"/>
          <w:lang w:val="lt-LT" w:eastAsia="lt-LT"/>
        </w:rPr>
      </w:pPr>
      <w:r w:rsidRPr="00CB1973">
        <w:rPr>
          <w:rFonts w:ascii="Calibri" w:eastAsia="Calibri" w:hAnsi="Calibri" w:cs="Calibri"/>
          <w:lang w:val="lt-LT" w:eastAsia="lt-LT"/>
        </w:rPr>
        <w:t xml:space="preserve">Atsižvelgiant į tai, Tarnyba rekomenduoja ateityje vykdomuose pirkimuose naudoti </w:t>
      </w:r>
      <w:r>
        <w:rPr>
          <w:rFonts w:ascii="Calibri" w:eastAsia="Calibri" w:hAnsi="Calibri" w:cs="Calibri"/>
          <w:lang w:val="lt-LT" w:eastAsia="lt-LT"/>
        </w:rPr>
        <w:t>S</w:t>
      </w:r>
      <w:r w:rsidRPr="00CB1973">
        <w:rPr>
          <w:rFonts w:ascii="Calibri" w:eastAsia="Calibri" w:hAnsi="Calibri" w:cs="Calibri"/>
          <w:lang w:val="lt-LT" w:eastAsia="lt-LT"/>
        </w:rPr>
        <w:t xml:space="preserve">utarties </w:t>
      </w:r>
      <w:r>
        <w:rPr>
          <w:rFonts w:ascii="Calibri" w:eastAsia="Calibri" w:hAnsi="Calibri" w:cs="Calibri"/>
          <w:lang w:val="lt-LT" w:eastAsia="lt-LT"/>
        </w:rPr>
        <w:t xml:space="preserve">tipines </w:t>
      </w:r>
      <w:r w:rsidRPr="00CB1973">
        <w:rPr>
          <w:rFonts w:ascii="Calibri" w:eastAsia="Calibri" w:hAnsi="Calibri" w:cs="Calibri"/>
          <w:lang w:val="lt-LT" w:eastAsia="lt-LT"/>
        </w:rPr>
        <w:t>sąlygas.</w:t>
      </w:r>
    </w:p>
    <w:p w14:paraId="3F1C7D3F" w14:textId="77777777" w:rsidR="00ED2CE8" w:rsidRPr="00D10792" w:rsidRDefault="00ED2CE8" w:rsidP="00D10792">
      <w:pPr>
        <w:pStyle w:val="ListParagraph"/>
        <w:tabs>
          <w:tab w:val="left" w:pos="851"/>
          <w:tab w:val="left" w:pos="993"/>
        </w:tabs>
        <w:spacing w:after="0" w:line="276" w:lineRule="auto"/>
        <w:ind w:left="0" w:firstLine="709"/>
        <w:rPr>
          <w:rFonts w:ascii="Calibri" w:eastAsia="Calibri" w:hAnsi="Calibri" w:cs="Calibri"/>
          <w:lang w:val="lt-LT" w:eastAsia="lt-LT"/>
        </w:rPr>
      </w:pPr>
    </w:p>
    <w:p w14:paraId="22218874" w14:textId="76CE755E" w:rsidR="00B50DED" w:rsidRPr="00D10792" w:rsidRDefault="00B50DED" w:rsidP="00D10792">
      <w:pPr>
        <w:pStyle w:val="ListParagraph"/>
        <w:tabs>
          <w:tab w:val="left" w:pos="851"/>
          <w:tab w:val="left" w:pos="993"/>
        </w:tabs>
        <w:spacing w:after="0" w:line="276" w:lineRule="auto"/>
        <w:ind w:left="0" w:firstLine="709"/>
        <w:rPr>
          <w:rFonts w:ascii="Calibri" w:eastAsia="Calibri" w:hAnsi="Calibri" w:cs="Calibri"/>
          <w:lang w:val="lt-LT" w:eastAsia="lt-LT"/>
        </w:rPr>
      </w:pPr>
      <w:r w:rsidRPr="00D10792">
        <w:rPr>
          <w:rFonts w:ascii="Calibri" w:eastAsia="Calibri" w:hAnsi="Calibri" w:cs="Calibri"/>
          <w:lang w:val="lt-LT" w:eastAsia="lt-LT"/>
        </w:rPr>
        <w:t>Atsižvelgdama į tai, kas nurodyta, Tarnyba rekomenduoja peržiūrėti ir patikslinti Pirkimų dokumentus pagal šioje rekomendacijoje pateiktas pastabas</w:t>
      </w:r>
      <w:r w:rsidR="007E3262" w:rsidRPr="00D10792">
        <w:rPr>
          <w:rFonts w:ascii="Calibri" w:eastAsia="Calibri" w:hAnsi="Calibri" w:cs="Calibri"/>
          <w:lang w:val="lt-LT" w:eastAsia="lt-LT"/>
        </w:rPr>
        <w:t>.</w:t>
      </w:r>
    </w:p>
    <w:p w14:paraId="7B7C7EF6" w14:textId="77777777" w:rsidR="00B50DED" w:rsidRPr="00D10792" w:rsidRDefault="00B50DED" w:rsidP="00D10792">
      <w:pPr>
        <w:pStyle w:val="ListParagraph"/>
        <w:tabs>
          <w:tab w:val="left" w:pos="851"/>
          <w:tab w:val="left" w:pos="993"/>
        </w:tabs>
        <w:spacing w:after="0" w:line="276" w:lineRule="auto"/>
        <w:ind w:left="0" w:firstLine="709"/>
        <w:rPr>
          <w:rFonts w:ascii="Calibri" w:eastAsia="Calibri" w:hAnsi="Calibri" w:cs="Calibri"/>
          <w:lang w:val="lt-LT" w:eastAsia="lt-LT"/>
        </w:rPr>
      </w:pPr>
      <w:r w:rsidRPr="00D10792">
        <w:rPr>
          <w:rFonts w:ascii="Calibri" w:eastAsia="Calibri" w:hAnsi="Calibri" w:cs="Calibri"/>
          <w:lang w:val="lt-LT" w:eastAsia="lt-LT"/>
        </w:rPr>
        <w:t>Pažymėtina, kad visais atvejais sprendimą dėl tolimesnio Pirkimų procedūrų vykdymo ar nutraukimo priima pati Perkančioji organizacija, vadovaudamasi Įstatymo 29 straipsnio 3 ir 4 dalių nuostatomis.</w:t>
      </w:r>
    </w:p>
    <w:p w14:paraId="0C0E4E24" w14:textId="77777777" w:rsidR="001139EE" w:rsidRPr="00ED2CE8" w:rsidRDefault="001139EE" w:rsidP="00ED2CE8"/>
    <w:sectPr w:rsidR="001139EE" w:rsidRPr="00ED2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gfK54ZgUdhVUk" int2:id="k0Mcs5S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8BF"/>
    <w:multiLevelType w:val="hybridMultilevel"/>
    <w:tmpl w:val="2B9C8250"/>
    <w:lvl w:ilvl="0" w:tplc="FFFFFFFF">
      <w:start w:val="1"/>
      <w:numFmt w:val="decimal"/>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 w15:restartNumberingAfterBreak="0">
    <w:nsid w:val="14FA5F59"/>
    <w:multiLevelType w:val="hybridMultilevel"/>
    <w:tmpl w:val="2B9C8250"/>
    <w:lvl w:ilvl="0" w:tplc="714E3D82">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508447646">
    <w:abstractNumId w:val="1"/>
  </w:num>
  <w:num w:numId="2" w16cid:durableId="478806328">
    <w:abstractNumId w:val="2"/>
  </w:num>
  <w:num w:numId="3" w16cid:durableId="36020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37"/>
    <w:rsid w:val="000014A1"/>
    <w:rsid w:val="00002F14"/>
    <w:rsid w:val="0000774C"/>
    <w:rsid w:val="00014FDC"/>
    <w:rsid w:val="000172AE"/>
    <w:rsid w:val="0001757D"/>
    <w:rsid w:val="0002246F"/>
    <w:rsid w:val="0002291C"/>
    <w:rsid w:val="00032181"/>
    <w:rsid w:val="00033D23"/>
    <w:rsid w:val="00042F59"/>
    <w:rsid w:val="00050973"/>
    <w:rsid w:val="00067822"/>
    <w:rsid w:val="00074590"/>
    <w:rsid w:val="00077447"/>
    <w:rsid w:val="000917D4"/>
    <w:rsid w:val="0009323A"/>
    <w:rsid w:val="00096CC9"/>
    <w:rsid w:val="000C67AE"/>
    <w:rsid w:val="000D1424"/>
    <w:rsid w:val="000D28D9"/>
    <w:rsid w:val="000D41BB"/>
    <w:rsid w:val="000D5D2F"/>
    <w:rsid w:val="000E0BDC"/>
    <w:rsid w:val="000F202C"/>
    <w:rsid w:val="001139EE"/>
    <w:rsid w:val="0013291D"/>
    <w:rsid w:val="00137B1D"/>
    <w:rsid w:val="00140B37"/>
    <w:rsid w:val="00145C53"/>
    <w:rsid w:val="00145EC3"/>
    <w:rsid w:val="00163F26"/>
    <w:rsid w:val="001652DC"/>
    <w:rsid w:val="00172266"/>
    <w:rsid w:val="00172980"/>
    <w:rsid w:val="00194D41"/>
    <w:rsid w:val="001B6363"/>
    <w:rsid w:val="001C0E33"/>
    <w:rsid w:val="001C14C9"/>
    <w:rsid w:val="001E7440"/>
    <w:rsid w:val="00235192"/>
    <w:rsid w:val="00271F50"/>
    <w:rsid w:val="002760FC"/>
    <w:rsid w:val="0028107F"/>
    <w:rsid w:val="00292164"/>
    <w:rsid w:val="00297DD6"/>
    <w:rsid w:val="00297DDA"/>
    <w:rsid w:val="002A443B"/>
    <w:rsid w:val="002B35DC"/>
    <w:rsid w:val="002B79E0"/>
    <w:rsid w:val="002C42D1"/>
    <w:rsid w:val="002C6150"/>
    <w:rsid w:val="002D7D8D"/>
    <w:rsid w:val="002E065B"/>
    <w:rsid w:val="002E282C"/>
    <w:rsid w:val="002E3D14"/>
    <w:rsid w:val="002E6830"/>
    <w:rsid w:val="002E7020"/>
    <w:rsid w:val="002E7E3C"/>
    <w:rsid w:val="00307FE4"/>
    <w:rsid w:val="0031692D"/>
    <w:rsid w:val="00321094"/>
    <w:rsid w:val="0032129E"/>
    <w:rsid w:val="00333E4D"/>
    <w:rsid w:val="003417D9"/>
    <w:rsid w:val="00341AB3"/>
    <w:rsid w:val="003458D9"/>
    <w:rsid w:val="003512DD"/>
    <w:rsid w:val="00354688"/>
    <w:rsid w:val="0036616F"/>
    <w:rsid w:val="003754CE"/>
    <w:rsid w:val="003809E5"/>
    <w:rsid w:val="00380BE1"/>
    <w:rsid w:val="003859F4"/>
    <w:rsid w:val="003860D2"/>
    <w:rsid w:val="0038791E"/>
    <w:rsid w:val="00395044"/>
    <w:rsid w:val="00395572"/>
    <w:rsid w:val="003A4377"/>
    <w:rsid w:val="003B3722"/>
    <w:rsid w:val="003F14DB"/>
    <w:rsid w:val="003F74B3"/>
    <w:rsid w:val="00403868"/>
    <w:rsid w:val="00412746"/>
    <w:rsid w:val="00416266"/>
    <w:rsid w:val="00416BB5"/>
    <w:rsid w:val="0042333F"/>
    <w:rsid w:val="0042573B"/>
    <w:rsid w:val="00435378"/>
    <w:rsid w:val="00435E25"/>
    <w:rsid w:val="00437296"/>
    <w:rsid w:val="00437B35"/>
    <w:rsid w:val="004434CC"/>
    <w:rsid w:val="00451D42"/>
    <w:rsid w:val="004540C3"/>
    <w:rsid w:val="00470A62"/>
    <w:rsid w:val="0048513D"/>
    <w:rsid w:val="004946C0"/>
    <w:rsid w:val="004B659F"/>
    <w:rsid w:val="004C6870"/>
    <w:rsid w:val="004D27AB"/>
    <w:rsid w:val="004D37A0"/>
    <w:rsid w:val="004D7BB4"/>
    <w:rsid w:val="004F1B44"/>
    <w:rsid w:val="0050034A"/>
    <w:rsid w:val="005144F8"/>
    <w:rsid w:val="005179A0"/>
    <w:rsid w:val="00517A53"/>
    <w:rsid w:val="00520936"/>
    <w:rsid w:val="00522D61"/>
    <w:rsid w:val="00524FB8"/>
    <w:rsid w:val="0054740E"/>
    <w:rsid w:val="00560702"/>
    <w:rsid w:val="0056096C"/>
    <w:rsid w:val="005647D0"/>
    <w:rsid w:val="0056651A"/>
    <w:rsid w:val="00567BC9"/>
    <w:rsid w:val="005A4667"/>
    <w:rsid w:val="005A5E32"/>
    <w:rsid w:val="005B0EB6"/>
    <w:rsid w:val="005B3A90"/>
    <w:rsid w:val="005B7BAF"/>
    <w:rsid w:val="005C1B36"/>
    <w:rsid w:val="005C1F45"/>
    <w:rsid w:val="005C445E"/>
    <w:rsid w:val="005D31CE"/>
    <w:rsid w:val="005D7026"/>
    <w:rsid w:val="005E7EBF"/>
    <w:rsid w:val="005F0432"/>
    <w:rsid w:val="006017D4"/>
    <w:rsid w:val="00601C46"/>
    <w:rsid w:val="006022FC"/>
    <w:rsid w:val="00603569"/>
    <w:rsid w:val="00612A04"/>
    <w:rsid w:val="00621FFE"/>
    <w:rsid w:val="00626000"/>
    <w:rsid w:val="00630197"/>
    <w:rsid w:val="00632E9D"/>
    <w:rsid w:val="0067211E"/>
    <w:rsid w:val="00695CDB"/>
    <w:rsid w:val="006A3112"/>
    <w:rsid w:val="006D05D6"/>
    <w:rsid w:val="006D2A2C"/>
    <w:rsid w:val="006E22CF"/>
    <w:rsid w:val="006E5A8A"/>
    <w:rsid w:val="007127DF"/>
    <w:rsid w:val="00722621"/>
    <w:rsid w:val="007318CE"/>
    <w:rsid w:val="00737C97"/>
    <w:rsid w:val="00743169"/>
    <w:rsid w:val="00771C28"/>
    <w:rsid w:val="00777181"/>
    <w:rsid w:val="00795CFF"/>
    <w:rsid w:val="00796D10"/>
    <w:rsid w:val="007A4386"/>
    <w:rsid w:val="007A69B7"/>
    <w:rsid w:val="007A6D17"/>
    <w:rsid w:val="007B74B6"/>
    <w:rsid w:val="007C28E6"/>
    <w:rsid w:val="007C4ECD"/>
    <w:rsid w:val="007C663E"/>
    <w:rsid w:val="007C6BB7"/>
    <w:rsid w:val="007D3510"/>
    <w:rsid w:val="007D3EC3"/>
    <w:rsid w:val="007D5CA6"/>
    <w:rsid w:val="007E3262"/>
    <w:rsid w:val="007E3CD5"/>
    <w:rsid w:val="007F23FD"/>
    <w:rsid w:val="00803975"/>
    <w:rsid w:val="00814100"/>
    <w:rsid w:val="00830CDF"/>
    <w:rsid w:val="008355E5"/>
    <w:rsid w:val="00851E82"/>
    <w:rsid w:val="008672FA"/>
    <w:rsid w:val="00872505"/>
    <w:rsid w:val="00881760"/>
    <w:rsid w:val="00882914"/>
    <w:rsid w:val="008841BE"/>
    <w:rsid w:val="008A6D5D"/>
    <w:rsid w:val="008A79A5"/>
    <w:rsid w:val="008B7826"/>
    <w:rsid w:val="008C3764"/>
    <w:rsid w:val="008D6932"/>
    <w:rsid w:val="00915623"/>
    <w:rsid w:val="009169FD"/>
    <w:rsid w:val="00931A3D"/>
    <w:rsid w:val="0093225F"/>
    <w:rsid w:val="00932B57"/>
    <w:rsid w:val="0093392B"/>
    <w:rsid w:val="00950CB3"/>
    <w:rsid w:val="009567A9"/>
    <w:rsid w:val="00956C19"/>
    <w:rsid w:val="00971146"/>
    <w:rsid w:val="009870AF"/>
    <w:rsid w:val="00990F36"/>
    <w:rsid w:val="00994CC6"/>
    <w:rsid w:val="009A2F66"/>
    <w:rsid w:val="009A4C5F"/>
    <w:rsid w:val="009A69E0"/>
    <w:rsid w:val="009D57CE"/>
    <w:rsid w:val="009D7BA8"/>
    <w:rsid w:val="009F084F"/>
    <w:rsid w:val="00A0468E"/>
    <w:rsid w:val="00A274D4"/>
    <w:rsid w:val="00A40781"/>
    <w:rsid w:val="00A451DE"/>
    <w:rsid w:val="00A541F4"/>
    <w:rsid w:val="00A700A1"/>
    <w:rsid w:val="00A73FC8"/>
    <w:rsid w:val="00A7423D"/>
    <w:rsid w:val="00A84562"/>
    <w:rsid w:val="00A958AB"/>
    <w:rsid w:val="00AA43D2"/>
    <w:rsid w:val="00AB1C46"/>
    <w:rsid w:val="00AB5DF9"/>
    <w:rsid w:val="00AE1B89"/>
    <w:rsid w:val="00AE5620"/>
    <w:rsid w:val="00B176E7"/>
    <w:rsid w:val="00B2485E"/>
    <w:rsid w:val="00B307C9"/>
    <w:rsid w:val="00B42732"/>
    <w:rsid w:val="00B43B58"/>
    <w:rsid w:val="00B46FBB"/>
    <w:rsid w:val="00B50DED"/>
    <w:rsid w:val="00B528AB"/>
    <w:rsid w:val="00B56E75"/>
    <w:rsid w:val="00B73F0E"/>
    <w:rsid w:val="00B7522A"/>
    <w:rsid w:val="00B92BA9"/>
    <w:rsid w:val="00B958DF"/>
    <w:rsid w:val="00BB0D32"/>
    <w:rsid w:val="00BC1317"/>
    <w:rsid w:val="00BC2DFC"/>
    <w:rsid w:val="00BD4CF3"/>
    <w:rsid w:val="00BF3BD6"/>
    <w:rsid w:val="00C036EE"/>
    <w:rsid w:val="00C11C45"/>
    <w:rsid w:val="00C2219D"/>
    <w:rsid w:val="00C2578C"/>
    <w:rsid w:val="00C3066B"/>
    <w:rsid w:val="00C40ABC"/>
    <w:rsid w:val="00C42A46"/>
    <w:rsid w:val="00C52E86"/>
    <w:rsid w:val="00C54692"/>
    <w:rsid w:val="00C57FF0"/>
    <w:rsid w:val="00C70BED"/>
    <w:rsid w:val="00C80C6B"/>
    <w:rsid w:val="00C875A7"/>
    <w:rsid w:val="00CA1E60"/>
    <w:rsid w:val="00CA37F8"/>
    <w:rsid w:val="00CA4A81"/>
    <w:rsid w:val="00CB31C7"/>
    <w:rsid w:val="00CC0C4C"/>
    <w:rsid w:val="00CC78F2"/>
    <w:rsid w:val="00CD3DD3"/>
    <w:rsid w:val="00CE6189"/>
    <w:rsid w:val="00CE61A4"/>
    <w:rsid w:val="00D10792"/>
    <w:rsid w:val="00D1462D"/>
    <w:rsid w:val="00D16E59"/>
    <w:rsid w:val="00D2403E"/>
    <w:rsid w:val="00D24CB1"/>
    <w:rsid w:val="00D2758E"/>
    <w:rsid w:val="00D54AED"/>
    <w:rsid w:val="00D55792"/>
    <w:rsid w:val="00D80A54"/>
    <w:rsid w:val="00D857AB"/>
    <w:rsid w:val="00D92FEF"/>
    <w:rsid w:val="00DA5261"/>
    <w:rsid w:val="00DA6093"/>
    <w:rsid w:val="00DB1136"/>
    <w:rsid w:val="00DB7AED"/>
    <w:rsid w:val="00DB7E74"/>
    <w:rsid w:val="00DC1BA5"/>
    <w:rsid w:val="00DC7A83"/>
    <w:rsid w:val="00DD0624"/>
    <w:rsid w:val="00DD4ECB"/>
    <w:rsid w:val="00DE6F22"/>
    <w:rsid w:val="00DF0418"/>
    <w:rsid w:val="00DF2EBA"/>
    <w:rsid w:val="00DF35E0"/>
    <w:rsid w:val="00E040F4"/>
    <w:rsid w:val="00E04284"/>
    <w:rsid w:val="00E1183A"/>
    <w:rsid w:val="00E15A19"/>
    <w:rsid w:val="00E22A87"/>
    <w:rsid w:val="00E3154F"/>
    <w:rsid w:val="00E34429"/>
    <w:rsid w:val="00E364AC"/>
    <w:rsid w:val="00E43337"/>
    <w:rsid w:val="00E50AB5"/>
    <w:rsid w:val="00E50D3E"/>
    <w:rsid w:val="00E542AC"/>
    <w:rsid w:val="00E61F6C"/>
    <w:rsid w:val="00E62379"/>
    <w:rsid w:val="00E737A0"/>
    <w:rsid w:val="00E80F97"/>
    <w:rsid w:val="00E87A38"/>
    <w:rsid w:val="00E96488"/>
    <w:rsid w:val="00EA022D"/>
    <w:rsid w:val="00EA09ED"/>
    <w:rsid w:val="00EA468F"/>
    <w:rsid w:val="00EB5A30"/>
    <w:rsid w:val="00ED2CE8"/>
    <w:rsid w:val="00F0002B"/>
    <w:rsid w:val="00F009BC"/>
    <w:rsid w:val="00F06362"/>
    <w:rsid w:val="00F06B68"/>
    <w:rsid w:val="00F26234"/>
    <w:rsid w:val="00F31FD4"/>
    <w:rsid w:val="00F33B75"/>
    <w:rsid w:val="00F41529"/>
    <w:rsid w:val="00F4680E"/>
    <w:rsid w:val="00F66D4F"/>
    <w:rsid w:val="00F74CD8"/>
    <w:rsid w:val="00F82F93"/>
    <w:rsid w:val="00F84B31"/>
    <w:rsid w:val="00F90B5F"/>
    <w:rsid w:val="00F90E3E"/>
    <w:rsid w:val="00F945D4"/>
    <w:rsid w:val="00F94EC6"/>
    <w:rsid w:val="00F9AB00"/>
    <w:rsid w:val="00FB2200"/>
    <w:rsid w:val="00FB4C7D"/>
    <w:rsid w:val="00FB7E5E"/>
    <w:rsid w:val="00FC440E"/>
    <w:rsid w:val="00FC4C30"/>
    <w:rsid w:val="027F2C11"/>
    <w:rsid w:val="03D50D66"/>
    <w:rsid w:val="03EE6E31"/>
    <w:rsid w:val="051DBE79"/>
    <w:rsid w:val="0529D9D2"/>
    <w:rsid w:val="07B75B0C"/>
    <w:rsid w:val="0A0339BE"/>
    <w:rsid w:val="0C0B9E7C"/>
    <w:rsid w:val="0D81B950"/>
    <w:rsid w:val="0EF5B44D"/>
    <w:rsid w:val="15E40C6D"/>
    <w:rsid w:val="19517ADC"/>
    <w:rsid w:val="1B2B0998"/>
    <w:rsid w:val="1BC0E22B"/>
    <w:rsid w:val="1C90D939"/>
    <w:rsid w:val="1F1D7BA6"/>
    <w:rsid w:val="22A2A2FE"/>
    <w:rsid w:val="250EA074"/>
    <w:rsid w:val="26032710"/>
    <w:rsid w:val="27F5A913"/>
    <w:rsid w:val="2E5402A4"/>
    <w:rsid w:val="32B17936"/>
    <w:rsid w:val="332A0BB3"/>
    <w:rsid w:val="33BBAE4E"/>
    <w:rsid w:val="3581AA6B"/>
    <w:rsid w:val="3611B258"/>
    <w:rsid w:val="37A77A43"/>
    <w:rsid w:val="37BF2075"/>
    <w:rsid w:val="3F3C1257"/>
    <w:rsid w:val="42106D55"/>
    <w:rsid w:val="4F00FC4B"/>
    <w:rsid w:val="4F963045"/>
    <w:rsid w:val="506EBCDC"/>
    <w:rsid w:val="54DDADF8"/>
    <w:rsid w:val="55167EAC"/>
    <w:rsid w:val="565B9C42"/>
    <w:rsid w:val="592CC755"/>
    <w:rsid w:val="59871E50"/>
    <w:rsid w:val="59EB38C5"/>
    <w:rsid w:val="5AE7F140"/>
    <w:rsid w:val="5B0BF252"/>
    <w:rsid w:val="63A521FC"/>
    <w:rsid w:val="65F691D3"/>
    <w:rsid w:val="66818154"/>
    <w:rsid w:val="6887E909"/>
    <w:rsid w:val="6C6071C1"/>
    <w:rsid w:val="6CB0422D"/>
    <w:rsid w:val="6E988648"/>
    <w:rsid w:val="6E9A5C7B"/>
    <w:rsid w:val="75C8A72E"/>
    <w:rsid w:val="79D36031"/>
    <w:rsid w:val="7A3AB7CF"/>
    <w:rsid w:val="7C6914E2"/>
    <w:rsid w:val="7F2DC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2698"/>
  <w15:chartTrackingRefBased/>
  <w15:docId w15:val="{D0F23156-A92E-443B-9528-CE110A5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B37"/>
    <w:rPr>
      <w:rFonts w:eastAsiaTheme="majorEastAsia" w:cstheme="majorBidi"/>
      <w:color w:val="272727" w:themeColor="text1" w:themeTint="D8"/>
    </w:rPr>
  </w:style>
  <w:style w:type="paragraph" w:styleId="Title">
    <w:name w:val="Title"/>
    <w:basedOn w:val="Normal"/>
    <w:next w:val="Normal"/>
    <w:link w:val="TitleChar"/>
    <w:uiPriority w:val="10"/>
    <w:qFormat/>
    <w:rsid w:val="0014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B37"/>
    <w:pPr>
      <w:spacing w:before="160"/>
      <w:jc w:val="center"/>
    </w:pPr>
    <w:rPr>
      <w:i/>
      <w:iCs/>
      <w:color w:val="404040" w:themeColor="text1" w:themeTint="BF"/>
    </w:rPr>
  </w:style>
  <w:style w:type="character" w:customStyle="1" w:styleId="QuoteChar">
    <w:name w:val="Quote Char"/>
    <w:basedOn w:val="DefaultParagraphFont"/>
    <w:link w:val="Quote"/>
    <w:uiPriority w:val="29"/>
    <w:rsid w:val="00140B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140B37"/>
    <w:pPr>
      <w:ind w:left="720"/>
      <w:contextualSpacing/>
    </w:pPr>
  </w:style>
  <w:style w:type="character" w:styleId="IntenseEmphasis">
    <w:name w:val="Intense Emphasis"/>
    <w:basedOn w:val="DefaultParagraphFont"/>
    <w:uiPriority w:val="21"/>
    <w:qFormat/>
    <w:rsid w:val="00140B37"/>
    <w:rPr>
      <w:i/>
      <w:iCs/>
      <w:color w:val="0F4761" w:themeColor="accent1" w:themeShade="BF"/>
    </w:rPr>
  </w:style>
  <w:style w:type="paragraph" w:styleId="IntenseQuote">
    <w:name w:val="Intense Quote"/>
    <w:basedOn w:val="Normal"/>
    <w:next w:val="Normal"/>
    <w:link w:val="IntenseQuoteChar"/>
    <w:uiPriority w:val="30"/>
    <w:qFormat/>
    <w:rsid w:val="0014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B37"/>
    <w:rPr>
      <w:i/>
      <w:iCs/>
      <w:color w:val="0F4761" w:themeColor="accent1" w:themeShade="BF"/>
    </w:rPr>
  </w:style>
  <w:style w:type="character" w:styleId="IntenseReference">
    <w:name w:val="Intense Reference"/>
    <w:basedOn w:val="DefaultParagraphFont"/>
    <w:uiPriority w:val="32"/>
    <w:qFormat/>
    <w:rsid w:val="00140B37"/>
    <w:rPr>
      <w:b/>
      <w:bCs/>
      <w:smallCaps/>
      <w:color w:val="0F4761" w:themeColor="accent1" w:themeShade="BF"/>
      <w:spacing w:val="5"/>
    </w:rPr>
  </w:style>
  <w:style w:type="character" w:styleId="Hyperlink">
    <w:name w:val="Hyperlink"/>
    <w:basedOn w:val="DefaultParagraphFont"/>
    <w:uiPriority w:val="99"/>
    <w:unhideWhenUsed/>
    <w:rsid w:val="00DA5261"/>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DA5261"/>
  </w:style>
  <w:style w:type="character" w:styleId="CommentReference">
    <w:name w:val="annotation reference"/>
    <w:rsid w:val="00297DD6"/>
    <w:rPr>
      <w:sz w:val="16"/>
      <w:szCs w:val="16"/>
    </w:rPr>
  </w:style>
  <w:style w:type="paragraph" w:styleId="CommentText">
    <w:name w:val="annotation text"/>
    <w:basedOn w:val="Normal"/>
    <w:link w:val="CommentTextChar"/>
    <w:rsid w:val="00297DD6"/>
    <w:pPr>
      <w:spacing w:after="0" w:line="240" w:lineRule="auto"/>
    </w:pPr>
    <w:rPr>
      <w:rFonts w:ascii="Times New Roman" w:eastAsia="Times New Roman" w:hAnsi="Times New Roman" w:cs="Times New Roman"/>
      <w:kern w:val="0"/>
      <w:sz w:val="20"/>
      <w:szCs w:val="20"/>
      <w:lang w:val="lt-LT" w:eastAsia="lt-LT"/>
      <w14:ligatures w14:val="none"/>
    </w:rPr>
  </w:style>
  <w:style w:type="character" w:customStyle="1" w:styleId="CommentTextChar">
    <w:name w:val="Comment Text Char"/>
    <w:basedOn w:val="DefaultParagraphFont"/>
    <w:link w:val="CommentText"/>
    <w:rsid w:val="00297DD6"/>
    <w:rPr>
      <w:rFonts w:ascii="Times New Roman" w:eastAsia="Times New Roman" w:hAnsi="Times New Roman" w:cs="Times New Roman"/>
      <w:kern w:val="0"/>
      <w:sz w:val="20"/>
      <w:szCs w:val="20"/>
      <w:lang w:val="lt-LT" w:eastAsia="lt-LT"/>
      <w14:ligatures w14:val="none"/>
    </w:rPr>
  </w:style>
  <w:style w:type="character" w:styleId="UnresolvedMention">
    <w:name w:val="Unresolved Mention"/>
    <w:basedOn w:val="DefaultParagraphFont"/>
    <w:uiPriority w:val="99"/>
    <w:semiHidden/>
    <w:unhideWhenUsed/>
    <w:rsid w:val="0009323A"/>
    <w:rPr>
      <w:color w:val="605E5C"/>
      <w:shd w:val="clear" w:color="auto" w:fill="E1DFDD"/>
    </w:rPr>
  </w:style>
  <w:style w:type="character" w:styleId="FollowedHyperlink">
    <w:name w:val="FollowedHyperlink"/>
    <w:basedOn w:val="DefaultParagraphFont"/>
    <w:uiPriority w:val="99"/>
    <w:semiHidden/>
    <w:unhideWhenUsed/>
    <w:rsid w:val="0009323A"/>
    <w:rPr>
      <w:color w:val="96607D" w:themeColor="followedHyperlink"/>
      <w:u w:val="single"/>
    </w:rPr>
  </w:style>
  <w:style w:type="paragraph" w:styleId="Revision">
    <w:name w:val="Revision"/>
    <w:hidden/>
    <w:uiPriority w:val="99"/>
    <w:semiHidden/>
    <w:rsid w:val="00F84B31"/>
    <w:pPr>
      <w:spacing w:after="0" w:line="240" w:lineRule="auto"/>
    </w:pPr>
  </w:style>
  <w:style w:type="paragraph" w:styleId="CommentSubject">
    <w:name w:val="annotation subject"/>
    <w:basedOn w:val="CommentText"/>
    <w:next w:val="CommentText"/>
    <w:link w:val="CommentSubjectChar"/>
    <w:uiPriority w:val="99"/>
    <w:semiHidden/>
    <w:unhideWhenUsed/>
    <w:rsid w:val="00851E82"/>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851E82"/>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pirkimu-vykdymo-prieziura/prevencine-tvarka-perziuretiems-pirkimams-teiktos-rekomendacijos/2026-metai/" TargetMode="External"/><Relationship Id="rId5" Type="http://schemas.openxmlformats.org/officeDocument/2006/relationships/numbering" Target="numbering.xml"/><Relationship Id="rId10" Type="http://schemas.openxmlformats.org/officeDocument/2006/relationships/hyperlink" Target="https://vpt.lrv.lt/lt/metodine-pagalba/pirkimu-vykdytojams_3/pavyzdiniai-dokumentai-3/pasalinimo-pagrindu-lentele/" TargetMode="External"/><Relationship Id="rId4" Type="http://schemas.openxmlformats.org/officeDocument/2006/relationships/customXml" Target="../customXml/item4.xml"/><Relationship Id="rId9" Type="http://schemas.openxmlformats.org/officeDocument/2006/relationships/hyperlink" Target="https://ec.europa.eu/tools/ecerti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8D06-1B60-4B8F-A475-78393306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80F99-97B3-488F-972F-185E8273A88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BE36117-043F-4FCE-BF46-044CB5A4D9F0}">
  <ds:schemaRefs>
    <ds:schemaRef ds:uri="http://schemas.microsoft.com/sharepoint/v3/contenttype/forms"/>
  </ds:schemaRefs>
</ds:datastoreItem>
</file>

<file path=customXml/itemProps4.xml><?xml version="1.0" encoding="utf-8"?>
<ds:datastoreItem xmlns:ds="http://schemas.openxmlformats.org/officeDocument/2006/customXml" ds:itemID="{C8EEC2D5-646B-43D3-94D2-A57420D9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7310</Words>
  <Characters>4168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4</cp:revision>
  <dcterms:created xsi:type="dcterms:W3CDTF">2026-06-05T06:59:00Z</dcterms:created>
  <dcterms:modified xsi:type="dcterms:W3CDTF">2026-06-05T07:17:00Z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