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E49" w14:textId="5D97335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9425EB3" w14:textId="3CE639C3" w:rsidR="002022DF" w:rsidRDefault="00A10188" w:rsidP="0053644B">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Vadovaujantis Tarnybai Įstatyme nustatyta pažeidimų prevencijos funkcija, šiuo metu atliekama </w:t>
      </w:r>
      <w:r w:rsidR="00EA11D8" w:rsidRPr="00EA11D8">
        <w:rPr>
          <w:rStyle w:val="normaltextrun"/>
          <w:rFonts w:ascii="Calibri" w:eastAsiaTheme="majorEastAsia" w:hAnsi="Calibri" w:cs="Calibri"/>
          <w:b/>
          <w:bCs/>
          <w:lang w:val="lt-LT"/>
        </w:rPr>
        <w:t xml:space="preserve">Gynybos resursų agentūros prie Krašto apsaugos ministerijos </w:t>
      </w:r>
      <w:r w:rsidR="0023673D" w:rsidRPr="0023673D">
        <w:rPr>
          <w:rStyle w:val="normaltextrun"/>
          <w:rFonts w:ascii="Calibri" w:eastAsiaTheme="majorEastAsia" w:hAnsi="Calibri" w:cs="Calibri"/>
          <w:lang w:val="lt-LT"/>
        </w:rPr>
        <w:t>(toliau – Perkančioji organizacija)</w:t>
      </w:r>
      <w:r w:rsidRPr="0053196E">
        <w:rPr>
          <w:rStyle w:val="normaltextrun"/>
          <w:rFonts w:ascii="Calibri" w:eastAsiaTheme="majorEastAsia" w:hAnsi="Calibri" w:cs="Calibri"/>
          <w:b/>
          <w:bCs/>
          <w:lang w:val="lt-LT"/>
        </w:rPr>
        <w:t xml:space="preserve"> vykdomo </w:t>
      </w:r>
      <w:r w:rsidR="0053196E">
        <w:rPr>
          <w:rStyle w:val="normaltextrun"/>
          <w:rFonts w:ascii="Calibri" w:eastAsiaTheme="majorEastAsia" w:hAnsi="Calibri" w:cs="Calibri"/>
          <w:b/>
          <w:bCs/>
          <w:lang w:val="lt-LT"/>
        </w:rPr>
        <w:t>p</w:t>
      </w:r>
      <w:r w:rsidRPr="0053196E">
        <w:rPr>
          <w:rStyle w:val="normaltextrun"/>
          <w:rFonts w:ascii="Calibri" w:eastAsiaTheme="majorEastAsia" w:hAnsi="Calibri" w:cs="Calibri"/>
          <w:b/>
          <w:bCs/>
          <w:lang w:val="lt-LT"/>
        </w:rPr>
        <w:t>irkimo Nr. </w:t>
      </w:r>
      <w:r w:rsidR="00FF03CE" w:rsidRPr="00FF03CE">
        <w:rPr>
          <w:rStyle w:val="normaltextrun"/>
          <w:rFonts w:ascii="Calibri" w:eastAsiaTheme="majorEastAsia" w:hAnsi="Calibri" w:cs="Calibri"/>
          <w:b/>
          <w:bCs/>
          <w:lang w:val="lt-LT"/>
        </w:rPr>
        <w:t>7707085</w:t>
      </w:r>
      <w:r w:rsidRPr="0053196E">
        <w:rPr>
          <w:rStyle w:val="normaltextrun"/>
          <w:rFonts w:ascii="Calibri" w:eastAsiaTheme="majorEastAsia" w:hAnsi="Calibri" w:cs="Calibri"/>
          <w:b/>
          <w:bCs/>
          <w:lang w:val="lt-LT"/>
        </w:rPr>
        <w:t xml:space="preserve"> „</w:t>
      </w:r>
      <w:r w:rsidR="009E6C06" w:rsidRPr="009E6C06">
        <w:rPr>
          <w:rFonts w:ascii="Calibri" w:eastAsiaTheme="majorEastAsia" w:hAnsi="Calibri" w:cs="Calibri"/>
          <w:b/>
          <w:bCs/>
        </w:rPr>
        <w:t>Kepurių besnapių ir kaklaraiščių pirkimas</w:t>
      </w:r>
      <w:r w:rsidRPr="0053196E">
        <w:rPr>
          <w:rStyle w:val="normaltextrun"/>
          <w:rFonts w:ascii="Calibri" w:eastAsiaTheme="majorEastAsia" w:hAnsi="Calibri" w:cs="Calibri"/>
          <w:b/>
          <w:bCs/>
          <w:lang w:val="lt-LT"/>
        </w:rPr>
        <w:t>“</w:t>
      </w:r>
      <w:r w:rsidRPr="0053196E">
        <w:rPr>
          <w:rStyle w:val="normaltextrun"/>
          <w:rFonts w:ascii="Calibri" w:eastAsiaTheme="majorEastAsia" w:hAnsi="Calibri" w:cs="Calibri"/>
          <w:lang w:val="lt-LT"/>
        </w:rPr>
        <w:t> (toliau – Pirkimas) dokumentų atitikties Įstatymui ir jį įgyvendinantiems teisės aktams peržiūra.</w:t>
      </w:r>
      <w:r w:rsidR="004063A3">
        <w:rPr>
          <w:rStyle w:val="normaltextrun"/>
          <w:rFonts w:ascii="Calibri" w:eastAsiaTheme="majorEastAsia" w:hAnsi="Calibri" w:cs="Calibri"/>
          <w:lang w:val="lt-LT"/>
        </w:rPr>
        <w:t xml:space="preserve"> P</w:t>
      </w:r>
      <w:r w:rsidR="002022DF" w:rsidRPr="002022DF">
        <w:rPr>
          <w:rStyle w:val="normaltextrun"/>
          <w:rFonts w:ascii="Calibri" w:eastAsiaTheme="majorEastAsia" w:hAnsi="Calibri" w:cs="Calibri"/>
          <w:lang w:val="lt-LT"/>
        </w:rPr>
        <w:t>eržiūra prevenciniais tikslais atlikta tam tikra apimtimi</w:t>
      </w:r>
      <w:r w:rsidR="009E6C06">
        <w:rPr>
          <w:rStyle w:val="normaltextrun"/>
          <w:rFonts w:ascii="Calibri" w:eastAsiaTheme="majorEastAsia" w:hAnsi="Calibri" w:cs="Calibri"/>
          <w:lang w:val="lt-LT"/>
        </w:rPr>
        <w:t>.</w:t>
      </w:r>
      <w:r w:rsidR="002022DF" w:rsidRPr="002022DF">
        <w:rPr>
          <w:rStyle w:val="normaltextrun"/>
          <w:rFonts w:ascii="Calibri" w:eastAsiaTheme="majorEastAsia" w:hAnsi="Calibri" w:cs="Calibri"/>
          <w:lang w:val="lt-LT"/>
        </w:rPr>
        <w:t xml:space="preserve"> </w:t>
      </w:r>
    </w:p>
    <w:p w14:paraId="18EF8C62" w14:textId="459F8D19" w:rsidR="00A10188" w:rsidRDefault="00A10188" w:rsidP="00307D24">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 xml:space="preserve">Tarnyba, prevencine tvarka peržiūrėjusi Pirkimo dokumentus, teikia rekomendacijas </w:t>
      </w:r>
      <w:r w:rsidR="00FB5CD4">
        <w:rPr>
          <w:rStyle w:val="normaltextrun"/>
          <w:rFonts w:ascii="Calibri" w:eastAsiaTheme="majorEastAsia" w:hAnsi="Calibri" w:cs="Calibri"/>
          <w:lang w:val="lt-LT"/>
        </w:rPr>
        <w:t xml:space="preserve">ir pastebėjimus </w:t>
      </w:r>
      <w:r w:rsidRPr="0053196E">
        <w:rPr>
          <w:rStyle w:val="normaltextrun"/>
          <w:rFonts w:ascii="Calibri" w:eastAsiaTheme="majorEastAsia" w:hAnsi="Calibri" w:cs="Calibri"/>
          <w:lang w:val="lt-LT"/>
        </w:rPr>
        <w:t>dėl Pirkimo dokumentuose nustatytų sąlygų.</w:t>
      </w:r>
    </w:p>
    <w:p w14:paraId="149179F9" w14:textId="77777777" w:rsidR="001851BF" w:rsidRDefault="001851BF" w:rsidP="00307D24">
      <w:pPr>
        <w:pStyle w:val="paragraph"/>
        <w:spacing w:before="0" w:beforeAutospacing="0" w:after="0" w:afterAutospacing="0"/>
        <w:ind w:firstLine="851"/>
        <w:textAlignment w:val="baseline"/>
        <w:rPr>
          <w:rStyle w:val="normaltextrun"/>
          <w:rFonts w:ascii="Calibri" w:eastAsiaTheme="majorEastAsia" w:hAnsi="Calibri" w:cs="Calibri"/>
          <w:lang w:val="lt-LT"/>
        </w:rPr>
      </w:pPr>
    </w:p>
    <w:p w14:paraId="1FA229F2" w14:textId="0DA51F87" w:rsidR="00F67AE5" w:rsidRDefault="005F7B26" w:rsidP="001851BF">
      <w:pPr>
        <w:pStyle w:val="paragraph"/>
        <w:spacing w:before="0" w:beforeAutospacing="0" w:after="0" w:afterAutospacing="0"/>
        <w:ind w:firstLine="851"/>
        <w:textAlignment w:val="baseline"/>
        <w:rPr>
          <w:rFonts w:ascii="Calibri" w:hAnsi="Calibri" w:cs="Calibri"/>
          <w:b/>
          <w:bCs/>
          <w:lang w:val="lt-LT"/>
        </w:rPr>
      </w:pPr>
      <w:r>
        <w:rPr>
          <w:rFonts w:ascii="Calibri" w:hAnsi="Calibri" w:cs="Calibri"/>
          <w:b/>
          <w:bCs/>
          <w:lang w:val="lt-LT"/>
        </w:rPr>
        <w:t>Dėl techninės specifikacijos</w:t>
      </w:r>
    </w:p>
    <w:p w14:paraId="7B323BFE" w14:textId="7CA29FF4" w:rsidR="00BF6829" w:rsidRDefault="006017D9" w:rsidP="001851BF">
      <w:pPr>
        <w:pStyle w:val="paragraph"/>
        <w:spacing w:before="0" w:beforeAutospacing="0" w:after="0" w:afterAutospacing="0"/>
        <w:ind w:firstLine="851"/>
        <w:rPr>
          <w:rFonts w:ascii="Calibri" w:eastAsiaTheme="majorEastAsia" w:hAnsi="Calibri" w:cs="Calibri"/>
          <w:b/>
          <w:bCs/>
          <w:lang w:val="lt-LT"/>
        </w:rPr>
      </w:pPr>
      <w:r w:rsidRPr="006017D9">
        <w:rPr>
          <w:rFonts w:ascii="Calibri" w:hAnsi="Calibri" w:cs="Calibri"/>
          <w:lang w:val="lt-LT"/>
        </w:rPr>
        <w:t xml:space="preserve">Pirkimo sąlygų 2.4 </w:t>
      </w:r>
      <w:r w:rsidR="006C25B4">
        <w:rPr>
          <w:rFonts w:ascii="Calibri" w:hAnsi="Calibri" w:cs="Calibri"/>
          <w:lang w:val="lt-LT"/>
        </w:rPr>
        <w:t>papunktyje</w:t>
      </w:r>
      <w:r w:rsidR="006C25B4" w:rsidRPr="006017D9">
        <w:rPr>
          <w:rFonts w:ascii="Calibri" w:hAnsi="Calibri" w:cs="Calibri"/>
          <w:lang w:val="lt-LT"/>
        </w:rPr>
        <w:t xml:space="preserve"> </w:t>
      </w:r>
      <w:r w:rsidRPr="006017D9">
        <w:rPr>
          <w:rFonts w:ascii="Calibri" w:hAnsi="Calibri" w:cs="Calibri"/>
          <w:lang w:val="lt-LT"/>
        </w:rPr>
        <w:t xml:space="preserve">numatyta „&lt;...&gt; </w:t>
      </w:r>
      <w:r w:rsidR="00133684" w:rsidRPr="00133684">
        <w:rPr>
          <w:rFonts w:ascii="Calibri" w:hAnsi="Calibri" w:cs="Calibr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74196" w:rsidRPr="006017D9">
        <w:rPr>
          <w:rFonts w:ascii="Calibri" w:hAnsi="Calibri" w:cs="Calibri"/>
          <w:lang w:val="lt-LT"/>
        </w:rPr>
        <w:t>“</w:t>
      </w:r>
      <w:r w:rsidRPr="006017D9">
        <w:rPr>
          <w:rFonts w:ascii="Calibri" w:hAnsi="Calibri" w:cs="Calibri"/>
          <w:lang w:val="lt-LT"/>
        </w:rPr>
        <w:t xml:space="preserve">. Atkreipiame dėmesį, kad nepriklausomai nuo to, kad pirkimo dokumentuose yra įtvirtinta bendroji nuostata dėl lygiavertiškumo, prie kiekvieno konkretaus reikalavimo, atitinkančio VPĮ 37 straipsnio 5 dalies nuostatas, privaloma nurodyti žodžius „arba lygiavertis“. Atsižvelgiant į tai, rekomenduojama pakartotinai peržiūrėti </w:t>
      </w:r>
      <w:r w:rsidR="00074196">
        <w:rPr>
          <w:rFonts w:ascii="Calibri" w:hAnsi="Calibri" w:cs="Calibri"/>
          <w:lang w:val="lt-LT"/>
        </w:rPr>
        <w:t>P</w:t>
      </w:r>
      <w:r w:rsidRPr="006017D9">
        <w:rPr>
          <w:rFonts w:ascii="Calibri" w:hAnsi="Calibri" w:cs="Calibri"/>
          <w:lang w:val="lt-LT"/>
        </w:rPr>
        <w:t>irkimo sąlygų 1 priedą „Techninė specifikacija“ ir esant poreikiui nurodyti žodžius „ar lygiavertis“. Taip pat rekomenduojama susipažinti su Tarnybos parengt</w:t>
      </w:r>
      <w:r w:rsidR="00074196">
        <w:rPr>
          <w:rFonts w:ascii="Calibri" w:hAnsi="Calibri" w:cs="Calibri"/>
          <w:lang w:val="lt-LT"/>
        </w:rPr>
        <w:t>u</w:t>
      </w:r>
      <w:r w:rsidRPr="006017D9">
        <w:rPr>
          <w:rFonts w:ascii="Calibri" w:hAnsi="Calibri" w:cs="Calibri"/>
          <w:lang w:val="lt-LT"/>
        </w:rPr>
        <w:t xml:space="preserve"> </w:t>
      </w:r>
      <w:hyperlink r:id="rId11" w:history="1">
        <w:r w:rsidRPr="00A66B6E">
          <w:rPr>
            <w:rStyle w:val="Hyperlink"/>
            <w:rFonts w:ascii="Calibri" w:hAnsi="Calibri" w:cs="Calibri"/>
            <w:lang w:val="lt-LT"/>
          </w:rPr>
          <w:t>DUK</w:t>
        </w:r>
      </w:hyperlink>
      <w:r w:rsidRPr="006017D9">
        <w:rPr>
          <w:rFonts w:ascii="Calibri" w:hAnsi="Calibri" w:cs="Calibri"/>
          <w:lang w:val="lt-LT"/>
        </w:rPr>
        <w:t>.</w:t>
      </w:r>
      <w:r w:rsidR="00BF6829" w:rsidRPr="00BF6829">
        <w:rPr>
          <w:rFonts w:ascii="Calibri" w:eastAsiaTheme="majorEastAsia" w:hAnsi="Calibri" w:cs="Calibri"/>
          <w:b/>
          <w:bCs/>
          <w:lang w:val="lt-LT"/>
        </w:rPr>
        <w:t xml:space="preserve"> </w:t>
      </w:r>
    </w:p>
    <w:p w14:paraId="23261B06" w14:textId="77777777" w:rsidR="001D2C7E" w:rsidRPr="001D2C7E" w:rsidRDefault="001D2C7E" w:rsidP="001851BF">
      <w:pPr>
        <w:pStyle w:val="paragraph"/>
        <w:spacing w:before="0" w:beforeAutospacing="0" w:after="0" w:afterAutospacing="0"/>
        <w:ind w:firstLine="851"/>
        <w:rPr>
          <w:rFonts w:ascii="Calibri" w:eastAsiaTheme="majorEastAsia" w:hAnsi="Calibri" w:cs="Calibri"/>
          <w:lang w:val="lt-LT"/>
        </w:rPr>
      </w:pPr>
    </w:p>
    <w:p w14:paraId="6E330D7D" w14:textId="575D7865" w:rsidR="00744507" w:rsidRDefault="00744507" w:rsidP="00BF6829">
      <w:pPr>
        <w:pStyle w:val="paragraph"/>
        <w:spacing w:before="0" w:beforeAutospacing="0" w:after="0" w:afterAutospacing="0"/>
        <w:ind w:firstLine="851"/>
        <w:rPr>
          <w:rFonts w:ascii="Calibri" w:eastAsiaTheme="majorEastAsia" w:hAnsi="Calibri" w:cs="Calibri"/>
          <w:b/>
          <w:bCs/>
          <w:lang w:val="lt-LT"/>
        </w:rPr>
      </w:pPr>
      <w:r w:rsidRPr="00744507">
        <w:rPr>
          <w:rFonts w:ascii="Calibri" w:eastAsiaTheme="majorEastAsia" w:hAnsi="Calibri" w:cs="Calibri"/>
          <w:b/>
          <w:bCs/>
          <w:lang w:val="lt-LT"/>
        </w:rPr>
        <w:t xml:space="preserve">Dėl tipinių sutarčių sąlygų </w:t>
      </w:r>
    </w:p>
    <w:p w14:paraId="08DCE947" w14:textId="100434A6" w:rsidR="00BF6829" w:rsidRPr="00740E77" w:rsidRDefault="00BF6829" w:rsidP="00BF6829">
      <w:pPr>
        <w:pStyle w:val="paragraph"/>
        <w:spacing w:before="0" w:beforeAutospacing="0" w:after="0" w:afterAutospacing="0"/>
        <w:ind w:firstLine="851"/>
        <w:rPr>
          <w:rFonts w:ascii="Calibri" w:eastAsiaTheme="majorEastAsia" w:hAnsi="Calibri" w:cs="Calibri"/>
          <w:lang w:val="lt-LT"/>
        </w:rPr>
      </w:pPr>
      <w:r w:rsidRPr="00740E77">
        <w:rPr>
          <w:rFonts w:ascii="Calibri" w:eastAsiaTheme="majorEastAsia" w:hAnsi="Calibri" w:cs="Calibri"/>
          <w:lang w:val="lt-LT"/>
        </w:rPr>
        <w:t>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įstatymo 96 straipsnio 2 dalies 1 punkte nurodytoje ataskaitoje.</w:t>
      </w:r>
    </w:p>
    <w:p w14:paraId="1DEE0F4E" w14:textId="5D1BE7F9" w:rsidR="00BF6829" w:rsidRDefault="00BF6829" w:rsidP="00BF6829">
      <w:pPr>
        <w:pStyle w:val="paragraph"/>
        <w:spacing w:before="0" w:beforeAutospacing="0" w:after="0" w:afterAutospacing="0"/>
        <w:ind w:firstLine="851"/>
        <w:rPr>
          <w:rFonts w:ascii="Calibri" w:eastAsiaTheme="majorEastAsia" w:hAnsi="Calibri" w:cs="Calibri"/>
          <w:lang w:val="lt-LT"/>
        </w:rPr>
      </w:pPr>
      <w:r w:rsidRPr="00740E77">
        <w:rPr>
          <w:rFonts w:ascii="Calibri" w:eastAsiaTheme="majorEastAsia" w:hAnsi="Calibri" w:cs="Calibri"/>
          <w:lang w:val="lt-LT"/>
        </w:rPr>
        <w:t xml:space="preserve">Pirkimo sąlygų 3 priede pateikta „Prekių viešojo pirkimo-pardavimo sutartis“ parengta netaikant </w:t>
      </w:r>
      <w:r w:rsidR="00D17A7E">
        <w:rPr>
          <w:rFonts w:ascii="Calibri" w:eastAsiaTheme="majorEastAsia" w:hAnsi="Calibri" w:cs="Calibri"/>
          <w:lang w:val="lt-LT"/>
        </w:rPr>
        <w:t>T</w:t>
      </w:r>
      <w:r w:rsidRPr="00740E77">
        <w:rPr>
          <w:rFonts w:ascii="Calibri" w:eastAsiaTheme="majorEastAsia" w:hAnsi="Calibri" w:cs="Calibri"/>
          <w:lang w:val="lt-LT"/>
        </w:rPr>
        <w:t xml:space="preserve">arnybos direktoriaus 2024 m. vasario 8 d. įsakymu Nr. 1S-19 patvirtintų Prekių viešojo pirkimo–pardavimo sutarties tipinių sąlygų (toliau – Sutarties tipinės sąlygos). Atsakydama į Tarnybos prašymą paaiškinti, kodėl Pirkime nebuvo naudojamos </w:t>
      </w:r>
      <w:r w:rsidR="006150E3">
        <w:rPr>
          <w:rFonts w:ascii="Calibri" w:eastAsiaTheme="majorEastAsia" w:hAnsi="Calibri" w:cs="Calibri"/>
          <w:lang w:val="lt-LT"/>
        </w:rPr>
        <w:t>S</w:t>
      </w:r>
      <w:r w:rsidRPr="00740E77">
        <w:rPr>
          <w:rFonts w:ascii="Calibri" w:eastAsiaTheme="majorEastAsia" w:hAnsi="Calibri" w:cs="Calibri"/>
          <w:lang w:val="lt-LT"/>
        </w:rPr>
        <w:t xml:space="preserve">utarties </w:t>
      </w:r>
      <w:r w:rsidR="006150E3">
        <w:rPr>
          <w:rFonts w:ascii="Calibri" w:eastAsiaTheme="majorEastAsia" w:hAnsi="Calibri" w:cs="Calibri"/>
          <w:lang w:val="lt-LT"/>
        </w:rPr>
        <w:t xml:space="preserve">tipinės </w:t>
      </w:r>
      <w:r w:rsidRPr="00740E77">
        <w:rPr>
          <w:rFonts w:ascii="Calibri" w:eastAsiaTheme="majorEastAsia" w:hAnsi="Calibri" w:cs="Calibri"/>
          <w:lang w:val="lt-LT"/>
        </w:rPr>
        <w:t xml:space="preserve">sąlygos, Perkančioji organizacija nurodė, kad šios sąlygos nėra pritaikytos tokiems pirkimo-pardavimo atvejams, kai pirkimą įvykdo ir sutartį savo vardu (kaip pirkėjas) pasirašo vienas juridinis asmuo, tačiau dalį esminių prievolių tenkančių pirkėjui vykdo kitas juridinis asmuo ar/ir jo padaliniai. Teisės aktais Perkančiajai organizacijai yra pavesta aprūpinti kitas Krašto apsaugos sistemos institucijas prekėmis, paslaugomis ir darbais. Siekiant, kad Tarnybos patvirtintas </w:t>
      </w:r>
      <w:r w:rsidR="00FC5776">
        <w:rPr>
          <w:rFonts w:ascii="Calibri" w:eastAsiaTheme="majorEastAsia" w:hAnsi="Calibri" w:cs="Calibri"/>
          <w:lang w:val="lt-LT"/>
        </w:rPr>
        <w:t>S</w:t>
      </w:r>
      <w:r w:rsidRPr="00740E77">
        <w:rPr>
          <w:rFonts w:ascii="Calibri" w:eastAsiaTheme="majorEastAsia" w:hAnsi="Calibri" w:cs="Calibri"/>
          <w:lang w:val="lt-LT"/>
        </w:rPr>
        <w:t>utar</w:t>
      </w:r>
      <w:r w:rsidR="00FC5776">
        <w:rPr>
          <w:rFonts w:ascii="Calibri" w:eastAsiaTheme="majorEastAsia" w:hAnsi="Calibri" w:cs="Calibri"/>
          <w:lang w:val="lt-LT"/>
        </w:rPr>
        <w:t>ties</w:t>
      </w:r>
      <w:r w:rsidRPr="00740E77">
        <w:rPr>
          <w:rFonts w:ascii="Calibri" w:eastAsiaTheme="majorEastAsia" w:hAnsi="Calibri" w:cs="Calibri"/>
          <w:lang w:val="lt-LT"/>
        </w:rPr>
        <w:t xml:space="preserve"> </w:t>
      </w:r>
      <w:r w:rsidR="00FC5776">
        <w:rPr>
          <w:rFonts w:ascii="Calibri" w:eastAsiaTheme="majorEastAsia" w:hAnsi="Calibri" w:cs="Calibri"/>
          <w:lang w:val="lt-LT"/>
        </w:rPr>
        <w:t xml:space="preserve">tipines </w:t>
      </w:r>
      <w:r w:rsidRPr="00740E77">
        <w:rPr>
          <w:rFonts w:ascii="Calibri" w:eastAsiaTheme="majorEastAsia" w:hAnsi="Calibri" w:cs="Calibri"/>
          <w:lang w:val="lt-LT"/>
        </w:rPr>
        <w:t xml:space="preserve">sąlygas būtų galima naudoti Perkančiosios organizacijos perkamiems objektams su aukščiau nurodytais ypatumais, </w:t>
      </w:r>
      <w:r w:rsidR="00FC5776">
        <w:rPr>
          <w:rFonts w:ascii="Calibri" w:eastAsiaTheme="majorEastAsia" w:hAnsi="Calibri" w:cs="Calibri"/>
          <w:lang w:val="lt-LT"/>
        </w:rPr>
        <w:t>S</w:t>
      </w:r>
      <w:r w:rsidRPr="00740E77">
        <w:rPr>
          <w:rFonts w:ascii="Calibri" w:eastAsiaTheme="majorEastAsia" w:hAnsi="Calibri" w:cs="Calibri"/>
          <w:lang w:val="lt-LT"/>
        </w:rPr>
        <w:t xml:space="preserve">utarties </w:t>
      </w:r>
      <w:r w:rsidR="00FC5776">
        <w:rPr>
          <w:rFonts w:ascii="Calibri" w:eastAsiaTheme="majorEastAsia" w:hAnsi="Calibri" w:cs="Calibri"/>
          <w:lang w:val="lt-LT"/>
        </w:rPr>
        <w:t xml:space="preserve">tipinės </w:t>
      </w:r>
      <w:r w:rsidRPr="00740E77">
        <w:rPr>
          <w:rFonts w:ascii="Calibri" w:eastAsiaTheme="majorEastAsia" w:hAnsi="Calibri" w:cs="Calibri"/>
          <w:lang w:val="lt-LT"/>
        </w:rPr>
        <w:t>sąlygos turėtų būti perrašytos iš esmės, kas yra neefektyvu, tiek pirkėjo</w:t>
      </w:r>
      <w:r w:rsidR="004C3790">
        <w:rPr>
          <w:rFonts w:ascii="Calibri" w:eastAsiaTheme="majorEastAsia" w:hAnsi="Calibri" w:cs="Calibri"/>
          <w:lang w:val="lt-LT"/>
        </w:rPr>
        <w:t>,</w:t>
      </w:r>
      <w:r w:rsidRPr="00740E77">
        <w:rPr>
          <w:rFonts w:ascii="Calibri" w:eastAsiaTheme="majorEastAsia" w:hAnsi="Calibri" w:cs="Calibri"/>
          <w:lang w:val="lt-LT"/>
        </w:rPr>
        <w:t xml:space="preserve"> tiek galimo pardavėjo atžvilgiu</w:t>
      </w:r>
      <w:r w:rsidRPr="00840031">
        <w:rPr>
          <w:rFonts w:ascii="Calibri" w:eastAsiaTheme="majorEastAsia" w:hAnsi="Calibri" w:cs="Calibri"/>
          <w:lang w:val="lt-LT"/>
        </w:rPr>
        <w:t xml:space="preserve">. Norint naudoti </w:t>
      </w:r>
      <w:r w:rsidR="004C3790">
        <w:rPr>
          <w:rFonts w:ascii="Calibri" w:eastAsiaTheme="majorEastAsia" w:hAnsi="Calibri" w:cs="Calibri"/>
          <w:lang w:val="lt-LT"/>
        </w:rPr>
        <w:t>Tarnybos</w:t>
      </w:r>
      <w:r w:rsidR="004C3790" w:rsidRPr="00840031">
        <w:rPr>
          <w:rFonts w:ascii="Calibri" w:eastAsiaTheme="majorEastAsia" w:hAnsi="Calibri" w:cs="Calibri"/>
          <w:lang w:val="lt-LT"/>
        </w:rPr>
        <w:t xml:space="preserve"> </w:t>
      </w:r>
      <w:r w:rsidRPr="00840031">
        <w:rPr>
          <w:rFonts w:ascii="Calibri" w:eastAsiaTheme="majorEastAsia" w:hAnsi="Calibri" w:cs="Calibri"/>
          <w:lang w:val="lt-LT"/>
        </w:rPr>
        <w:t xml:space="preserve">patvirtintas </w:t>
      </w:r>
      <w:r w:rsidR="004C3790">
        <w:rPr>
          <w:rFonts w:ascii="Calibri" w:eastAsiaTheme="majorEastAsia" w:hAnsi="Calibri" w:cs="Calibri"/>
          <w:lang w:val="lt-LT"/>
        </w:rPr>
        <w:t>S</w:t>
      </w:r>
      <w:r w:rsidRPr="00840031">
        <w:rPr>
          <w:rFonts w:ascii="Calibri" w:eastAsiaTheme="majorEastAsia" w:hAnsi="Calibri" w:cs="Calibri"/>
          <w:lang w:val="lt-LT"/>
        </w:rPr>
        <w:t>utar</w:t>
      </w:r>
      <w:r w:rsidR="004C3790">
        <w:rPr>
          <w:rFonts w:ascii="Calibri" w:eastAsiaTheme="majorEastAsia" w:hAnsi="Calibri" w:cs="Calibri"/>
          <w:lang w:val="lt-LT"/>
        </w:rPr>
        <w:t>ties tipin</w:t>
      </w:r>
      <w:r w:rsidR="00DA4582">
        <w:rPr>
          <w:rFonts w:ascii="Calibri" w:eastAsiaTheme="majorEastAsia" w:hAnsi="Calibri" w:cs="Calibri"/>
          <w:lang w:val="lt-LT"/>
        </w:rPr>
        <w:t>es sąlygas</w:t>
      </w:r>
      <w:r w:rsidRPr="00840031">
        <w:rPr>
          <w:rFonts w:ascii="Calibri" w:eastAsiaTheme="majorEastAsia" w:hAnsi="Calibri" w:cs="Calibri"/>
          <w:lang w:val="lt-LT"/>
        </w:rPr>
        <w:t xml:space="preserve"> iš esmės reikia perorganizuoti visą aprūpinimo procesą </w:t>
      </w:r>
      <w:r w:rsidRPr="00840031">
        <w:rPr>
          <w:rFonts w:ascii="Calibri" w:eastAsiaTheme="majorEastAsia" w:hAnsi="Calibri" w:cs="Calibri"/>
          <w:lang w:val="lt-LT"/>
        </w:rPr>
        <w:lastRenderedPageBreak/>
        <w:t>Krašto apsaugos sistemoje</w:t>
      </w:r>
      <w:r>
        <w:rPr>
          <w:rFonts w:ascii="Calibri" w:eastAsiaTheme="majorEastAsia" w:hAnsi="Calibri" w:cs="Calibri"/>
          <w:lang w:val="lt-LT"/>
        </w:rPr>
        <w:t xml:space="preserve"> ir Perkančioji organizacija</w:t>
      </w:r>
      <w:r w:rsidRPr="00840031">
        <w:rPr>
          <w:rFonts w:ascii="Calibri" w:eastAsiaTheme="majorEastAsia" w:hAnsi="Calibri" w:cs="Calibri"/>
          <w:lang w:val="lt-LT"/>
        </w:rPr>
        <w:t xml:space="preserve"> yra </w:t>
      </w:r>
      <w:r w:rsidR="00DA4582">
        <w:rPr>
          <w:rFonts w:ascii="Calibri" w:eastAsiaTheme="majorEastAsia" w:hAnsi="Calibri" w:cs="Calibri"/>
          <w:lang w:val="lt-LT"/>
        </w:rPr>
        <w:t>Tarnybos</w:t>
      </w:r>
      <w:r w:rsidR="00DA4582" w:rsidRPr="00840031">
        <w:rPr>
          <w:rFonts w:ascii="Calibri" w:eastAsiaTheme="majorEastAsia" w:hAnsi="Calibri" w:cs="Calibri"/>
          <w:lang w:val="lt-LT"/>
        </w:rPr>
        <w:t> </w:t>
      </w:r>
      <w:r w:rsidRPr="00840031">
        <w:rPr>
          <w:rFonts w:ascii="Calibri" w:eastAsiaTheme="majorEastAsia" w:hAnsi="Calibri" w:cs="Calibri"/>
          <w:lang w:val="lt-LT"/>
        </w:rPr>
        <w:t>paruoštų </w:t>
      </w:r>
      <w:r w:rsidR="00DA4582">
        <w:rPr>
          <w:rFonts w:ascii="Calibri" w:eastAsiaTheme="majorEastAsia" w:hAnsi="Calibri" w:cs="Calibri"/>
          <w:lang w:val="lt-LT"/>
        </w:rPr>
        <w:t>S</w:t>
      </w:r>
      <w:r w:rsidRPr="00840031">
        <w:rPr>
          <w:rFonts w:ascii="Calibri" w:eastAsiaTheme="majorEastAsia" w:hAnsi="Calibri" w:cs="Calibri"/>
          <w:lang w:val="lt-LT"/>
        </w:rPr>
        <w:t xml:space="preserve">utarties </w:t>
      </w:r>
      <w:r w:rsidR="00DA4582">
        <w:rPr>
          <w:rFonts w:ascii="Calibri" w:eastAsiaTheme="majorEastAsia" w:hAnsi="Calibri" w:cs="Calibri"/>
          <w:lang w:val="lt-LT"/>
        </w:rPr>
        <w:t xml:space="preserve">tipinių </w:t>
      </w:r>
      <w:r w:rsidRPr="00840031">
        <w:rPr>
          <w:rFonts w:ascii="Calibri" w:eastAsiaTheme="majorEastAsia" w:hAnsi="Calibri" w:cs="Calibri"/>
          <w:lang w:val="lt-LT"/>
        </w:rPr>
        <w:t>sąlygų pritaikymo rengimo procese.</w:t>
      </w:r>
    </w:p>
    <w:p w14:paraId="50CDD3E4" w14:textId="7369D9A0" w:rsidR="00BF6829" w:rsidRPr="00740E77" w:rsidRDefault="00BF6829" w:rsidP="00BF6829">
      <w:pPr>
        <w:pStyle w:val="paragraph"/>
        <w:spacing w:before="0" w:beforeAutospacing="0" w:after="0" w:afterAutospacing="0"/>
        <w:ind w:firstLine="851"/>
        <w:rPr>
          <w:rFonts w:ascii="Calibri" w:eastAsiaTheme="majorEastAsia" w:hAnsi="Calibri" w:cs="Calibri"/>
          <w:lang w:val="lt-LT"/>
        </w:rPr>
      </w:pPr>
      <w:r w:rsidRPr="00740E77">
        <w:rPr>
          <w:rFonts w:ascii="Calibri" w:eastAsiaTheme="majorEastAsia" w:hAnsi="Calibri" w:cs="Calibri"/>
          <w:lang w:val="lt-LT"/>
        </w:rPr>
        <w:t>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apimtį ir negali būti joms priskiriamos, todėl nelaikytinos teisėtu pagrindu netaikyti Sutarties tipinių sąlygų.</w:t>
      </w:r>
    </w:p>
    <w:p w14:paraId="0346A048" w14:textId="11A4B2B9" w:rsidR="00BF6829" w:rsidRPr="00740E77" w:rsidRDefault="00BF6829" w:rsidP="00BF6829">
      <w:pPr>
        <w:pStyle w:val="paragraph"/>
        <w:spacing w:before="0" w:beforeAutospacing="0" w:after="0" w:afterAutospacing="0"/>
        <w:ind w:firstLine="851"/>
        <w:rPr>
          <w:rFonts w:ascii="Calibri" w:eastAsiaTheme="majorEastAsia" w:hAnsi="Calibri" w:cs="Calibri"/>
          <w:lang w:val="lt-LT"/>
        </w:rPr>
      </w:pPr>
      <w:r w:rsidRPr="00740E77">
        <w:rPr>
          <w:rFonts w:ascii="Calibri" w:eastAsiaTheme="majorEastAsia" w:hAnsi="Calibri" w:cs="Calibri"/>
          <w:lang w:val="lt-LT"/>
        </w:rPr>
        <w:t xml:space="preserve">Atsižvelgiant į tai, Tarnyba rekomenduoja ateityje vykdomuose pirkimuose naudoti </w:t>
      </w:r>
      <w:r w:rsidR="00D138DE">
        <w:rPr>
          <w:rFonts w:ascii="Calibri" w:eastAsiaTheme="majorEastAsia" w:hAnsi="Calibri" w:cs="Calibri"/>
          <w:lang w:val="lt-LT"/>
        </w:rPr>
        <w:t xml:space="preserve">Sutarties </w:t>
      </w:r>
      <w:r w:rsidRPr="00740E77">
        <w:rPr>
          <w:rFonts w:ascii="Calibri" w:eastAsiaTheme="majorEastAsia" w:hAnsi="Calibri" w:cs="Calibri"/>
          <w:lang w:val="lt-LT"/>
        </w:rPr>
        <w:t>tipines sąlygas</w:t>
      </w:r>
      <w:r w:rsidR="00B959E2">
        <w:rPr>
          <w:rFonts w:ascii="Calibri" w:eastAsiaTheme="majorEastAsia" w:hAnsi="Calibri" w:cs="Calibri"/>
          <w:lang w:val="lt-LT"/>
        </w:rPr>
        <w:t>.</w:t>
      </w:r>
    </w:p>
    <w:p w14:paraId="6167554B" w14:textId="77777777" w:rsidR="00744507" w:rsidRPr="0055332F" w:rsidRDefault="00744507">
      <w:pPr>
        <w:spacing w:after="0" w:line="240" w:lineRule="auto"/>
        <w:rPr>
          <w:rFonts w:ascii="Calibri" w:hAnsi="Calibri" w:cs="Calibri"/>
          <w:lang w:val="lt-LT"/>
        </w:rPr>
      </w:pPr>
    </w:p>
    <w:sectPr w:rsidR="00744507" w:rsidRPr="0055332F" w:rsidSect="0055457B">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56D2" w14:textId="77777777" w:rsidR="0068642E" w:rsidRDefault="0068642E" w:rsidP="00055973">
      <w:pPr>
        <w:spacing w:after="0" w:line="240" w:lineRule="auto"/>
      </w:pPr>
      <w:r>
        <w:separator/>
      </w:r>
    </w:p>
  </w:endnote>
  <w:endnote w:type="continuationSeparator" w:id="0">
    <w:p w14:paraId="6F7CFBC0" w14:textId="77777777" w:rsidR="0068642E" w:rsidRDefault="0068642E" w:rsidP="0005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8027" w14:textId="77777777" w:rsidR="0068642E" w:rsidRDefault="0068642E" w:rsidP="00055973">
      <w:pPr>
        <w:spacing w:after="0" w:line="240" w:lineRule="auto"/>
      </w:pPr>
      <w:r>
        <w:separator/>
      </w:r>
    </w:p>
  </w:footnote>
  <w:footnote w:type="continuationSeparator" w:id="0">
    <w:p w14:paraId="3CD9E4CB" w14:textId="77777777" w:rsidR="0068642E" w:rsidRDefault="0068642E" w:rsidP="0005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613515"/>
      <w:docPartObj>
        <w:docPartGallery w:val="Page Numbers (Top of Page)"/>
        <w:docPartUnique/>
      </w:docPartObj>
    </w:sdtPr>
    <w:sdtEndPr>
      <w:rPr>
        <w:noProof/>
      </w:rPr>
    </w:sdtEndPr>
    <w:sdtContent>
      <w:p w14:paraId="192C912E" w14:textId="45A52A97" w:rsidR="00440763" w:rsidRDefault="004407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058862F" w14:textId="77777777" w:rsidR="00440763" w:rsidRDefault="00440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6A6"/>
    <w:multiLevelType w:val="hybridMultilevel"/>
    <w:tmpl w:val="52CCE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8"/>
    <w:rsid w:val="00002E90"/>
    <w:rsid w:val="000045EB"/>
    <w:rsid w:val="0000642D"/>
    <w:rsid w:val="00007F98"/>
    <w:rsid w:val="00010F2E"/>
    <w:rsid w:val="00016C40"/>
    <w:rsid w:val="00026A8A"/>
    <w:rsid w:val="00033260"/>
    <w:rsid w:val="00034ED8"/>
    <w:rsid w:val="000378DA"/>
    <w:rsid w:val="00040425"/>
    <w:rsid w:val="00045DCA"/>
    <w:rsid w:val="00055533"/>
    <w:rsid w:val="00055973"/>
    <w:rsid w:val="00065B02"/>
    <w:rsid w:val="00067D5C"/>
    <w:rsid w:val="00074196"/>
    <w:rsid w:val="00077D0C"/>
    <w:rsid w:val="00084D0A"/>
    <w:rsid w:val="0009478B"/>
    <w:rsid w:val="000A01FD"/>
    <w:rsid w:val="000A0A53"/>
    <w:rsid w:val="000A5651"/>
    <w:rsid w:val="000A5E4B"/>
    <w:rsid w:val="000B180F"/>
    <w:rsid w:val="000B43FD"/>
    <w:rsid w:val="000B6CA2"/>
    <w:rsid w:val="000C0DCD"/>
    <w:rsid w:val="000C466D"/>
    <w:rsid w:val="000C68DB"/>
    <w:rsid w:val="000C6AFC"/>
    <w:rsid w:val="000E047B"/>
    <w:rsid w:val="000E0F01"/>
    <w:rsid w:val="000E0FA0"/>
    <w:rsid w:val="000E48F1"/>
    <w:rsid w:val="000E76D9"/>
    <w:rsid w:val="000F0FAA"/>
    <w:rsid w:val="000F4D12"/>
    <w:rsid w:val="000F5171"/>
    <w:rsid w:val="000F76F9"/>
    <w:rsid w:val="001028DE"/>
    <w:rsid w:val="00103D69"/>
    <w:rsid w:val="00104171"/>
    <w:rsid w:val="00104CA0"/>
    <w:rsid w:val="00106590"/>
    <w:rsid w:val="001141B2"/>
    <w:rsid w:val="00114BF8"/>
    <w:rsid w:val="00115FB8"/>
    <w:rsid w:val="00117885"/>
    <w:rsid w:val="00117993"/>
    <w:rsid w:val="00117FD8"/>
    <w:rsid w:val="00122BCC"/>
    <w:rsid w:val="00133684"/>
    <w:rsid w:val="0014154D"/>
    <w:rsid w:val="00144268"/>
    <w:rsid w:val="00151B76"/>
    <w:rsid w:val="001520BE"/>
    <w:rsid w:val="0015295B"/>
    <w:rsid w:val="00155B3E"/>
    <w:rsid w:val="001572D9"/>
    <w:rsid w:val="00161F27"/>
    <w:rsid w:val="001714DE"/>
    <w:rsid w:val="00172A5A"/>
    <w:rsid w:val="00173349"/>
    <w:rsid w:val="00174BDF"/>
    <w:rsid w:val="0018091C"/>
    <w:rsid w:val="00180F70"/>
    <w:rsid w:val="00184C8C"/>
    <w:rsid w:val="001851BF"/>
    <w:rsid w:val="00193DD9"/>
    <w:rsid w:val="0019465C"/>
    <w:rsid w:val="00197BCD"/>
    <w:rsid w:val="001A5184"/>
    <w:rsid w:val="001A5453"/>
    <w:rsid w:val="001A5678"/>
    <w:rsid w:val="001B2A3A"/>
    <w:rsid w:val="001B6675"/>
    <w:rsid w:val="001C22F4"/>
    <w:rsid w:val="001C488C"/>
    <w:rsid w:val="001C7446"/>
    <w:rsid w:val="001D2C7E"/>
    <w:rsid w:val="001E0153"/>
    <w:rsid w:val="001E0EA2"/>
    <w:rsid w:val="001E0F2F"/>
    <w:rsid w:val="001E1190"/>
    <w:rsid w:val="001E4AF2"/>
    <w:rsid w:val="001E69D2"/>
    <w:rsid w:val="001F0341"/>
    <w:rsid w:val="001F119F"/>
    <w:rsid w:val="001F27EB"/>
    <w:rsid w:val="001F46B1"/>
    <w:rsid w:val="001F5D53"/>
    <w:rsid w:val="001F6EBC"/>
    <w:rsid w:val="001F761A"/>
    <w:rsid w:val="002022DF"/>
    <w:rsid w:val="00205653"/>
    <w:rsid w:val="00207C1F"/>
    <w:rsid w:val="00215EDC"/>
    <w:rsid w:val="002237B3"/>
    <w:rsid w:val="00224122"/>
    <w:rsid w:val="00233850"/>
    <w:rsid w:val="002343AB"/>
    <w:rsid w:val="002349E6"/>
    <w:rsid w:val="0023673D"/>
    <w:rsid w:val="002403A0"/>
    <w:rsid w:val="0024267D"/>
    <w:rsid w:val="00243E6C"/>
    <w:rsid w:val="00244F3A"/>
    <w:rsid w:val="00245CF2"/>
    <w:rsid w:val="00246FD7"/>
    <w:rsid w:val="0025023F"/>
    <w:rsid w:val="00250740"/>
    <w:rsid w:val="002508F1"/>
    <w:rsid w:val="002553C7"/>
    <w:rsid w:val="002571C4"/>
    <w:rsid w:val="00260055"/>
    <w:rsid w:val="0026189F"/>
    <w:rsid w:val="00262E01"/>
    <w:rsid w:val="00265967"/>
    <w:rsid w:val="00271469"/>
    <w:rsid w:val="00281115"/>
    <w:rsid w:val="002825C2"/>
    <w:rsid w:val="00282A55"/>
    <w:rsid w:val="00282A67"/>
    <w:rsid w:val="00284D0D"/>
    <w:rsid w:val="00292324"/>
    <w:rsid w:val="00294159"/>
    <w:rsid w:val="002957AA"/>
    <w:rsid w:val="0029712F"/>
    <w:rsid w:val="002A460E"/>
    <w:rsid w:val="002A653D"/>
    <w:rsid w:val="002A78BE"/>
    <w:rsid w:val="002D0B1E"/>
    <w:rsid w:val="002D0C55"/>
    <w:rsid w:val="002D199C"/>
    <w:rsid w:val="002D32A0"/>
    <w:rsid w:val="002D42FB"/>
    <w:rsid w:val="002E2F28"/>
    <w:rsid w:val="002E6521"/>
    <w:rsid w:val="002E6E9C"/>
    <w:rsid w:val="002E7FB2"/>
    <w:rsid w:val="002F1394"/>
    <w:rsid w:val="002F4874"/>
    <w:rsid w:val="002F63DB"/>
    <w:rsid w:val="003044DA"/>
    <w:rsid w:val="00305EC5"/>
    <w:rsid w:val="00307D24"/>
    <w:rsid w:val="00312A24"/>
    <w:rsid w:val="00313615"/>
    <w:rsid w:val="00316995"/>
    <w:rsid w:val="003177E4"/>
    <w:rsid w:val="00321221"/>
    <w:rsid w:val="00325EAC"/>
    <w:rsid w:val="00326B0E"/>
    <w:rsid w:val="00334D8A"/>
    <w:rsid w:val="003361B4"/>
    <w:rsid w:val="00346E41"/>
    <w:rsid w:val="00352BF5"/>
    <w:rsid w:val="00360BC5"/>
    <w:rsid w:val="00364871"/>
    <w:rsid w:val="00376909"/>
    <w:rsid w:val="00382998"/>
    <w:rsid w:val="00385146"/>
    <w:rsid w:val="0038587C"/>
    <w:rsid w:val="00386440"/>
    <w:rsid w:val="0038718A"/>
    <w:rsid w:val="00387506"/>
    <w:rsid w:val="003902E3"/>
    <w:rsid w:val="0039360A"/>
    <w:rsid w:val="00395882"/>
    <w:rsid w:val="003B040D"/>
    <w:rsid w:val="003B2C21"/>
    <w:rsid w:val="003B4041"/>
    <w:rsid w:val="003B455C"/>
    <w:rsid w:val="003B4D7B"/>
    <w:rsid w:val="003C1B05"/>
    <w:rsid w:val="003C38FF"/>
    <w:rsid w:val="003C4F0F"/>
    <w:rsid w:val="003D1BC9"/>
    <w:rsid w:val="003E224A"/>
    <w:rsid w:val="003E40BF"/>
    <w:rsid w:val="003E522D"/>
    <w:rsid w:val="003E5399"/>
    <w:rsid w:val="003E5795"/>
    <w:rsid w:val="003F569D"/>
    <w:rsid w:val="003F7672"/>
    <w:rsid w:val="00400A30"/>
    <w:rsid w:val="004063A3"/>
    <w:rsid w:val="00410837"/>
    <w:rsid w:val="0041346E"/>
    <w:rsid w:val="004219AC"/>
    <w:rsid w:val="00426D92"/>
    <w:rsid w:val="004312BD"/>
    <w:rsid w:val="0043145B"/>
    <w:rsid w:val="0043347C"/>
    <w:rsid w:val="00435B99"/>
    <w:rsid w:val="00440763"/>
    <w:rsid w:val="00442544"/>
    <w:rsid w:val="00453997"/>
    <w:rsid w:val="00457CAF"/>
    <w:rsid w:val="00467AB4"/>
    <w:rsid w:val="00467B7E"/>
    <w:rsid w:val="00472B8D"/>
    <w:rsid w:val="00483D00"/>
    <w:rsid w:val="00483E8B"/>
    <w:rsid w:val="004850FE"/>
    <w:rsid w:val="00485EB5"/>
    <w:rsid w:val="0049410C"/>
    <w:rsid w:val="00495515"/>
    <w:rsid w:val="00496175"/>
    <w:rsid w:val="004A3341"/>
    <w:rsid w:val="004C3790"/>
    <w:rsid w:val="004C5034"/>
    <w:rsid w:val="004D60D0"/>
    <w:rsid w:val="004D791F"/>
    <w:rsid w:val="004E14A5"/>
    <w:rsid w:val="004E4C4A"/>
    <w:rsid w:val="004E6229"/>
    <w:rsid w:val="004F1CB9"/>
    <w:rsid w:val="004F24EF"/>
    <w:rsid w:val="004F48A7"/>
    <w:rsid w:val="004F73EA"/>
    <w:rsid w:val="00506E67"/>
    <w:rsid w:val="005073C6"/>
    <w:rsid w:val="0051414C"/>
    <w:rsid w:val="00516253"/>
    <w:rsid w:val="0053196E"/>
    <w:rsid w:val="0053644B"/>
    <w:rsid w:val="00537832"/>
    <w:rsid w:val="005441C4"/>
    <w:rsid w:val="00550FF4"/>
    <w:rsid w:val="0055332F"/>
    <w:rsid w:val="0055457B"/>
    <w:rsid w:val="00571665"/>
    <w:rsid w:val="00581D28"/>
    <w:rsid w:val="0059106D"/>
    <w:rsid w:val="005917C7"/>
    <w:rsid w:val="005938C4"/>
    <w:rsid w:val="0059486F"/>
    <w:rsid w:val="00594B2F"/>
    <w:rsid w:val="00597221"/>
    <w:rsid w:val="005C15F4"/>
    <w:rsid w:val="005C31CA"/>
    <w:rsid w:val="005D06CE"/>
    <w:rsid w:val="005D4CCB"/>
    <w:rsid w:val="005D517A"/>
    <w:rsid w:val="005D6565"/>
    <w:rsid w:val="005D7390"/>
    <w:rsid w:val="005D748B"/>
    <w:rsid w:val="005E4038"/>
    <w:rsid w:val="005E4B17"/>
    <w:rsid w:val="005E7143"/>
    <w:rsid w:val="005F2A15"/>
    <w:rsid w:val="005F416F"/>
    <w:rsid w:val="005F46C5"/>
    <w:rsid w:val="005F705A"/>
    <w:rsid w:val="005F7B26"/>
    <w:rsid w:val="00600325"/>
    <w:rsid w:val="006017D9"/>
    <w:rsid w:val="0060284D"/>
    <w:rsid w:val="00607D1F"/>
    <w:rsid w:val="00611485"/>
    <w:rsid w:val="00611F81"/>
    <w:rsid w:val="006129A6"/>
    <w:rsid w:val="006150E3"/>
    <w:rsid w:val="00616275"/>
    <w:rsid w:val="0062449B"/>
    <w:rsid w:val="006332CF"/>
    <w:rsid w:val="00644AA5"/>
    <w:rsid w:val="006455E2"/>
    <w:rsid w:val="00645942"/>
    <w:rsid w:val="00647BCE"/>
    <w:rsid w:val="006514F8"/>
    <w:rsid w:val="006518ED"/>
    <w:rsid w:val="0065241F"/>
    <w:rsid w:val="00655A73"/>
    <w:rsid w:val="00665A4E"/>
    <w:rsid w:val="00665C21"/>
    <w:rsid w:val="0066744E"/>
    <w:rsid w:val="00675F90"/>
    <w:rsid w:val="0068023D"/>
    <w:rsid w:val="00684A13"/>
    <w:rsid w:val="0068642E"/>
    <w:rsid w:val="006870F8"/>
    <w:rsid w:val="00687978"/>
    <w:rsid w:val="00687A60"/>
    <w:rsid w:val="006914E6"/>
    <w:rsid w:val="00691844"/>
    <w:rsid w:val="00696C5C"/>
    <w:rsid w:val="006A0D91"/>
    <w:rsid w:val="006A2605"/>
    <w:rsid w:val="006A53A6"/>
    <w:rsid w:val="006A5B99"/>
    <w:rsid w:val="006A62FE"/>
    <w:rsid w:val="006A7BF3"/>
    <w:rsid w:val="006B5B86"/>
    <w:rsid w:val="006C10AD"/>
    <w:rsid w:val="006C1B45"/>
    <w:rsid w:val="006C25B4"/>
    <w:rsid w:val="006C4F17"/>
    <w:rsid w:val="006C6045"/>
    <w:rsid w:val="006C7164"/>
    <w:rsid w:val="006D6F07"/>
    <w:rsid w:val="006D736C"/>
    <w:rsid w:val="006E10BD"/>
    <w:rsid w:val="006E481D"/>
    <w:rsid w:val="006E4A95"/>
    <w:rsid w:val="006E4C52"/>
    <w:rsid w:val="006E7987"/>
    <w:rsid w:val="006F4D76"/>
    <w:rsid w:val="006F579F"/>
    <w:rsid w:val="007032E2"/>
    <w:rsid w:val="00703E93"/>
    <w:rsid w:val="00711617"/>
    <w:rsid w:val="00717B11"/>
    <w:rsid w:val="00720A2F"/>
    <w:rsid w:val="00721B7C"/>
    <w:rsid w:val="00725B41"/>
    <w:rsid w:val="0072657C"/>
    <w:rsid w:val="00740E77"/>
    <w:rsid w:val="00744507"/>
    <w:rsid w:val="007546DD"/>
    <w:rsid w:val="00755301"/>
    <w:rsid w:val="00756A45"/>
    <w:rsid w:val="0076355F"/>
    <w:rsid w:val="00765766"/>
    <w:rsid w:val="0076590B"/>
    <w:rsid w:val="00765CF8"/>
    <w:rsid w:val="0076795C"/>
    <w:rsid w:val="00773CD7"/>
    <w:rsid w:val="00777A79"/>
    <w:rsid w:val="00780846"/>
    <w:rsid w:val="00780C72"/>
    <w:rsid w:val="00785B86"/>
    <w:rsid w:val="00786848"/>
    <w:rsid w:val="007A4EE0"/>
    <w:rsid w:val="007A63EC"/>
    <w:rsid w:val="007B273E"/>
    <w:rsid w:val="007D2166"/>
    <w:rsid w:val="007D409C"/>
    <w:rsid w:val="007E5918"/>
    <w:rsid w:val="007F2B61"/>
    <w:rsid w:val="007F36EC"/>
    <w:rsid w:val="007F67EF"/>
    <w:rsid w:val="0080354D"/>
    <w:rsid w:val="00804710"/>
    <w:rsid w:val="00810C28"/>
    <w:rsid w:val="008114C1"/>
    <w:rsid w:val="008146AE"/>
    <w:rsid w:val="00814909"/>
    <w:rsid w:val="008207C2"/>
    <w:rsid w:val="00826B57"/>
    <w:rsid w:val="00830132"/>
    <w:rsid w:val="008316DC"/>
    <w:rsid w:val="00840031"/>
    <w:rsid w:val="00840A3C"/>
    <w:rsid w:val="00840CD3"/>
    <w:rsid w:val="00843F65"/>
    <w:rsid w:val="00850940"/>
    <w:rsid w:val="00857816"/>
    <w:rsid w:val="00863713"/>
    <w:rsid w:val="00870CBF"/>
    <w:rsid w:val="00870DE9"/>
    <w:rsid w:val="00876EE1"/>
    <w:rsid w:val="00877DB2"/>
    <w:rsid w:val="00881128"/>
    <w:rsid w:val="008816F2"/>
    <w:rsid w:val="00882F97"/>
    <w:rsid w:val="00884589"/>
    <w:rsid w:val="008868F2"/>
    <w:rsid w:val="0089195F"/>
    <w:rsid w:val="00893F3A"/>
    <w:rsid w:val="00894E33"/>
    <w:rsid w:val="00895139"/>
    <w:rsid w:val="00895557"/>
    <w:rsid w:val="008A668C"/>
    <w:rsid w:val="008A7985"/>
    <w:rsid w:val="008B0316"/>
    <w:rsid w:val="008B1C80"/>
    <w:rsid w:val="008C5ABA"/>
    <w:rsid w:val="008D211A"/>
    <w:rsid w:val="008D2AAE"/>
    <w:rsid w:val="008D309B"/>
    <w:rsid w:val="008D47CD"/>
    <w:rsid w:val="008D63AB"/>
    <w:rsid w:val="008D7C8B"/>
    <w:rsid w:val="008E3CB6"/>
    <w:rsid w:val="008F3CD1"/>
    <w:rsid w:val="008F6A89"/>
    <w:rsid w:val="008F7F3E"/>
    <w:rsid w:val="00900546"/>
    <w:rsid w:val="00903456"/>
    <w:rsid w:val="00905DCC"/>
    <w:rsid w:val="00911FFD"/>
    <w:rsid w:val="00913F4C"/>
    <w:rsid w:val="0091476B"/>
    <w:rsid w:val="0091478A"/>
    <w:rsid w:val="0091597E"/>
    <w:rsid w:val="009172F1"/>
    <w:rsid w:val="00922B6D"/>
    <w:rsid w:val="009238A0"/>
    <w:rsid w:val="00925C40"/>
    <w:rsid w:val="0092769C"/>
    <w:rsid w:val="00927ABF"/>
    <w:rsid w:val="00934A84"/>
    <w:rsid w:val="0094347A"/>
    <w:rsid w:val="00944CDC"/>
    <w:rsid w:val="00945F34"/>
    <w:rsid w:val="00947CD6"/>
    <w:rsid w:val="009506B0"/>
    <w:rsid w:val="0095375A"/>
    <w:rsid w:val="009624A2"/>
    <w:rsid w:val="009655EA"/>
    <w:rsid w:val="00967FD3"/>
    <w:rsid w:val="00970CA5"/>
    <w:rsid w:val="00973644"/>
    <w:rsid w:val="00975693"/>
    <w:rsid w:val="00987812"/>
    <w:rsid w:val="009930B2"/>
    <w:rsid w:val="00995FA5"/>
    <w:rsid w:val="009961FA"/>
    <w:rsid w:val="00996BFA"/>
    <w:rsid w:val="009A054A"/>
    <w:rsid w:val="009A1C07"/>
    <w:rsid w:val="009A1D0E"/>
    <w:rsid w:val="009A6826"/>
    <w:rsid w:val="009A6F00"/>
    <w:rsid w:val="009A6F2A"/>
    <w:rsid w:val="009B65C0"/>
    <w:rsid w:val="009C2C54"/>
    <w:rsid w:val="009C3273"/>
    <w:rsid w:val="009C33C9"/>
    <w:rsid w:val="009D171A"/>
    <w:rsid w:val="009D2B5B"/>
    <w:rsid w:val="009D38BA"/>
    <w:rsid w:val="009D5920"/>
    <w:rsid w:val="009D59E7"/>
    <w:rsid w:val="009D761A"/>
    <w:rsid w:val="009E0C60"/>
    <w:rsid w:val="009E1420"/>
    <w:rsid w:val="009E2E02"/>
    <w:rsid w:val="009E4376"/>
    <w:rsid w:val="009E672C"/>
    <w:rsid w:val="009E6C06"/>
    <w:rsid w:val="009E7A34"/>
    <w:rsid w:val="009F15B4"/>
    <w:rsid w:val="009F3915"/>
    <w:rsid w:val="009F4A7B"/>
    <w:rsid w:val="009F74F7"/>
    <w:rsid w:val="00A050B9"/>
    <w:rsid w:val="00A06892"/>
    <w:rsid w:val="00A07D49"/>
    <w:rsid w:val="00A10188"/>
    <w:rsid w:val="00A148DB"/>
    <w:rsid w:val="00A27B37"/>
    <w:rsid w:val="00A335F8"/>
    <w:rsid w:val="00A35712"/>
    <w:rsid w:val="00A4028C"/>
    <w:rsid w:val="00A450B9"/>
    <w:rsid w:val="00A46004"/>
    <w:rsid w:val="00A505C1"/>
    <w:rsid w:val="00A50FAD"/>
    <w:rsid w:val="00A52B87"/>
    <w:rsid w:val="00A551FF"/>
    <w:rsid w:val="00A61D12"/>
    <w:rsid w:val="00A636AF"/>
    <w:rsid w:val="00A6580F"/>
    <w:rsid w:val="00A66B6E"/>
    <w:rsid w:val="00A734BB"/>
    <w:rsid w:val="00A7665C"/>
    <w:rsid w:val="00A83F0D"/>
    <w:rsid w:val="00A843EF"/>
    <w:rsid w:val="00A92630"/>
    <w:rsid w:val="00A9324C"/>
    <w:rsid w:val="00AB3967"/>
    <w:rsid w:val="00AC12B0"/>
    <w:rsid w:val="00AC364B"/>
    <w:rsid w:val="00AC4BBB"/>
    <w:rsid w:val="00AD25D6"/>
    <w:rsid w:val="00AD4DFF"/>
    <w:rsid w:val="00AE2C5D"/>
    <w:rsid w:val="00AE6151"/>
    <w:rsid w:val="00AF22D2"/>
    <w:rsid w:val="00AF2653"/>
    <w:rsid w:val="00AF2C7D"/>
    <w:rsid w:val="00AF4178"/>
    <w:rsid w:val="00AF44D1"/>
    <w:rsid w:val="00AF4762"/>
    <w:rsid w:val="00AF6854"/>
    <w:rsid w:val="00B02795"/>
    <w:rsid w:val="00B05CF6"/>
    <w:rsid w:val="00B138AA"/>
    <w:rsid w:val="00B2017F"/>
    <w:rsid w:val="00B251D8"/>
    <w:rsid w:val="00B37E39"/>
    <w:rsid w:val="00B4304E"/>
    <w:rsid w:val="00B44EA0"/>
    <w:rsid w:val="00B454F8"/>
    <w:rsid w:val="00B45AFA"/>
    <w:rsid w:val="00B476A8"/>
    <w:rsid w:val="00B47C26"/>
    <w:rsid w:val="00B50CB0"/>
    <w:rsid w:val="00B51B01"/>
    <w:rsid w:val="00B52BC9"/>
    <w:rsid w:val="00B5367D"/>
    <w:rsid w:val="00B64AAB"/>
    <w:rsid w:val="00B675E5"/>
    <w:rsid w:val="00B70B57"/>
    <w:rsid w:val="00B74F28"/>
    <w:rsid w:val="00B771AD"/>
    <w:rsid w:val="00B80ACB"/>
    <w:rsid w:val="00B814D9"/>
    <w:rsid w:val="00B82E91"/>
    <w:rsid w:val="00B94147"/>
    <w:rsid w:val="00B9541E"/>
    <w:rsid w:val="00B959E2"/>
    <w:rsid w:val="00BC610A"/>
    <w:rsid w:val="00BC6577"/>
    <w:rsid w:val="00BC65DE"/>
    <w:rsid w:val="00BD0F70"/>
    <w:rsid w:val="00BD1D0B"/>
    <w:rsid w:val="00BD6E02"/>
    <w:rsid w:val="00BD7E69"/>
    <w:rsid w:val="00BE042B"/>
    <w:rsid w:val="00BE2F07"/>
    <w:rsid w:val="00BE6593"/>
    <w:rsid w:val="00BE6632"/>
    <w:rsid w:val="00BF09C4"/>
    <w:rsid w:val="00BF4BE3"/>
    <w:rsid w:val="00BF6829"/>
    <w:rsid w:val="00C000DC"/>
    <w:rsid w:val="00C05DF3"/>
    <w:rsid w:val="00C12992"/>
    <w:rsid w:val="00C13A9C"/>
    <w:rsid w:val="00C1557B"/>
    <w:rsid w:val="00C246E8"/>
    <w:rsid w:val="00C34BD3"/>
    <w:rsid w:val="00C406A0"/>
    <w:rsid w:val="00C40A65"/>
    <w:rsid w:val="00C42A97"/>
    <w:rsid w:val="00C42EFF"/>
    <w:rsid w:val="00C5063E"/>
    <w:rsid w:val="00C5099C"/>
    <w:rsid w:val="00C52346"/>
    <w:rsid w:val="00C525CB"/>
    <w:rsid w:val="00C6120D"/>
    <w:rsid w:val="00C64BF7"/>
    <w:rsid w:val="00C64DE7"/>
    <w:rsid w:val="00C667BF"/>
    <w:rsid w:val="00C714AF"/>
    <w:rsid w:val="00C80862"/>
    <w:rsid w:val="00C82380"/>
    <w:rsid w:val="00C8272D"/>
    <w:rsid w:val="00C8276F"/>
    <w:rsid w:val="00C83362"/>
    <w:rsid w:val="00C839DE"/>
    <w:rsid w:val="00C85560"/>
    <w:rsid w:val="00C97B12"/>
    <w:rsid w:val="00CA0A1B"/>
    <w:rsid w:val="00CA7CDE"/>
    <w:rsid w:val="00CB2108"/>
    <w:rsid w:val="00CB4A02"/>
    <w:rsid w:val="00CC094A"/>
    <w:rsid w:val="00CC7F44"/>
    <w:rsid w:val="00CD426C"/>
    <w:rsid w:val="00CD44AC"/>
    <w:rsid w:val="00CD558D"/>
    <w:rsid w:val="00CD66B3"/>
    <w:rsid w:val="00CE009C"/>
    <w:rsid w:val="00CE7DFE"/>
    <w:rsid w:val="00CF491E"/>
    <w:rsid w:val="00D021E2"/>
    <w:rsid w:val="00D07C5B"/>
    <w:rsid w:val="00D12929"/>
    <w:rsid w:val="00D138DE"/>
    <w:rsid w:val="00D15F4E"/>
    <w:rsid w:val="00D17A7E"/>
    <w:rsid w:val="00D220D1"/>
    <w:rsid w:val="00D32A62"/>
    <w:rsid w:val="00D36885"/>
    <w:rsid w:val="00D44340"/>
    <w:rsid w:val="00D50BFE"/>
    <w:rsid w:val="00D515D9"/>
    <w:rsid w:val="00D54042"/>
    <w:rsid w:val="00D54391"/>
    <w:rsid w:val="00D60240"/>
    <w:rsid w:val="00D61909"/>
    <w:rsid w:val="00D714B2"/>
    <w:rsid w:val="00D72999"/>
    <w:rsid w:val="00D74AAC"/>
    <w:rsid w:val="00D7569F"/>
    <w:rsid w:val="00D76762"/>
    <w:rsid w:val="00D84932"/>
    <w:rsid w:val="00D84C0D"/>
    <w:rsid w:val="00D90128"/>
    <w:rsid w:val="00D94AF0"/>
    <w:rsid w:val="00DA4582"/>
    <w:rsid w:val="00DB0698"/>
    <w:rsid w:val="00DB2D89"/>
    <w:rsid w:val="00DB2F33"/>
    <w:rsid w:val="00DB3BA2"/>
    <w:rsid w:val="00DC2594"/>
    <w:rsid w:val="00DC33E4"/>
    <w:rsid w:val="00DD0D69"/>
    <w:rsid w:val="00DD0F0E"/>
    <w:rsid w:val="00DD4DFD"/>
    <w:rsid w:val="00DE4767"/>
    <w:rsid w:val="00DF13EF"/>
    <w:rsid w:val="00DF6A2E"/>
    <w:rsid w:val="00DF6CE0"/>
    <w:rsid w:val="00E03473"/>
    <w:rsid w:val="00E0634B"/>
    <w:rsid w:val="00E070ED"/>
    <w:rsid w:val="00E100C8"/>
    <w:rsid w:val="00E12772"/>
    <w:rsid w:val="00E12D38"/>
    <w:rsid w:val="00E176BD"/>
    <w:rsid w:val="00E21CF7"/>
    <w:rsid w:val="00E33E54"/>
    <w:rsid w:val="00E3491C"/>
    <w:rsid w:val="00E41B21"/>
    <w:rsid w:val="00E441F7"/>
    <w:rsid w:val="00E53313"/>
    <w:rsid w:val="00E62DD8"/>
    <w:rsid w:val="00E6562F"/>
    <w:rsid w:val="00E674A5"/>
    <w:rsid w:val="00E67C9A"/>
    <w:rsid w:val="00E71706"/>
    <w:rsid w:val="00E73501"/>
    <w:rsid w:val="00E7498C"/>
    <w:rsid w:val="00E8242B"/>
    <w:rsid w:val="00E84574"/>
    <w:rsid w:val="00E85360"/>
    <w:rsid w:val="00E86780"/>
    <w:rsid w:val="00E869E4"/>
    <w:rsid w:val="00E96FEC"/>
    <w:rsid w:val="00EA0E99"/>
    <w:rsid w:val="00EA11D8"/>
    <w:rsid w:val="00EA33FD"/>
    <w:rsid w:val="00EB1C65"/>
    <w:rsid w:val="00EC0494"/>
    <w:rsid w:val="00EC72CB"/>
    <w:rsid w:val="00ED58E8"/>
    <w:rsid w:val="00ED6043"/>
    <w:rsid w:val="00EF0191"/>
    <w:rsid w:val="00EF4558"/>
    <w:rsid w:val="00EF5F9C"/>
    <w:rsid w:val="00F10B6F"/>
    <w:rsid w:val="00F20253"/>
    <w:rsid w:val="00F30D19"/>
    <w:rsid w:val="00F30E78"/>
    <w:rsid w:val="00F33BCA"/>
    <w:rsid w:val="00F45656"/>
    <w:rsid w:val="00F47E9D"/>
    <w:rsid w:val="00F50405"/>
    <w:rsid w:val="00F51D15"/>
    <w:rsid w:val="00F53520"/>
    <w:rsid w:val="00F53824"/>
    <w:rsid w:val="00F6179E"/>
    <w:rsid w:val="00F6414D"/>
    <w:rsid w:val="00F67AE5"/>
    <w:rsid w:val="00F74EC9"/>
    <w:rsid w:val="00F76311"/>
    <w:rsid w:val="00F85F86"/>
    <w:rsid w:val="00F86860"/>
    <w:rsid w:val="00F87117"/>
    <w:rsid w:val="00F90D6F"/>
    <w:rsid w:val="00F963D7"/>
    <w:rsid w:val="00F96730"/>
    <w:rsid w:val="00FA39D7"/>
    <w:rsid w:val="00FA7331"/>
    <w:rsid w:val="00FB1FB5"/>
    <w:rsid w:val="00FB2AF9"/>
    <w:rsid w:val="00FB30BA"/>
    <w:rsid w:val="00FB4089"/>
    <w:rsid w:val="00FB46AF"/>
    <w:rsid w:val="00FB5886"/>
    <w:rsid w:val="00FB5CD4"/>
    <w:rsid w:val="00FC36EC"/>
    <w:rsid w:val="00FC37B6"/>
    <w:rsid w:val="00FC3B60"/>
    <w:rsid w:val="00FC5776"/>
    <w:rsid w:val="00FD1554"/>
    <w:rsid w:val="00FD3FF9"/>
    <w:rsid w:val="00FE23B3"/>
    <w:rsid w:val="00FE4DAE"/>
    <w:rsid w:val="00FE66FF"/>
    <w:rsid w:val="00FF03CE"/>
    <w:rsid w:val="31C63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C3B"/>
  <w15:chartTrackingRefBased/>
  <w15:docId w15:val="{AABC583D-2DC4-49EF-85D5-78BD4AD4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8"/>
    <w:rPr>
      <w:rFonts w:eastAsiaTheme="majorEastAsia" w:cstheme="majorBidi"/>
      <w:color w:val="272727" w:themeColor="text1" w:themeTint="D8"/>
    </w:rPr>
  </w:style>
  <w:style w:type="paragraph" w:styleId="Title">
    <w:name w:val="Title"/>
    <w:basedOn w:val="Normal"/>
    <w:next w:val="Normal"/>
    <w:link w:val="TitleChar"/>
    <w:uiPriority w:val="10"/>
    <w:qFormat/>
    <w:rsid w:val="00A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A10188"/>
    <w:rPr>
      <w:i/>
      <w:iCs/>
      <w:color w:val="404040" w:themeColor="text1" w:themeTint="BF"/>
    </w:rPr>
  </w:style>
  <w:style w:type="paragraph" w:styleId="ListParagraph">
    <w:name w:val="List Paragraph"/>
    <w:basedOn w:val="Normal"/>
    <w:uiPriority w:val="34"/>
    <w:qFormat/>
    <w:rsid w:val="00A10188"/>
    <w:pPr>
      <w:ind w:left="720"/>
      <w:contextualSpacing/>
    </w:pPr>
  </w:style>
  <w:style w:type="character" w:styleId="IntenseEmphasis">
    <w:name w:val="Intense Emphasis"/>
    <w:basedOn w:val="DefaultParagraphFont"/>
    <w:uiPriority w:val="21"/>
    <w:qFormat/>
    <w:rsid w:val="00A10188"/>
    <w:rPr>
      <w:i/>
      <w:iCs/>
      <w:color w:val="0F4761" w:themeColor="accent1" w:themeShade="BF"/>
    </w:rPr>
  </w:style>
  <w:style w:type="paragraph" w:styleId="IntenseQuote">
    <w:name w:val="Intense Quote"/>
    <w:basedOn w:val="Normal"/>
    <w:next w:val="Normal"/>
    <w:link w:val="IntenseQuoteChar"/>
    <w:uiPriority w:val="30"/>
    <w:qFormat/>
    <w:rsid w:val="00A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8"/>
    <w:rPr>
      <w:i/>
      <w:iCs/>
      <w:color w:val="0F4761" w:themeColor="accent1" w:themeShade="BF"/>
    </w:rPr>
  </w:style>
  <w:style w:type="character" w:styleId="IntenseReference">
    <w:name w:val="Intense Reference"/>
    <w:basedOn w:val="DefaultParagraphFont"/>
    <w:uiPriority w:val="32"/>
    <w:qFormat/>
    <w:rsid w:val="00A10188"/>
    <w:rPr>
      <w:b/>
      <w:bCs/>
      <w:smallCaps/>
      <w:color w:val="0F4761" w:themeColor="accent1" w:themeShade="BF"/>
      <w:spacing w:val="5"/>
    </w:rPr>
  </w:style>
  <w:style w:type="paragraph" w:customStyle="1" w:styleId="paragraph">
    <w:name w:val="paragraph"/>
    <w:basedOn w:val="Normal"/>
    <w:rsid w:val="00A101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0188"/>
  </w:style>
  <w:style w:type="character" w:customStyle="1" w:styleId="eop">
    <w:name w:val="eop"/>
    <w:basedOn w:val="DefaultParagraphFont"/>
    <w:rsid w:val="00A10188"/>
  </w:style>
  <w:style w:type="character" w:styleId="Hyperlink">
    <w:name w:val="Hyperlink"/>
    <w:basedOn w:val="DefaultParagraphFont"/>
    <w:uiPriority w:val="99"/>
    <w:unhideWhenUsed/>
    <w:rsid w:val="001B2A3A"/>
    <w:rPr>
      <w:color w:val="467886" w:themeColor="hyperlink"/>
      <w:u w:val="single"/>
    </w:rPr>
  </w:style>
  <w:style w:type="character" w:styleId="UnresolvedMention">
    <w:name w:val="Unresolved Mention"/>
    <w:basedOn w:val="DefaultParagraphFont"/>
    <w:uiPriority w:val="99"/>
    <w:semiHidden/>
    <w:unhideWhenUsed/>
    <w:rsid w:val="001B2A3A"/>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5597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55973"/>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55973"/>
    <w:rPr>
      <w:vertAlign w:val="superscript"/>
    </w:rPr>
  </w:style>
  <w:style w:type="paragraph" w:styleId="Revision">
    <w:name w:val="Revision"/>
    <w:hidden/>
    <w:uiPriority w:val="99"/>
    <w:semiHidden/>
    <w:rsid w:val="00A50FAD"/>
    <w:pPr>
      <w:spacing w:after="0" w:line="240" w:lineRule="auto"/>
    </w:pPr>
  </w:style>
  <w:style w:type="character" w:styleId="FollowedHyperlink">
    <w:name w:val="FollowedHyperlink"/>
    <w:basedOn w:val="DefaultParagraphFont"/>
    <w:uiPriority w:val="99"/>
    <w:semiHidden/>
    <w:unhideWhenUsed/>
    <w:rsid w:val="00AE2C5D"/>
    <w:rPr>
      <w:color w:val="96607D" w:themeColor="followedHyperlink"/>
      <w:u w:val="single"/>
    </w:rPr>
  </w:style>
  <w:style w:type="character" w:styleId="CommentReference">
    <w:name w:val="annotation reference"/>
    <w:basedOn w:val="DefaultParagraphFont"/>
    <w:uiPriority w:val="99"/>
    <w:semiHidden/>
    <w:unhideWhenUsed/>
    <w:rsid w:val="00BF09C4"/>
    <w:rPr>
      <w:sz w:val="16"/>
      <w:szCs w:val="16"/>
    </w:rPr>
  </w:style>
  <w:style w:type="paragraph" w:styleId="CommentText">
    <w:name w:val="annotation text"/>
    <w:basedOn w:val="Normal"/>
    <w:link w:val="CommentTextChar"/>
    <w:uiPriority w:val="99"/>
    <w:unhideWhenUsed/>
    <w:rsid w:val="00BF09C4"/>
    <w:pPr>
      <w:spacing w:line="240" w:lineRule="auto"/>
    </w:pPr>
    <w:rPr>
      <w:sz w:val="20"/>
      <w:szCs w:val="20"/>
    </w:rPr>
  </w:style>
  <w:style w:type="character" w:customStyle="1" w:styleId="CommentTextChar">
    <w:name w:val="Comment Text Char"/>
    <w:basedOn w:val="DefaultParagraphFont"/>
    <w:link w:val="CommentText"/>
    <w:uiPriority w:val="99"/>
    <w:rsid w:val="00BF09C4"/>
    <w:rPr>
      <w:sz w:val="20"/>
      <w:szCs w:val="20"/>
    </w:rPr>
  </w:style>
  <w:style w:type="paragraph" w:styleId="CommentSubject">
    <w:name w:val="annotation subject"/>
    <w:basedOn w:val="CommentText"/>
    <w:next w:val="CommentText"/>
    <w:link w:val="CommentSubjectChar"/>
    <w:uiPriority w:val="99"/>
    <w:semiHidden/>
    <w:unhideWhenUsed/>
    <w:rsid w:val="00BF09C4"/>
    <w:rPr>
      <w:b/>
      <w:bCs/>
    </w:rPr>
  </w:style>
  <w:style w:type="character" w:customStyle="1" w:styleId="CommentSubjectChar">
    <w:name w:val="Comment Subject Char"/>
    <w:basedOn w:val="CommentTextChar"/>
    <w:link w:val="CommentSubject"/>
    <w:uiPriority w:val="99"/>
    <w:semiHidden/>
    <w:rsid w:val="00BF09C4"/>
    <w:rPr>
      <w:b/>
      <w:bCs/>
      <w:sz w:val="20"/>
      <w:szCs w:val="20"/>
    </w:rPr>
  </w:style>
  <w:style w:type="paragraph" w:styleId="Header">
    <w:name w:val="header"/>
    <w:basedOn w:val="Normal"/>
    <w:link w:val="HeaderChar"/>
    <w:uiPriority w:val="99"/>
    <w:unhideWhenUsed/>
    <w:rsid w:val="0038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440"/>
  </w:style>
  <w:style w:type="paragraph" w:styleId="Footer">
    <w:name w:val="footer"/>
    <w:basedOn w:val="Normal"/>
    <w:link w:val="FooterChar"/>
    <w:uiPriority w:val="99"/>
    <w:unhideWhenUsed/>
    <w:rsid w:val="0038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440"/>
  </w:style>
  <w:style w:type="paragraph" w:styleId="NormalWeb">
    <w:name w:val="Normal (Web)"/>
    <w:basedOn w:val="Normal"/>
    <w:uiPriority w:val="99"/>
    <w:semiHidden/>
    <w:unhideWhenUsed/>
    <w:rsid w:val="00485E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22581102007580-D%C4%97l-formuluot%C4%97s-arba-lygiavertis-nurodymo-technin%C4%97se-specifikacijo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3C48-CBF4-4F1C-A50F-740A507809C1}">
  <ds:schemaRefs>
    <ds:schemaRef ds:uri="http://schemas.microsoft.com/sharepoint/v3/contenttype/forms"/>
  </ds:schemaRefs>
</ds:datastoreItem>
</file>

<file path=customXml/itemProps2.xml><?xml version="1.0" encoding="utf-8"?>
<ds:datastoreItem xmlns:ds="http://schemas.openxmlformats.org/officeDocument/2006/customXml" ds:itemID="{40BC356D-3CCE-4CC4-9F0E-DE57C2A0A668}">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3355113-7E36-4997-9EAA-215A08365BAD}"/>
</file>

<file path=customXml/itemProps4.xml><?xml version="1.0" encoding="utf-8"?>
<ds:datastoreItem xmlns:ds="http://schemas.openxmlformats.org/officeDocument/2006/customXml" ds:itemID="{8B61088D-E2E5-4895-B5D7-7F6628A9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5</cp:revision>
  <dcterms:created xsi:type="dcterms:W3CDTF">2026-06-05T06:58:00Z</dcterms:created>
  <dcterms:modified xsi:type="dcterms:W3CDTF">2026-06-05T11:51:00Z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