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B0FE" w14:textId="77777777" w:rsidR="0096338A" w:rsidRPr="00DA1878" w:rsidRDefault="0096338A" w:rsidP="0096338A">
      <w:pPr>
        <w:spacing w:line="276" w:lineRule="auto"/>
        <w:jc w:val="center"/>
        <w:rPr>
          <w:rFonts w:ascii="Calibri" w:hAnsi="Calibri" w:cs="Calibri"/>
          <w:b/>
          <w:bCs/>
          <w:sz w:val="24"/>
          <w:szCs w:val="24"/>
        </w:rPr>
      </w:pPr>
      <w:bookmarkStart w:id="0" w:name="_Hlk171595501"/>
      <w:bookmarkEnd w:id="0"/>
      <w:r w:rsidRPr="00DA1878">
        <w:rPr>
          <w:rFonts w:ascii="Calibri" w:hAnsi="Calibri" w:cs="Calibri"/>
          <w:b/>
          <w:bCs/>
          <w:sz w:val="24"/>
          <w:szCs w:val="24"/>
        </w:rPr>
        <w:t>VIEŠŲJŲ PIRKIMŲ TARNYBOS</w:t>
      </w:r>
    </w:p>
    <w:p w14:paraId="2416D791" w14:textId="77777777" w:rsidR="0096338A" w:rsidRPr="00DA1878" w:rsidRDefault="0096338A" w:rsidP="0096338A">
      <w:pPr>
        <w:spacing w:line="276" w:lineRule="auto"/>
        <w:jc w:val="center"/>
        <w:rPr>
          <w:rFonts w:ascii="Calibri" w:hAnsi="Calibri" w:cs="Calibri"/>
          <w:b/>
          <w:bCs/>
          <w:sz w:val="24"/>
          <w:szCs w:val="24"/>
        </w:rPr>
      </w:pPr>
      <w:r w:rsidRPr="00DA1878">
        <w:rPr>
          <w:rFonts w:ascii="Calibri" w:hAnsi="Calibri" w:cs="Calibri"/>
          <w:b/>
          <w:bCs/>
          <w:sz w:val="24"/>
          <w:szCs w:val="24"/>
        </w:rPr>
        <w:t>Prevencijos ir skelbimų skyriaus</w:t>
      </w:r>
    </w:p>
    <w:p w14:paraId="1B58A09B" w14:textId="747BFDC2" w:rsidR="0096338A" w:rsidRPr="00DA1878" w:rsidRDefault="0096338A" w:rsidP="0096338A">
      <w:pPr>
        <w:spacing w:line="276" w:lineRule="auto"/>
        <w:jc w:val="center"/>
        <w:rPr>
          <w:rFonts w:ascii="Calibri" w:hAnsi="Calibri" w:cs="Calibri"/>
          <w:b/>
          <w:bCs/>
          <w:sz w:val="24"/>
          <w:szCs w:val="24"/>
        </w:rPr>
      </w:pPr>
      <w:r w:rsidRPr="00DA1878">
        <w:rPr>
          <w:rFonts w:ascii="Calibri" w:hAnsi="Calibri" w:cs="Calibri"/>
          <w:b/>
          <w:bCs/>
          <w:sz w:val="24"/>
          <w:szCs w:val="24"/>
        </w:rPr>
        <w:t xml:space="preserve">2025 m. </w:t>
      </w:r>
      <w:r w:rsidR="00702BC8">
        <w:rPr>
          <w:rFonts w:ascii="Calibri" w:hAnsi="Calibri" w:cs="Calibri"/>
          <w:b/>
          <w:bCs/>
          <w:sz w:val="24"/>
          <w:szCs w:val="24"/>
        </w:rPr>
        <w:t>pirkimų prevencinės peržiūros</w:t>
      </w:r>
      <w:r w:rsidRPr="00DA1878">
        <w:rPr>
          <w:rFonts w:ascii="Calibri" w:hAnsi="Calibri" w:cs="Calibri"/>
          <w:b/>
          <w:bCs/>
          <w:sz w:val="24"/>
          <w:szCs w:val="24"/>
        </w:rPr>
        <w:t xml:space="preserve"> ataskaita</w:t>
      </w:r>
    </w:p>
    <w:p w14:paraId="3216265D" w14:textId="77777777" w:rsidR="0096338A" w:rsidRPr="00DA1878" w:rsidRDefault="0096338A" w:rsidP="0096338A">
      <w:pPr>
        <w:spacing w:line="276" w:lineRule="auto"/>
        <w:jc w:val="center"/>
        <w:rPr>
          <w:rFonts w:ascii="Calibri" w:hAnsi="Calibri" w:cs="Calibri"/>
          <w:b/>
          <w:bCs/>
          <w:sz w:val="24"/>
          <w:szCs w:val="24"/>
        </w:rPr>
      </w:pPr>
    </w:p>
    <w:p w14:paraId="16CA7F46" w14:textId="1913B0C5" w:rsidR="0096338A" w:rsidRPr="00A34926" w:rsidRDefault="0096338A" w:rsidP="00921179">
      <w:pPr>
        <w:shd w:val="clear" w:color="auto" w:fill="FFFFFF"/>
        <w:spacing w:after="0" w:line="360" w:lineRule="auto"/>
        <w:ind w:firstLine="851"/>
        <w:jc w:val="both"/>
        <w:rPr>
          <w:rFonts w:ascii="Calibri" w:eastAsia="Times New Roman" w:hAnsi="Calibri" w:cs="Calibri"/>
          <w:kern w:val="0"/>
          <w:sz w:val="24"/>
          <w:szCs w:val="24"/>
          <w:bdr w:val="none" w:sz="0" w:space="0" w:color="auto" w:frame="1"/>
          <w:lang w:eastAsia="lt-LT"/>
          <w14:ligatures w14:val="none"/>
        </w:rPr>
      </w:pPr>
      <w:r w:rsidRPr="00A34926">
        <w:rPr>
          <w:rFonts w:ascii="Calibri" w:eastAsia="Times New Roman" w:hAnsi="Calibri" w:cs="Calibri"/>
          <w:kern w:val="0"/>
          <w:sz w:val="24"/>
          <w:szCs w:val="24"/>
          <w:bdr w:val="none" w:sz="0" w:space="0" w:color="auto" w:frame="1"/>
          <w:lang w:eastAsia="lt-LT"/>
          <w14:ligatures w14:val="none"/>
        </w:rPr>
        <w:t xml:space="preserve">Viešųjų pirkimų tarnybos (toliau – Tarnyba) Prevencijos ir skelbimų skyrius, atsižvelgdamas į </w:t>
      </w:r>
      <w:r w:rsidR="008D7C3C" w:rsidRPr="00A34926">
        <w:rPr>
          <w:rStyle w:val="normaltextrun"/>
          <w:rFonts w:ascii="Calibri" w:hAnsi="Calibri" w:cs="Calibri"/>
          <w:color w:val="000000"/>
          <w:sz w:val="24"/>
          <w:szCs w:val="24"/>
          <w:shd w:val="clear" w:color="auto" w:fill="FFFFFF"/>
        </w:rPr>
        <w:t>metų eigoje atnaujintus pirkimų atrankos kriterijus</w:t>
      </w:r>
      <w:r w:rsidRPr="00A34926">
        <w:rPr>
          <w:rFonts w:ascii="Calibri" w:eastAsia="Times New Roman" w:hAnsi="Calibri" w:cs="Calibri"/>
          <w:kern w:val="0"/>
          <w:sz w:val="24"/>
          <w:szCs w:val="24"/>
          <w:bdr w:val="none" w:sz="0" w:space="0" w:color="auto" w:frame="1"/>
          <w:lang w:eastAsia="lt-LT"/>
          <w14:ligatures w14:val="none"/>
        </w:rPr>
        <w:t>, 2025 m. atliko šių pirkimų prevencinę peržiūrą:</w:t>
      </w:r>
    </w:p>
    <w:p w14:paraId="3D9AFE7B" w14:textId="7175A0F9" w:rsidR="005B22D1" w:rsidRPr="00A34926" w:rsidRDefault="005B22D1" w:rsidP="00921179">
      <w:pPr>
        <w:pStyle w:val="ListParagraph"/>
        <w:numPr>
          <w:ilvl w:val="0"/>
          <w:numId w:val="8"/>
        </w:numPr>
        <w:shd w:val="clear" w:color="auto" w:fill="FFFFFF"/>
        <w:tabs>
          <w:tab w:val="left" w:pos="993"/>
        </w:tabs>
        <w:spacing w:after="0" w:line="360" w:lineRule="auto"/>
        <w:ind w:left="0" w:firstLine="851"/>
        <w:jc w:val="both"/>
        <w:rPr>
          <w:rFonts w:ascii="Calibri" w:eastAsia="Times New Roman" w:hAnsi="Calibri" w:cs="Calibri"/>
          <w:kern w:val="0"/>
          <w:sz w:val="24"/>
          <w:szCs w:val="24"/>
          <w:bdr w:val="none" w:sz="0" w:space="0" w:color="auto" w:frame="1"/>
          <w:lang w:val="en-US" w:eastAsia="lt-LT"/>
          <w14:ligatures w14:val="none"/>
        </w:rPr>
      </w:pPr>
      <w:r w:rsidRPr="00A34926">
        <w:rPr>
          <w:rFonts w:ascii="Calibri" w:eastAsia="Times New Roman" w:hAnsi="Calibri" w:cs="Calibri"/>
          <w:kern w:val="0"/>
          <w:sz w:val="24"/>
          <w:szCs w:val="24"/>
          <w:bdr w:val="none" w:sz="0" w:space="0" w:color="auto" w:frame="1"/>
          <w:lang w:eastAsia="lt-LT"/>
          <w14:ligatures w14:val="none"/>
        </w:rPr>
        <w:t>tarptautini</w:t>
      </w:r>
      <w:r w:rsidR="007D7597" w:rsidRPr="00A34926">
        <w:rPr>
          <w:rFonts w:ascii="Calibri" w:eastAsia="Times New Roman" w:hAnsi="Calibri" w:cs="Calibri"/>
          <w:kern w:val="0"/>
          <w:sz w:val="24"/>
          <w:szCs w:val="24"/>
          <w:bdr w:val="none" w:sz="0" w:space="0" w:color="auto" w:frame="1"/>
          <w:lang w:eastAsia="lt-LT"/>
          <w14:ligatures w14:val="none"/>
        </w:rPr>
        <w:t>ų</w:t>
      </w:r>
      <w:r w:rsidRPr="00A34926">
        <w:rPr>
          <w:rFonts w:ascii="Calibri" w:eastAsia="Times New Roman" w:hAnsi="Calibri" w:cs="Calibri"/>
          <w:kern w:val="0"/>
          <w:sz w:val="24"/>
          <w:szCs w:val="24"/>
          <w:bdr w:val="none" w:sz="0" w:space="0" w:color="auto" w:frame="1"/>
          <w:lang w:eastAsia="lt-LT"/>
          <w14:ligatures w14:val="none"/>
        </w:rPr>
        <w:t xml:space="preserve"> ir supaprastint</w:t>
      </w:r>
      <w:r w:rsidR="007D7597" w:rsidRPr="00A34926">
        <w:rPr>
          <w:rFonts w:ascii="Calibri" w:eastAsia="Times New Roman" w:hAnsi="Calibri" w:cs="Calibri"/>
          <w:kern w:val="0"/>
          <w:sz w:val="24"/>
          <w:szCs w:val="24"/>
          <w:bdr w:val="none" w:sz="0" w:space="0" w:color="auto" w:frame="1"/>
          <w:lang w:eastAsia="lt-LT"/>
          <w14:ligatures w14:val="none"/>
        </w:rPr>
        <w:t>ų</w:t>
      </w:r>
      <w:r w:rsidRPr="00A34926">
        <w:rPr>
          <w:rFonts w:ascii="Calibri" w:eastAsia="Times New Roman" w:hAnsi="Calibri" w:cs="Calibri"/>
          <w:kern w:val="0"/>
          <w:sz w:val="24"/>
          <w:szCs w:val="24"/>
          <w:bdr w:val="none" w:sz="0" w:space="0" w:color="auto" w:frame="1"/>
          <w:lang w:eastAsia="lt-LT"/>
          <w14:ligatures w14:val="none"/>
        </w:rPr>
        <w:t xml:space="preserve"> (išskyrus mažos vertės pirkimus, pirkimus vykdomus viešojo ir privataus sektorių partnerystės būdu, koncesijas, pirkimus, finansuojamus Europos Sąjungos lėšomis, kurių priežiūrą atlieka Europos Sąjungos finansinę paramą administruojantys viešieji juridiniai asmenys, dinamines pirkimų sistemas ir konkrečius pirkimus, vykdomus jau sukurtų dinaminių pirkimo sistemų pagrindu) pastatų statybos darbų pirkim</w:t>
      </w:r>
      <w:r w:rsidR="007D7597" w:rsidRPr="00A34926">
        <w:rPr>
          <w:rFonts w:ascii="Calibri" w:eastAsia="Times New Roman" w:hAnsi="Calibri" w:cs="Calibri"/>
          <w:kern w:val="0"/>
          <w:sz w:val="24"/>
          <w:szCs w:val="24"/>
          <w:bdr w:val="none" w:sz="0" w:space="0" w:color="auto" w:frame="1"/>
          <w:lang w:eastAsia="lt-LT"/>
          <w14:ligatures w14:val="none"/>
        </w:rPr>
        <w:t>ų</w:t>
      </w:r>
      <w:r w:rsidRPr="00A34926">
        <w:rPr>
          <w:rFonts w:ascii="Calibri" w:eastAsia="Times New Roman" w:hAnsi="Calibri" w:cs="Calibri"/>
          <w:kern w:val="0"/>
          <w:sz w:val="24"/>
          <w:szCs w:val="24"/>
          <w:bdr w:val="none" w:sz="0" w:space="0" w:color="auto" w:frame="1"/>
          <w:lang w:eastAsia="lt-LT"/>
          <w14:ligatures w14:val="none"/>
        </w:rPr>
        <w:t>, kaip jie apibrėžti  STR 1.01.03:2017 „Statinių ir patalpų klasifikavimas" 1 priede (išskyrus atvirus, t. y. be stogo, sporto objektus), kurių pagrindiniai BVPŽ kodai yra 45000000, nuo 45210000 iki 45217000, 45453000, 45453100, 45454000 (toliau – Pastatų statybos darbų pirkimai);</w:t>
      </w:r>
      <w:r w:rsidRPr="00A34926">
        <w:rPr>
          <w:rFonts w:ascii="Calibri" w:eastAsia="Times New Roman" w:hAnsi="Calibri" w:cs="Calibri"/>
          <w:kern w:val="0"/>
          <w:sz w:val="24"/>
          <w:szCs w:val="24"/>
          <w:bdr w:val="none" w:sz="0" w:space="0" w:color="auto" w:frame="1"/>
          <w:lang w:val="en-US" w:eastAsia="lt-LT"/>
          <w14:ligatures w14:val="none"/>
        </w:rPr>
        <w:t> </w:t>
      </w:r>
    </w:p>
    <w:p w14:paraId="6934730A" w14:textId="4BFF381E" w:rsidR="005B22D1" w:rsidRPr="00A34926" w:rsidRDefault="005B22D1" w:rsidP="00921179">
      <w:pPr>
        <w:pStyle w:val="ListParagraph"/>
        <w:numPr>
          <w:ilvl w:val="0"/>
          <w:numId w:val="8"/>
        </w:numPr>
        <w:shd w:val="clear" w:color="auto" w:fill="FFFFFF"/>
        <w:tabs>
          <w:tab w:val="left" w:pos="993"/>
        </w:tabs>
        <w:spacing w:after="0" w:line="360" w:lineRule="auto"/>
        <w:ind w:left="0" w:firstLine="851"/>
        <w:jc w:val="both"/>
        <w:rPr>
          <w:rFonts w:ascii="Calibri" w:eastAsia="Times New Roman" w:hAnsi="Calibri" w:cs="Calibri"/>
          <w:kern w:val="0"/>
          <w:sz w:val="24"/>
          <w:szCs w:val="24"/>
          <w:bdr w:val="none" w:sz="0" w:space="0" w:color="auto" w:frame="1"/>
          <w:lang w:val="en-US" w:eastAsia="lt-LT"/>
          <w14:ligatures w14:val="none"/>
        </w:rPr>
      </w:pPr>
      <w:r w:rsidRPr="00A34926">
        <w:rPr>
          <w:rFonts w:ascii="Calibri" w:eastAsia="Times New Roman" w:hAnsi="Calibri" w:cs="Calibri"/>
          <w:kern w:val="0"/>
          <w:sz w:val="24"/>
          <w:szCs w:val="24"/>
          <w:bdr w:val="none" w:sz="0" w:space="0" w:color="auto" w:frame="1"/>
          <w:lang w:eastAsia="lt-LT"/>
          <w14:ligatures w14:val="none"/>
        </w:rPr>
        <w:t>konkre</w:t>
      </w:r>
      <w:r w:rsidR="00043259" w:rsidRPr="00A34926">
        <w:rPr>
          <w:rFonts w:ascii="Calibri" w:eastAsia="Times New Roman" w:hAnsi="Calibri" w:cs="Calibri"/>
          <w:kern w:val="0"/>
          <w:sz w:val="24"/>
          <w:szCs w:val="24"/>
          <w:bdr w:val="none" w:sz="0" w:space="0" w:color="auto" w:frame="1"/>
          <w:lang w:eastAsia="lt-LT"/>
          <w14:ligatures w14:val="none"/>
        </w:rPr>
        <w:t>čių</w:t>
      </w:r>
      <w:r w:rsidRPr="00A34926">
        <w:rPr>
          <w:rFonts w:ascii="Calibri" w:eastAsia="Times New Roman" w:hAnsi="Calibri" w:cs="Calibri"/>
          <w:kern w:val="0"/>
          <w:sz w:val="24"/>
          <w:szCs w:val="24"/>
          <w:bdr w:val="none" w:sz="0" w:space="0" w:color="auto" w:frame="1"/>
          <w:lang w:eastAsia="lt-LT"/>
          <w14:ligatures w14:val="none"/>
        </w:rPr>
        <w:t xml:space="preserve"> pirkim</w:t>
      </w:r>
      <w:r w:rsidR="00043259" w:rsidRPr="00A34926">
        <w:rPr>
          <w:rFonts w:ascii="Calibri" w:eastAsia="Times New Roman" w:hAnsi="Calibri" w:cs="Calibri"/>
          <w:kern w:val="0"/>
          <w:sz w:val="24"/>
          <w:szCs w:val="24"/>
          <w:bdr w:val="none" w:sz="0" w:space="0" w:color="auto" w:frame="1"/>
          <w:lang w:eastAsia="lt-LT"/>
          <w14:ligatures w14:val="none"/>
        </w:rPr>
        <w:t>ų</w:t>
      </w:r>
      <w:r w:rsidR="0081676F">
        <w:rPr>
          <w:rFonts w:ascii="Calibri" w:eastAsia="Times New Roman" w:hAnsi="Calibri" w:cs="Calibri"/>
          <w:kern w:val="0"/>
          <w:sz w:val="24"/>
          <w:szCs w:val="24"/>
          <w:bdr w:val="none" w:sz="0" w:space="0" w:color="auto" w:frame="1"/>
          <w:lang w:eastAsia="lt-LT"/>
          <w14:ligatures w14:val="none"/>
        </w:rPr>
        <w:t>,</w:t>
      </w:r>
      <w:r w:rsidRPr="00A34926">
        <w:rPr>
          <w:rFonts w:ascii="Calibri" w:eastAsia="Times New Roman" w:hAnsi="Calibri" w:cs="Calibri"/>
          <w:kern w:val="0"/>
          <w:sz w:val="24"/>
          <w:szCs w:val="24"/>
          <w:bdr w:val="none" w:sz="0" w:space="0" w:color="auto" w:frame="1"/>
          <w:lang w:eastAsia="lt-LT"/>
          <w14:ligatures w14:val="none"/>
        </w:rPr>
        <w:t xml:space="preserve"> vykdom</w:t>
      </w:r>
      <w:r w:rsidR="00043259" w:rsidRPr="00A34926">
        <w:rPr>
          <w:rFonts w:ascii="Calibri" w:eastAsia="Times New Roman" w:hAnsi="Calibri" w:cs="Calibri"/>
          <w:kern w:val="0"/>
          <w:sz w:val="24"/>
          <w:szCs w:val="24"/>
          <w:bdr w:val="none" w:sz="0" w:space="0" w:color="auto" w:frame="1"/>
          <w:lang w:eastAsia="lt-LT"/>
          <w14:ligatures w14:val="none"/>
        </w:rPr>
        <w:t>ų</w:t>
      </w:r>
      <w:r w:rsidRPr="00A34926">
        <w:rPr>
          <w:rFonts w:ascii="Calibri" w:eastAsia="Times New Roman" w:hAnsi="Calibri" w:cs="Calibri"/>
          <w:kern w:val="0"/>
          <w:sz w:val="24"/>
          <w:szCs w:val="24"/>
          <w:bdr w:val="none" w:sz="0" w:space="0" w:color="auto" w:frame="1"/>
          <w:lang w:eastAsia="lt-LT"/>
          <w14:ligatures w14:val="none"/>
        </w:rPr>
        <w:t xml:space="preserve"> jau sukurtų dinaminių pirkimo sistemų pagrindu (išskyrus pirkimus</w:t>
      </w:r>
      <w:r w:rsidR="0081676F">
        <w:rPr>
          <w:rFonts w:ascii="Calibri" w:eastAsia="Times New Roman" w:hAnsi="Calibri" w:cs="Calibri"/>
          <w:kern w:val="0"/>
          <w:sz w:val="24"/>
          <w:szCs w:val="24"/>
          <w:bdr w:val="none" w:sz="0" w:space="0" w:color="auto" w:frame="1"/>
          <w:lang w:eastAsia="lt-LT"/>
          <w14:ligatures w14:val="none"/>
        </w:rPr>
        <w:t>,</w:t>
      </w:r>
      <w:r w:rsidRPr="00A34926">
        <w:rPr>
          <w:rFonts w:ascii="Calibri" w:eastAsia="Times New Roman" w:hAnsi="Calibri" w:cs="Calibri"/>
          <w:kern w:val="0"/>
          <w:sz w:val="24"/>
          <w:szCs w:val="24"/>
          <w:bdr w:val="none" w:sz="0" w:space="0" w:color="auto" w:frame="1"/>
          <w:lang w:eastAsia="lt-LT"/>
          <w14:ligatures w14:val="none"/>
        </w:rPr>
        <w:t xml:space="preserve"> vykdomus VšĮ CPO LT), kurių BVPŽ kodai yra: 30200000, 30236000, 48000000, 48517000, 48820000, 72200000, 72243000, kai konkrečiame pirkime iki pasiūlymų pateikimo yra likęs ne trumpesnis kaip 5 d. d. terminas (toliau – konkretūs DPS pirkimai);</w:t>
      </w:r>
      <w:r w:rsidRPr="00A34926">
        <w:rPr>
          <w:rFonts w:ascii="Calibri" w:eastAsia="Times New Roman" w:hAnsi="Calibri" w:cs="Calibri"/>
          <w:kern w:val="0"/>
          <w:sz w:val="24"/>
          <w:szCs w:val="24"/>
          <w:bdr w:val="none" w:sz="0" w:space="0" w:color="auto" w:frame="1"/>
          <w:lang w:val="en-US" w:eastAsia="lt-LT"/>
          <w14:ligatures w14:val="none"/>
        </w:rPr>
        <w:t> </w:t>
      </w:r>
    </w:p>
    <w:p w14:paraId="1C2E2A5D" w14:textId="33B285CA" w:rsidR="005B22D1" w:rsidRPr="00A34926" w:rsidRDefault="005B22D1" w:rsidP="00921179">
      <w:pPr>
        <w:pStyle w:val="ListParagraph"/>
        <w:numPr>
          <w:ilvl w:val="0"/>
          <w:numId w:val="8"/>
        </w:numPr>
        <w:shd w:val="clear" w:color="auto" w:fill="FFFFFF"/>
        <w:tabs>
          <w:tab w:val="left" w:pos="993"/>
        </w:tabs>
        <w:spacing w:after="0" w:line="360" w:lineRule="auto"/>
        <w:ind w:left="0" w:firstLine="851"/>
        <w:jc w:val="both"/>
        <w:rPr>
          <w:rFonts w:ascii="Calibri" w:eastAsia="Times New Roman" w:hAnsi="Calibri" w:cs="Calibri"/>
          <w:kern w:val="0"/>
          <w:sz w:val="24"/>
          <w:szCs w:val="24"/>
          <w:bdr w:val="none" w:sz="0" w:space="0" w:color="auto" w:frame="1"/>
          <w:lang w:val="en-US" w:eastAsia="lt-LT"/>
          <w14:ligatures w14:val="none"/>
        </w:rPr>
      </w:pPr>
      <w:r w:rsidRPr="00A34926">
        <w:rPr>
          <w:rFonts w:ascii="Calibri" w:eastAsia="Times New Roman" w:hAnsi="Calibri" w:cs="Calibri"/>
          <w:kern w:val="0"/>
          <w:sz w:val="24"/>
          <w:szCs w:val="24"/>
          <w:bdr w:val="none" w:sz="0" w:space="0" w:color="auto" w:frame="1"/>
          <w:lang w:eastAsia="lt-LT"/>
          <w14:ligatures w14:val="none"/>
        </w:rPr>
        <w:t>pirkim</w:t>
      </w:r>
      <w:r w:rsidR="003E7770" w:rsidRPr="00A34926">
        <w:rPr>
          <w:rFonts w:ascii="Calibri" w:eastAsia="Times New Roman" w:hAnsi="Calibri" w:cs="Calibri"/>
          <w:kern w:val="0"/>
          <w:sz w:val="24"/>
          <w:szCs w:val="24"/>
          <w:bdr w:val="none" w:sz="0" w:space="0" w:color="auto" w:frame="1"/>
          <w:lang w:eastAsia="lt-LT"/>
          <w14:ligatures w14:val="none"/>
        </w:rPr>
        <w:t>ų</w:t>
      </w:r>
      <w:r w:rsidRPr="00A34926">
        <w:rPr>
          <w:rFonts w:ascii="Calibri" w:eastAsia="Times New Roman" w:hAnsi="Calibri" w:cs="Calibri"/>
          <w:kern w:val="0"/>
          <w:sz w:val="24"/>
          <w:szCs w:val="24"/>
          <w:bdr w:val="none" w:sz="0" w:space="0" w:color="auto" w:frame="1"/>
          <w:lang w:eastAsia="lt-LT"/>
          <w14:ligatures w14:val="none"/>
        </w:rPr>
        <w:t>, apie kuriuos, pirkimo vykdytojų manymu, neprivaloma skelbti, tačiau, priėmus sprendimą nustatyti laimėjusį pasiūlymą, pirkimų vykdytojai skelbia savanoriško </w:t>
      </w:r>
      <w:proofErr w:type="spellStart"/>
      <w:r w:rsidRPr="00A34926">
        <w:rPr>
          <w:rFonts w:ascii="Calibri" w:eastAsia="Times New Roman" w:hAnsi="Calibri" w:cs="Calibri"/>
          <w:kern w:val="0"/>
          <w:sz w:val="24"/>
          <w:szCs w:val="24"/>
          <w:bdr w:val="none" w:sz="0" w:space="0" w:color="auto" w:frame="1"/>
          <w:lang w:eastAsia="lt-LT"/>
          <w14:ligatures w14:val="none"/>
        </w:rPr>
        <w:t>Ex</w:t>
      </w:r>
      <w:proofErr w:type="spellEnd"/>
      <w:r w:rsidRPr="00A34926">
        <w:rPr>
          <w:rFonts w:ascii="Calibri" w:eastAsia="Times New Roman" w:hAnsi="Calibri" w:cs="Calibri"/>
          <w:kern w:val="0"/>
          <w:sz w:val="24"/>
          <w:szCs w:val="24"/>
          <w:bdr w:val="none" w:sz="0" w:space="0" w:color="auto" w:frame="1"/>
          <w:lang w:eastAsia="lt-LT"/>
          <w14:ligatures w14:val="none"/>
        </w:rPr>
        <w:t>-ante skaidrumo skelbimą (toliau – </w:t>
      </w:r>
      <w:proofErr w:type="spellStart"/>
      <w:r w:rsidRPr="00A34926">
        <w:rPr>
          <w:rFonts w:ascii="Calibri" w:eastAsia="Times New Roman" w:hAnsi="Calibri" w:cs="Calibri"/>
          <w:kern w:val="0"/>
          <w:sz w:val="24"/>
          <w:szCs w:val="24"/>
          <w:bdr w:val="none" w:sz="0" w:space="0" w:color="auto" w:frame="1"/>
          <w:lang w:eastAsia="lt-LT"/>
          <w14:ligatures w14:val="none"/>
        </w:rPr>
        <w:t>Ex</w:t>
      </w:r>
      <w:proofErr w:type="spellEnd"/>
      <w:r w:rsidRPr="00A34926">
        <w:rPr>
          <w:rFonts w:ascii="Calibri" w:eastAsia="Times New Roman" w:hAnsi="Calibri" w:cs="Calibri"/>
          <w:kern w:val="0"/>
          <w:sz w:val="24"/>
          <w:szCs w:val="24"/>
          <w:bdr w:val="none" w:sz="0" w:space="0" w:color="auto" w:frame="1"/>
          <w:lang w:eastAsia="lt-LT"/>
          <w14:ligatures w14:val="none"/>
        </w:rPr>
        <w:t>-ante pirkimai);</w:t>
      </w:r>
      <w:r w:rsidRPr="00A34926">
        <w:rPr>
          <w:rFonts w:ascii="Calibri" w:eastAsia="Times New Roman" w:hAnsi="Calibri" w:cs="Calibri"/>
          <w:kern w:val="0"/>
          <w:sz w:val="24"/>
          <w:szCs w:val="24"/>
          <w:bdr w:val="none" w:sz="0" w:space="0" w:color="auto" w:frame="1"/>
          <w:lang w:val="en-US" w:eastAsia="lt-LT"/>
          <w14:ligatures w14:val="none"/>
        </w:rPr>
        <w:t> </w:t>
      </w:r>
    </w:p>
    <w:p w14:paraId="321C028F" w14:textId="4D171D5B" w:rsidR="005B22D1" w:rsidRPr="00A34926" w:rsidRDefault="001B4520" w:rsidP="00921179">
      <w:pPr>
        <w:pStyle w:val="ListParagraph"/>
        <w:numPr>
          <w:ilvl w:val="0"/>
          <w:numId w:val="8"/>
        </w:numPr>
        <w:shd w:val="clear" w:color="auto" w:fill="FFFFFF"/>
        <w:spacing w:after="0" w:line="360" w:lineRule="auto"/>
        <w:ind w:left="993" w:hanging="142"/>
        <w:jc w:val="both"/>
        <w:rPr>
          <w:rFonts w:ascii="Calibri" w:eastAsia="Times New Roman" w:hAnsi="Calibri" w:cs="Calibri"/>
          <w:kern w:val="0"/>
          <w:sz w:val="24"/>
          <w:szCs w:val="24"/>
          <w:bdr w:val="none" w:sz="0" w:space="0" w:color="auto" w:frame="1"/>
          <w:lang w:val="en-US" w:eastAsia="lt-LT"/>
          <w14:ligatures w14:val="none"/>
        </w:rPr>
      </w:pPr>
      <w:r>
        <w:rPr>
          <w:rFonts w:ascii="Calibri" w:eastAsia="Times New Roman" w:hAnsi="Calibri" w:cs="Calibri"/>
          <w:kern w:val="0"/>
          <w:sz w:val="24"/>
          <w:szCs w:val="24"/>
          <w:bdr w:val="none" w:sz="0" w:space="0" w:color="auto" w:frame="1"/>
          <w:lang w:eastAsia="lt-LT"/>
          <w14:ligatures w14:val="none"/>
        </w:rPr>
        <w:t xml:space="preserve">Pranešimų vertinimo </w:t>
      </w:r>
      <w:r w:rsidR="005B22D1" w:rsidRPr="00A34926">
        <w:rPr>
          <w:rFonts w:ascii="Calibri" w:eastAsia="Times New Roman" w:hAnsi="Calibri" w:cs="Calibri"/>
          <w:kern w:val="0"/>
          <w:sz w:val="24"/>
          <w:szCs w:val="24"/>
          <w:bdr w:val="none" w:sz="0" w:space="0" w:color="auto" w:frame="1"/>
          <w:lang w:eastAsia="lt-LT"/>
          <w14:ligatures w14:val="none"/>
        </w:rPr>
        <w:t>darbo grupės</w:t>
      </w:r>
      <w:r w:rsidR="00CF7D15" w:rsidRPr="00563CC0">
        <w:rPr>
          <w:rFonts w:ascii="Calibri" w:hAnsi="Calibri" w:cs="Calibri"/>
          <w:vertAlign w:val="superscript"/>
        </w:rPr>
        <w:footnoteReference w:id="1"/>
      </w:r>
      <w:r w:rsidR="005B22D1" w:rsidRPr="00A34926">
        <w:rPr>
          <w:rFonts w:ascii="Calibri" w:eastAsia="Times New Roman" w:hAnsi="Calibri" w:cs="Calibri"/>
          <w:kern w:val="0"/>
          <w:sz w:val="24"/>
          <w:szCs w:val="24"/>
          <w:bdr w:val="none" w:sz="0" w:space="0" w:color="auto" w:frame="1"/>
          <w:lang w:eastAsia="lt-LT"/>
          <w14:ligatures w14:val="none"/>
        </w:rPr>
        <w:t xml:space="preserve"> perduot</w:t>
      </w:r>
      <w:r w:rsidR="000A1021" w:rsidRPr="00A34926">
        <w:rPr>
          <w:rFonts w:ascii="Calibri" w:eastAsia="Times New Roman" w:hAnsi="Calibri" w:cs="Calibri"/>
          <w:kern w:val="0"/>
          <w:sz w:val="24"/>
          <w:szCs w:val="24"/>
          <w:bdr w:val="none" w:sz="0" w:space="0" w:color="auto" w:frame="1"/>
          <w:lang w:eastAsia="lt-LT"/>
          <w14:ligatures w14:val="none"/>
        </w:rPr>
        <w:t>ų pirkimų</w:t>
      </w:r>
      <w:r w:rsidR="005B22D1" w:rsidRPr="00A34926">
        <w:rPr>
          <w:rFonts w:ascii="Calibri" w:eastAsia="Times New Roman" w:hAnsi="Calibri" w:cs="Calibri"/>
          <w:kern w:val="0"/>
          <w:sz w:val="24"/>
          <w:szCs w:val="24"/>
          <w:bdr w:val="none" w:sz="0" w:space="0" w:color="auto" w:frame="1"/>
          <w:lang w:eastAsia="lt-LT"/>
          <w14:ligatures w14:val="none"/>
        </w:rPr>
        <w:t>. </w:t>
      </w:r>
      <w:r w:rsidR="005B22D1" w:rsidRPr="00A34926">
        <w:rPr>
          <w:rFonts w:ascii="Calibri" w:eastAsia="Times New Roman" w:hAnsi="Calibri" w:cs="Calibri"/>
          <w:kern w:val="0"/>
          <w:sz w:val="24"/>
          <w:szCs w:val="24"/>
          <w:bdr w:val="none" w:sz="0" w:space="0" w:color="auto" w:frame="1"/>
          <w:lang w:val="en-US" w:eastAsia="lt-LT"/>
          <w14:ligatures w14:val="none"/>
        </w:rPr>
        <w:t> </w:t>
      </w:r>
    </w:p>
    <w:p w14:paraId="1A57C809" w14:textId="7316A588" w:rsidR="003134FD" w:rsidRPr="00A34926" w:rsidRDefault="003134FD" w:rsidP="00921179">
      <w:pPr>
        <w:pStyle w:val="paragraph"/>
        <w:spacing w:before="0" w:beforeAutospacing="0" w:after="0" w:afterAutospacing="0" w:line="360" w:lineRule="auto"/>
        <w:ind w:firstLine="851"/>
        <w:jc w:val="both"/>
        <w:textAlignment w:val="baseline"/>
        <w:rPr>
          <w:rFonts w:ascii="Segoe UI" w:hAnsi="Segoe UI" w:cs="Segoe UI"/>
        </w:rPr>
      </w:pPr>
      <w:r w:rsidRPr="00A34926">
        <w:rPr>
          <w:rStyle w:val="normaltextrun"/>
          <w:rFonts w:ascii="Calibri" w:eastAsiaTheme="majorEastAsia" w:hAnsi="Calibri" w:cs="Calibri"/>
          <w:lang w:val="lt-LT"/>
        </w:rPr>
        <w:t>2025 m. prevencine tvarka iš viso peržiūrėti 537 pirkimų dokumentai, o bendra planuota pirkimų vertė sudarė 4 322 362 216,96 Eur be PVM</w:t>
      </w:r>
      <w:r w:rsidR="004C1480">
        <w:rPr>
          <w:rStyle w:val="FootnoteReference"/>
          <w:rFonts w:ascii="Calibri" w:eastAsiaTheme="majorEastAsia" w:hAnsi="Calibri" w:cs="Calibri"/>
          <w:lang w:val="lt-LT"/>
        </w:rPr>
        <w:footnoteReference w:id="2"/>
      </w:r>
      <w:r w:rsidRPr="00A34926">
        <w:rPr>
          <w:rStyle w:val="normaltextrun"/>
          <w:rFonts w:ascii="Calibri" w:eastAsiaTheme="majorEastAsia" w:hAnsi="Calibri" w:cs="Calibri"/>
          <w:lang w:val="lt-LT"/>
        </w:rPr>
        <w:t> . Prevencinės peržiūros pasiskirstymas pagal sektorius:</w:t>
      </w:r>
      <w:r w:rsidRPr="00A34926">
        <w:rPr>
          <w:rStyle w:val="eop"/>
          <w:rFonts w:ascii="Calibri" w:eastAsiaTheme="majorEastAsia" w:hAnsi="Calibri" w:cs="Calibri"/>
        </w:rPr>
        <w:t> </w:t>
      </w:r>
    </w:p>
    <w:p w14:paraId="34A1BC50" w14:textId="2476F531" w:rsidR="003134FD" w:rsidRPr="00A34926" w:rsidRDefault="003134FD" w:rsidP="00921179">
      <w:pPr>
        <w:pStyle w:val="paragraph"/>
        <w:numPr>
          <w:ilvl w:val="0"/>
          <w:numId w:val="8"/>
        </w:numPr>
        <w:tabs>
          <w:tab w:val="left" w:pos="993"/>
        </w:tabs>
        <w:spacing w:before="0" w:beforeAutospacing="0" w:after="0" w:afterAutospacing="0" w:line="360" w:lineRule="auto"/>
        <w:ind w:left="0" w:firstLine="851"/>
        <w:jc w:val="both"/>
        <w:textAlignment w:val="baseline"/>
        <w:rPr>
          <w:rFonts w:ascii="Calibri" w:hAnsi="Calibri" w:cs="Calibri"/>
        </w:rPr>
      </w:pPr>
      <w:r w:rsidRPr="00A34926">
        <w:rPr>
          <w:rStyle w:val="normaltextrun"/>
          <w:rFonts w:ascii="Calibri" w:eastAsiaTheme="majorEastAsia" w:hAnsi="Calibri" w:cs="Calibri"/>
          <w:lang w:val="lt-LT"/>
        </w:rPr>
        <w:lastRenderedPageBreak/>
        <w:t>401 pastat</w:t>
      </w:r>
      <w:r w:rsidR="0081676F">
        <w:rPr>
          <w:rStyle w:val="normaltextrun"/>
          <w:rFonts w:ascii="Calibri" w:eastAsiaTheme="majorEastAsia" w:hAnsi="Calibri" w:cs="Calibri"/>
          <w:lang w:val="lt-LT"/>
        </w:rPr>
        <w:t>o</w:t>
      </w:r>
      <w:r w:rsidRPr="00A34926">
        <w:rPr>
          <w:rStyle w:val="normaltextrun"/>
          <w:rFonts w:ascii="Calibri" w:eastAsiaTheme="majorEastAsia" w:hAnsi="Calibri" w:cs="Calibri"/>
          <w:lang w:val="lt-LT"/>
        </w:rPr>
        <w:t xml:space="preserve"> statybos darbų pirkima</w:t>
      </w:r>
      <w:r w:rsidR="0081676F">
        <w:rPr>
          <w:rStyle w:val="normaltextrun"/>
          <w:rFonts w:ascii="Calibri" w:eastAsiaTheme="majorEastAsia" w:hAnsi="Calibri" w:cs="Calibri"/>
          <w:lang w:val="lt-LT"/>
        </w:rPr>
        <w:t>i</w:t>
      </w:r>
      <w:r w:rsidRPr="00A34926">
        <w:rPr>
          <w:rStyle w:val="normaltextrun"/>
          <w:rFonts w:ascii="Calibri" w:eastAsiaTheme="majorEastAsia" w:hAnsi="Calibri" w:cs="Calibri"/>
          <w:lang w:val="lt-LT"/>
        </w:rPr>
        <w:t>, kurių planuota vertė – 3 180 946 779,48 Eur be PVM</w:t>
      </w:r>
      <w:r w:rsidR="004C1480">
        <w:rPr>
          <w:rStyle w:val="FootnoteReference"/>
          <w:rFonts w:ascii="Calibri" w:eastAsiaTheme="majorEastAsia" w:hAnsi="Calibri" w:cs="Calibri"/>
          <w:lang w:val="lt-LT"/>
        </w:rPr>
        <w:footnoteReference w:id="3"/>
      </w:r>
      <w:r w:rsidRPr="00A34926">
        <w:rPr>
          <w:rStyle w:val="normaltextrun"/>
          <w:rFonts w:ascii="Calibri" w:eastAsiaTheme="majorEastAsia" w:hAnsi="Calibri" w:cs="Calibri"/>
          <w:lang w:val="lt-LT"/>
        </w:rPr>
        <w:t>. Šie pirkimai sudarė 75,09 proc. visų prevencine tvarka peržiūrėtų pirkimų; </w:t>
      </w:r>
      <w:r w:rsidRPr="00A34926">
        <w:rPr>
          <w:rStyle w:val="eop"/>
          <w:rFonts w:ascii="Calibri" w:eastAsiaTheme="majorEastAsia" w:hAnsi="Calibri" w:cs="Calibri"/>
        </w:rPr>
        <w:t> </w:t>
      </w:r>
    </w:p>
    <w:p w14:paraId="3BC227FF" w14:textId="7D529B61" w:rsidR="003134FD" w:rsidRPr="00A34926" w:rsidRDefault="003134FD" w:rsidP="00921179">
      <w:pPr>
        <w:pStyle w:val="paragraph"/>
        <w:numPr>
          <w:ilvl w:val="0"/>
          <w:numId w:val="8"/>
        </w:numPr>
        <w:tabs>
          <w:tab w:val="left" w:pos="993"/>
        </w:tabs>
        <w:spacing w:before="0" w:beforeAutospacing="0" w:after="0" w:afterAutospacing="0" w:line="360" w:lineRule="auto"/>
        <w:ind w:left="0" w:firstLine="851"/>
        <w:jc w:val="both"/>
        <w:textAlignment w:val="baseline"/>
        <w:rPr>
          <w:rFonts w:ascii="Calibri" w:hAnsi="Calibri" w:cs="Calibri"/>
        </w:rPr>
      </w:pPr>
      <w:r w:rsidRPr="00A34926">
        <w:rPr>
          <w:rStyle w:val="normaltextrun"/>
          <w:rFonts w:ascii="Calibri" w:eastAsiaTheme="majorEastAsia" w:hAnsi="Calibri" w:cs="Calibri"/>
          <w:lang w:val="lt-LT"/>
        </w:rPr>
        <w:t>16 konkrečių DPS pirkimų, kurių planuota vertė – 4 119 864,2 Eur be PVM. Pirkimai sudarė 2,98 proc. visų prevencine tvarka peržiūrėtų pirkimų; </w:t>
      </w:r>
      <w:r w:rsidRPr="00A34926">
        <w:rPr>
          <w:rStyle w:val="eop"/>
          <w:rFonts w:ascii="Calibri" w:eastAsiaTheme="majorEastAsia" w:hAnsi="Calibri" w:cs="Calibri"/>
        </w:rPr>
        <w:t> </w:t>
      </w:r>
    </w:p>
    <w:p w14:paraId="228540CC" w14:textId="1691BEE0" w:rsidR="003134FD" w:rsidRPr="00A34926" w:rsidRDefault="003134FD" w:rsidP="00921179">
      <w:pPr>
        <w:pStyle w:val="paragraph"/>
        <w:numPr>
          <w:ilvl w:val="0"/>
          <w:numId w:val="8"/>
        </w:numPr>
        <w:tabs>
          <w:tab w:val="left" w:pos="993"/>
        </w:tabs>
        <w:spacing w:before="0" w:beforeAutospacing="0" w:after="0" w:afterAutospacing="0" w:line="360" w:lineRule="auto"/>
        <w:ind w:left="0" w:firstLine="851"/>
        <w:jc w:val="both"/>
        <w:textAlignment w:val="baseline"/>
        <w:rPr>
          <w:rFonts w:ascii="Calibri" w:hAnsi="Calibri" w:cs="Calibri"/>
        </w:rPr>
      </w:pPr>
      <w:r w:rsidRPr="00A34926">
        <w:rPr>
          <w:rStyle w:val="normaltextrun"/>
          <w:rFonts w:ascii="Calibri" w:eastAsiaTheme="majorEastAsia" w:hAnsi="Calibri" w:cs="Calibri"/>
          <w:lang w:val="lt-LT"/>
        </w:rPr>
        <w:t>100 </w:t>
      </w:r>
      <w:proofErr w:type="spellStart"/>
      <w:r w:rsidRPr="00A34926">
        <w:rPr>
          <w:rStyle w:val="normaltextrun"/>
          <w:rFonts w:ascii="Calibri" w:eastAsiaTheme="majorEastAsia" w:hAnsi="Calibri" w:cs="Calibri"/>
          <w:lang w:val="lt-LT"/>
        </w:rPr>
        <w:t>Ex</w:t>
      </w:r>
      <w:proofErr w:type="spellEnd"/>
      <w:r w:rsidRPr="00A34926">
        <w:rPr>
          <w:rStyle w:val="normaltextrun"/>
          <w:rFonts w:ascii="Calibri" w:eastAsiaTheme="majorEastAsia" w:hAnsi="Calibri" w:cs="Calibri"/>
          <w:lang w:val="lt-LT"/>
        </w:rPr>
        <w:t>-ante pirkimų, kurių planuota vertė – 101 581 579,00 Eur be PVM</w:t>
      </w:r>
      <w:r w:rsidR="002633A4">
        <w:rPr>
          <w:rStyle w:val="FootnoteReference"/>
          <w:rFonts w:ascii="Calibri" w:eastAsiaTheme="majorEastAsia" w:hAnsi="Calibri" w:cs="Calibri"/>
          <w:lang w:val="lt-LT"/>
        </w:rPr>
        <w:footnoteReference w:id="4"/>
      </w:r>
      <w:r w:rsidRPr="00A34926">
        <w:rPr>
          <w:rStyle w:val="normaltextrun"/>
          <w:rFonts w:ascii="Calibri" w:eastAsiaTheme="majorEastAsia" w:hAnsi="Calibri" w:cs="Calibri"/>
          <w:lang w:val="lt-LT"/>
        </w:rPr>
        <w:t>. Pirkimai sudarė 18,62 proc. visų prevencine tvarka peržiūrėtų pirkimų; </w:t>
      </w:r>
      <w:r w:rsidRPr="00A34926">
        <w:rPr>
          <w:rStyle w:val="eop"/>
          <w:rFonts w:ascii="Calibri" w:eastAsiaTheme="majorEastAsia" w:hAnsi="Calibri" w:cs="Calibri"/>
        </w:rPr>
        <w:t> </w:t>
      </w:r>
    </w:p>
    <w:p w14:paraId="6D139FCF" w14:textId="1B322BB7" w:rsidR="003134FD" w:rsidRPr="00A34926" w:rsidRDefault="003134FD" w:rsidP="00921179">
      <w:pPr>
        <w:pStyle w:val="paragraph"/>
        <w:numPr>
          <w:ilvl w:val="0"/>
          <w:numId w:val="8"/>
        </w:numPr>
        <w:tabs>
          <w:tab w:val="left" w:pos="993"/>
        </w:tabs>
        <w:spacing w:before="0" w:beforeAutospacing="0" w:after="0" w:afterAutospacing="0" w:line="360" w:lineRule="auto"/>
        <w:ind w:left="0" w:firstLine="851"/>
        <w:jc w:val="both"/>
        <w:textAlignment w:val="baseline"/>
        <w:rPr>
          <w:rFonts w:ascii="Calibri" w:hAnsi="Calibri" w:cs="Calibri"/>
        </w:rPr>
      </w:pPr>
      <w:r w:rsidRPr="00A34926">
        <w:rPr>
          <w:rStyle w:val="normaltextrun"/>
          <w:rFonts w:ascii="Calibri" w:eastAsiaTheme="majorEastAsia" w:hAnsi="Calibri" w:cs="Calibri"/>
          <w:lang w:val="lt-LT"/>
        </w:rPr>
        <w:t xml:space="preserve">20 </w:t>
      </w:r>
      <w:r w:rsidR="001B15D5">
        <w:rPr>
          <w:rStyle w:val="normaltextrun"/>
          <w:rFonts w:ascii="Calibri" w:eastAsiaTheme="majorEastAsia" w:hAnsi="Calibri" w:cs="Calibri"/>
          <w:lang w:val="lt-LT"/>
        </w:rPr>
        <w:t xml:space="preserve">Pranešimų vertinimo </w:t>
      </w:r>
      <w:r w:rsidRPr="00A34926">
        <w:rPr>
          <w:rStyle w:val="normaltextrun"/>
          <w:rFonts w:ascii="Calibri" w:eastAsiaTheme="majorEastAsia" w:hAnsi="Calibri" w:cs="Calibri"/>
          <w:lang w:val="lt-LT"/>
        </w:rPr>
        <w:t>darbo grupės</w:t>
      </w:r>
      <w:r w:rsidR="0081676F">
        <w:rPr>
          <w:rStyle w:val="normaltextrun"/>
          <w:rFonts w:ascii="Calibri" w:eastAsiaTheme="majorEastAsia" w:hAnsi="Calibri" w:cs="Calibri"/>
          <w:lang w:val="lt-LT"/>
        </w:rPr>
        <w:t xml:space="preserve"> perduotų</w:t>
      </w:r>
      <w:r w:rsidRPr="00A34926">
        <w:rPr>
          <w:rStyle w:val="normaltextrun"/>
          <w:rFonts w:ascii="Calibri" w:eastAsiaTheme="majorEastAsia" w:hAnsi="Calibri" w:cs="Calibri"/>
          <w:lang w:val="lt-LT"/>
        </w:rPr>
        <w:t xml:space="preserve"> pirkim</w:t>
      </w:r>
      <w:r w:rsidR="00C64C2B">
        <w:rPr>
          <w:rStyle w:val="normaltextrun"/>
          <w:rFonts w:ascii="Calibri" w:eastAsiaTheme="majorEastAsia" w:hAnsi="Calibri" w:cs="Calibri"/>
          <w:lang w:val="lt-LT"/>
        </w:rPr>
        <w:t>ų</w:t>
      </w:r>
      <w:r w:rsidRPr="00A34926">
        <w:rPr>
          <w:rStyle w:val="normaltextrun"/>
          <w:rFonts w:ascii="Calibri" w:eastAsiaTheme="majorEastAsia" w:hAnsi="Calibri" w:cs="Calibri"/>
          <w:lang w:val="lt-LT"/>
        </w:rPr>
        <w:t>, kurių planuota vertė – </w:t>
      </w:r>
      <w:r w:rsidR="001C2CF9" w:rsidRPr="00A34926">
        <w:rPr>
          <w:rFonts w:ascii="Calibri" w:hAnsi="Calibri" w:cs="Calibri"/>
        </w:rPr>
        <w:t>1 035 713 994,40</w:t>
      </w:r>
      <w:r w:rsidRPr="00A34926">
        <w:rPr>
          <w:rStyle w:val="normaltextrun"/>
          <w:rFonts w:ascii="Calibri" w:eastAsiaTheme="majorEastAsia" w:hAnsi="Calibri" w:cs="Calibri"/>
          <w:lang w:val="lt-LT"/>
        </w:rPr>
        <w:t> Eur be PVM</w:t>
      </w:r>
      <w:r w:rsidR="0098273C">
        <w:rPr>
          <w:rStyle w:val="FootnoteReference"/>
          <w:rFonts w:ascii="Calibri" w:eastAsiaTheme="majorEastAsia" w:hAnsi="Calibri" w:cs="Calibri"/>
          <w:lang w:val="lt-LT"/>
        </w:rPr>
        <w:footnoteReference w:id="5"/>
      </w:r>
      <w:r w:rsidRPr="00A34926">
        <w:rPr>
          <w:rStyle w:val="normaltextrun"/>
          <w:rFonts w:ascii="Calibri" w:eastAsiaTheme="majorEastAsia" w:hAnsi="Calibri" w:cs="Calibri"/>
          <w:lang w:val="lt-LT"/>
        </w:rPr>
        <w:t> ir jie sudarė 3,72 proc. visų prevencine tvarka peržiūrėtų pirkimų. </w:t>
      </w:r>
      <w:r w:rsidRPr="00A34926">
        <w:rPr>
          <w:rStyle w:val="eop"/>
          <w:rFonts w:ascii="Calibri" w:eastAsiaTheme="majorEastAsia" w:hAnsi="Calibri" w:cs="Calibri"/>
        </w:rPr>
        <w:t> </w:t>
      </w:r>
    </w:p>
    <w:p w14:paraId="5A4049C2" w14:textId="5A679846" w:rsidR="00662454" w:rsidRDefault="00BE5232" w:rsidP="00A53E00">
      <w:pPr>
        <w:shd w:val="clear" w:color="auto" w:fill="FFFFFF"/>
        <w:spacing w:after="0" w:line="360" w:lineRule="auto"/>
        <w:jc w:val="both"/>
        <w:rPr>
          <w:rFonts w:ascii="Calibri" w:eastAsia="Times New Roman" w:hAnsi="Calibri" w:cs="Calibri"/>
          <w:kern w:val="0"/>
          <w:sz w:val="24"/>
          <w:szCs w:val="24"/>
          <w:bdr w:val="none" w:sz="0" w:space="0" w:color="auto" w:frame="1"/>
          <w:lang w:eastAsia="lt-LT"/>
          <w14:ligatures w14:val="none"/>
        </w:rPr>
      </w:pPr>
      <w:r>
        <w:rPr>
          <w:noProof/>
        </w:rPr>
        <w:drawing>
          <wp:inline distT="0" distB="0" distL="0" distR="0" wp14:anchorId="5349A692" wp14:editId="56C03328">
            <wp:extent cx="6083667" cy="2785745"/>
            <wp:effectExtent l="0" t="0" r="12700" b="14605"/>
            <wp:docPr id="1139105263" name="Chart 1">
              <a:extLst xmlns:a="http://schemas.openxmlformats.org/drawingml/2006/main">
                <a:ext uri="{FF2B5EF4-FFF2-40B4-BE49-F238E27FC236}">
                  <a16:creationId xmlns:a16="http://schemas.microsoft.com/office/drawing/2014/main" id="{6B0F4AAD-B250-F4CA-E1D3-30063CC64F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30E38A" w14:textId="77777777" w:rsidR="0096338A" w:rsidRDefault="0096338A" w:rsidP="00866101">
      <w:pPr>
        <w:shd w:val="clear" w:color="auto" w:fill="FFFFFF"/>
        <w:spacing w:after="0" w:line="360" w:lineRule="auto"/>
        <w:jc w:val="both"/>
        <w:rPr>
          <w:rFonts w:ascii="Calibri" w:hAnsi="Calibri" w:cs="Calibri"/>
          <w:sz w:val="24"/>
          <w:szCs w:val="24"/>
        </w:rPr>
      </w:pPr>
      <w:r w:rsidRPr="00DA1878">
        <w:rPr>
          <w:rFonts w:ascii="Calibri" w:hAnsi="Calibri" w:cs="Calibri"/>
          <w:sz w:val="24"/>
          <w:szCs w:val="24"/>
        </w:rPr>
        <w:t>(Pav. 1)</w:t>
      </w:r>
    </w:p>
    <w:p w14:paraId="2C21BA77" w14:textId="51BD01AA" w:rsidR="006D4D82" w:rsidRPr="0068369D" w:rsidRDefault="00547BF1" w:rsidP="006D4D82">
      <w:pPr>
        <w:shd w:val="clear" w:color="auto" w:fill="FFFFFF"/>
        <w:spacing w:after="0" w:line="360" w:lineRule="auto"/>
        <w:ind w:firstLine="851"/>
        <w:jc w:val="both"/>
        <w:rPr>
          <w:rStyle w:val="normaltextrun"/>
          <w:rFonts w:ascii="Calibri" w:eastAsiaTheme="majorEastAsia" w:hAnsi="Calibri" w:cs="Calibri"/>
          <w:sz w:val="24"/>
          <w:szCs w:val="24"/>
        </w:rPr>
      </w:pPr>
      <w:r w:rsidRPr="0068369D">
        <w:rPr>
          <w:rStyle w:val="normaltextrun"/>
          <w:rFonts w:ascii="Calibri" w:eastAsiaTheme="majorEastAsia" w:hAnsi="Calibri" w:cs="Calibri"/>
          <w:sz w:val="24"/>
          <w:szCs w:val="24"/>
        </w:rPr>
        <w:t>Prevencinės peržiūros</w:t>
      </w:r>
      <w:r w:rsidR="00847379" w:rsidRPr="0068369D">
        <w:rPr>
          <w:rStyle w:val="normaltextrun"/>
          <w:rFonts w:ascii="Calibri" w:eastAsiaTheme="majorEastAsia" w:hAnsi="Calibri" w:cs="Calibri"/>
          <w:sz w:val="24"/>
          <w:szCs w:val="24"/>
        </w:rPr>
        <w:t xml:space="preserve"> apimties</w:t>
      </w:r>
      <w:r w:rsidRPr="0068369D">
        <w:rPr>
          <w:rStyle w:val="normaltextrun"/>
          <w:rFonts w:ascii="Calibri" w:eastAsiaTheme="majorEastAsia" w:hAnsi="Calibri" w:cs="Calibri"/>
          <w:sz w:val="24"/>
          <w:szCs w:val="24"/>
        </w:rPr>
        <w:t xml:space="preserve"> pasiskirstymas</w:t>
      </w:r>
      <w:r w:rsidR="007F0C1D" w:rsidRPr="0068369D">
        <w:rPr>
          <w:rStyle w:val="normaltextrun"/>
          <w:rFonts w:ascii="Calibri" w:eastAsiaTheme="majorEastAsia" w:hAnsi="Calibri" w:cs="Calibri"/>
          <w:sz w:val="24"/>
          <w:szCs w:val="24"/>
        </w:rPr>
        <w:t xml:space="preserve"> pagal </w:t>
      </w:r>
      <w:r w:rsidR="00847379" w:rsidRPr="0068369D">
        <w:rPr>
          <w:rStyle w:val="normaltextrun"/>
          <w:rFonts w:ascii="Calibri" w:eastAsiaTheme="majorEastAsia" w:hAnsi="Calibri" w:cs="Calibri"/>
          <w:sz w:val="24"/>
          <w:szCs w:val="24"/>
        </w:rPr>
        <w:t xml:space="preserve">pirkimo procedūrai </w:t>
      </w:r>
      <w:r w:rsidR="00F52692" w:rsidRPr="0068369D">
        <w:rPr>
          <w:rStyle w:val="normaltextrun"/>
          <w:rFonts w:ascii="Calibri" w:eastAsiaTheme="majorEastAsia" w:hAnsi="Calibri" w:cs="Calibri"/>
          <w:sz w:val="24"/>
          <w:szCs w:val="24"/>
        </w:rPr>
        <w:t xml:space="preserve">taikomą </w:t>
      </w:r>
      <w:r w:rsidR="00824C1A" w:rsidRPr="0068369D">
        <w:rPr>
          <w:rStyle w:val="normaltextrun"/>
          <w:rFonts w:ascii="Calibri" w:eastAsiaTheme="majorEastAsia" w:hAnsi="Calibri" w:cs="Calibri"/>
          <w:sz w:val="24"/>
          <w:szCs w:val="24"/>
        </w:rPr>
        <w:t>į</w:t>
      </w:r>
      <w:r w:rsidR="00F52692" w:rsidRPr="0068369D">
        <w:rPr>
          <w:rStyle w:val="normaltextrun"/>
          <w:rFonts w:ascii="Calibri" w:eastAsiaTheme="majorEastAsia" w:hAnsi="Calibri" w:cs="Calibri"/>
          <w:sz w:val="24"/>
          <w:szCs w:val="24"/>
        </w:rPr>
        <w:t>statymą:</w:t>
      </w:r>
    </w:p>
    <w:p w14:paraId="380AD138" w14:textId="5EB054CD" w:rsidR="00F52692" w:rsidRPr="0068369D" w:rsidRDefault="00F52692" w:rsidP="00BB43FC">
      <w:pPr>
        <w:pStyle w:val="ListParagraph"/>
        <w:numPr>
          <w:ilvl w:val="0"/>
          <w:numId w:val="8"/>
        </w:numPr>
        <w:shd w:val="clear" w:color="auto" w:fill="FFFFFF"/>
        <w:tabs>
          <w:tab w:val="left" w:pos="993"/>
        </w:tabs>
        <w:spacing w:after="0" w:line="360" w:lineRule="auto"/>
        <w:ind w:left="0" w:firstLine="720"/>
        <w:jc w:val="both"/>
        <w:rPr>
          <w:rStyle w:val="eop"/>
          <w:rFonts w:ascii="Calibri" w:hAnsi="Calibri" w:cs="Calibri"/>
          <w:sz w:val="24"/>
          <w:szCs w:val="24"/>
        </w:rPr>
      </w:pPr>
      <w:r w:rsidRPr="0068369D">
        <w:rPr>
          <w:rFonts w:ascii="Calibri" w:hAnsi="Calibri" w:cs="Calibri"/>
          <w:sz w:val="24"/>
          <w:szCs w:val="24"/>
        </w:rPr>
        <w:t>521 pirkima</w:t>
      </w:r>
      <w:r w:rsidR="00847379" w:rsidRPr="0068369D">
        <w:rPr>
          <w:rFonts w:ascii="Calibri" w:hAnsi="Calibri" w:cs="Calibri"/>
          <w:sz w:val="24"/>
          <w:szCs w:val="24"/>
        </w:rPr>
        <w:t>s</w:t>
      </w:r>
      <w:r w:rsidR="00720D3D" w:rsidRPr="0068369D">
        <w:rPr>
          <w:rFonts w:ascii="Calibri" w:hAnsi="Calibri" w:cs="Calibri"/>
          <w:sz w:val="24"/>
          <w:szCs w:val="24"/>
        </w:rPr>
        <w:t xml:space="preserve"> </w:t>
      </w:r>
      <w:r w:rsidRPr="0068369D">
        <w:rPr>
          <w:rFonts w:ascii="Calibri" w:hAnsi="Calibri" w:cs="Calibri"/>
          <w:sz w:val="24"/>
          <w:szCs w:val="24"/>
        </w:rPr>
        <w:t>vykd</w:t>
      </w:r>
      <w:r w:rsidR="00847379" w:rsidRPr="0068369D">
        <w:rPr>
          <w:rFonts w:ascii="Calibri" w:hAnsi="Calibri" w:cs="Calibri"/>
          <w:sz w:val="24"/>
          <w:szCs w:val="24"/>
        </w:rPr>
        <w:t>ytas</w:t>
      </w:r>
      <w:r w:rsidRPr="0068369D">
        <w:rPr>
          <w:rFonts w:ascii="Calibri" w:hAnsi="Calibri" w:cs="Calibri"/>
          <w:sz w:val="24"/>
          <w:szCs w:val="24"/>
        </w:rPr>
        <w:t xml:space="preserve"> pagal </w:t>
      </w:r>
      <w:r w:rsidR="00425078" w:rsidRPr="0068369D">
        <w:rPr>
          <w:rFonts w:ascii="Calibri" w:hAnsi="Calibri" w:cs="Calibri"/>
          <w:sz w:val="24"/>
          <w:szCs w:val="24"/>
        </w:rPr>
        <w:t>Lietuvos Respublikos viešųjų pirkimų įstatymą</w:t>
      </w:r>
      <w:r w:rsidR="00EC714F" w:rsidRPr="0068369D">
        <w:rPr>
          <w:rFonts w:ascii="Calibri" w:hAnsi="Calibri" w:cs="Calibri"/>
          <w:sz w:val="24"/>
          <w:szCs w:val="24"/>
        </w:rPr>
        <w:t xml:space="preserve"> (toliau – VPĮ)</w:t>
      </w:r>
      <w:r w:rsidR="00425078" w:rsidRPr="0068369D">
        <w:rPr>
          <w:rFonts w:ascii="Calibri" w:hAnsi="Calibri" w:cs="Calibri"/>
          <w:sz w:val="24"/>
          <w:szCs w:val="24"/>
        </w:rPr>
        <w:t xml:space="preserve">, </w:t>
      </w:r>
      <w:r w:rsidR="00425078" w:rsidRPr="0068369D">
        <w:rPr>
          <w:rStyle w:val="normaltextrun"/>
          <w:rFonts w:ascii="Calibri" w:eastAsiaTheme="majorEastAsia" w:hAnsi="Calibri" w:cs="Calibri"/>
          <w:sz w:val="24"/>
          <w:szCs w:val="24"/>
        </w:rPr>
        <w:t xml:space="preserve">kurių planuota vertė – </w:t>
      </w:r>
      <w:r w:rsidR="00805FCC" w:rsidRPr="0068369D">
        <w:rPr>
          <w:rStyle w:val="normaltextrun"/>
          <w:rFonts w:ascii="Calibri" w:eastAsiaTheme="majorEastAsia" w:hAnsi="Calibri" w:cs="Calibri"/>
          <w:sz w:val="24"/>
          <w:szCs w:val="24"/>
        </w:rPr>
        <w:t>4 314 212 270,61</w:t>
      </w:r>
      <w:r w:rsidR="00425078" w:rsidRPr="0068369D">
        <w:rPr>
          <w:rStyle w:val="normaltextrun"/>
          <w:rFonts w:ascii="Calibri" w:eastAsiaTheme="majorEastAsia" w:hAnsi="Calibri" w:cs="Calibri"/>
          <w:sz w:val="24"/>
          <w:szCs w:val="24"/>
        </w:rPr>
        <w:t xml:space="preserve"> Eur be PVM</w:t>
      </w:r>
      <w:r w:rsidR="00425078" w:rsidRPr="0068369D">
        <w:rPr>
          <w:rStyle w:val="FootnoteReference"/>
          <w:rFonts w:ascii="Calibri" w:eastAsiaTheme="majorEastAsia" w:hAnsi="Calibri" w:cs="Calibri"/>
          <w:sz w:val="24"/>
          <w:szCs w:val="24"/>
        </w:rPr>
        <w:footnoteReference w:id="6"/>
      </w:r>
      <w:r w:rsidR="00425078" w:rsidRPr="0068369D">
        <w:rPr>
          <w:rStyle w:val="normaltextrun"/>
          <w:rFonts w:ascii="Calibri" w:eastAsiaTheme="majorEastAsia" w:hAnsi="Calibri" w:cs="Calibri"/>
          <w:sz w:val="24"/>
          <w:szCs w:val="24"/>
        </w:rPr>
        <w:t xml:space="preserve"> </w:t>
      </w:r>
      <w:r w:rsidR="00847379" w:rsidRPr="0068369D">
        <w:rPr>
          <w:rStyle w:val="normaltextrun"/>
          <w:rFonts w:ascii="Calibri" w:eastAsiaTheme="majorEastAsia" w:hAnsi="Calibri" w:cs="Calibri"/>
          <w:sz w:val="24"/>
          <w:szCs w:val="24"/>
        </w:rPr>
        <w:t>(</w:t>
      </w:r>
      <w:r w:rsidR="00E156A9" w:rsidRPr="0068369D">
        <w:rPr>
          <w:rStyle w:val="normaltextrun"/>
          <w:rFonts w:ascii="Calibri" w:eastAsiaTheme="majorEastAsia" w:hAnsi="Calibri" w:cs="Calibri"/>
          <w:sz w:val="24"/>
          <w:szCs w:val="24"/>
        </w:rPr>
        <w:t>97</w:t>
      </w:r>
      <w:r w:rsidR="00E026FA" w:rsidRPr="0068369D">
        <w:rPr>
          <w:rStyle w:val="normaltextrun"/>
          <w:rFonts w:ascii="Calibri" w:eastAsiaTheme="majorEastAsia" w:hAnsi="Calibri" w:cs="Calibri"/>
          <w:sz w:val="24"/>
          <w:szCs w:val="24"/>
        </w:rPr>
        <w:t>,02</w:t>
      </w:r>
      <w:r w:rsidR="00425078" w:rsidRPr="0068369D">
        <w:rPr>
          <w:rStyle w:val="normaltextrun"/>
          <w:rFonts w:ascii="Calibri" w:eastAsiaTheme="majorEastAsia" w:hAnsi="Calibri" w:cs="Calibri"/>
          <w:sz w:val="24"/>
          <w:szCs w:val="24"/>
        </w:rPr>
        <w:t> proc. visų prevencine tvarka peržiūrėtų pirkimų</w:t>
      </w:r>
      <w:r w:rsidR="00847379" w:rsidRPr="0068369D">
        <w:rPr>
          <w:rStyle w:val="normaltextrun"/>
          <w:rFonts w:ascii="Calibri" w:eastAsiaTheme="majorEastAsia" w:hAnsi="Calibri" w:cs="Calibri"/>
          <w:sz w:val="24"/>
          <w:szCs w:val="24"/>
        </w:rPr>
        <w:t>)</w:t>
      </w:r>
      <w:r w:rsidR="00425078" w:rsidRPr="0068369D">
        <w:rPr>
          <w:rStyle w:val="normaltextrun"/>
          <w:rFonts w:ascii="Calibri" w:eastAsiaTheme="majorEastAsia" w:hAnsi="Calibri" w:cs="Calibri"/>
          <w:sz w:val="24"/>
          <w:szCs w:val="24"/>
        </w:rPr>
        <w:t>; </w:t>
      </w:r>
      <w:r w:rsidR="00425078" w:rsidRPr="0068369D">
        <w:rPr>
          <w:rStyle w:val="eop"/>
          <w:rFonts w:ascii="Calibri" w:eastAsiaTheme="majorEastAsia" w:hAnsi="Calibri" w:cs="Calibri"/>
          <w:sz w:val="24"/>
          <w:szCs w:val="24"/>
        </w:rPr>
        <w:t> </w:t>
      </w:r>
    </w:p>
    <w:p w14:paraId="1AD14AF7" w14:textId="371AD156" w:rsidR="00EB2660" w:rsidRPr="0068369D" w:rsidRDefault="00720D3D" w:rsidP="00BB43FC">
      <w:pPr>
        <w:pStyle w:val="ListParagraph"/>
        <w:numPr>
          <w:ilvl w:val="0"/>
          <w:numId w:val="8"/>
        </w:numPr>
        <w:shd w:val="clear" w:color="auto" w:fill="FFFFFF"/>
        <w:tabs>
          <w:tab w:val="left" w:pos="993"/>
        </w:tabs>
        <w:spacing w:after="0" w:line="360" w:lineRule="auto"/>
        <w:ind w:left="0" w:firstLine="720"/>
        <w:jc w:val="both"/>
        <w:rPr>
          <w:rStyle w:val="eop"/>
          <w:rFonts w:ascii="Calibri" w:hAnsi="Calibri" w:cs="Calibri"/>
          <w:sz w:val="24"/>
          <w:szCs w:val="24"/>
        </w:rPr>
      </w:pPr>
      <w:r w:rsidRPr="0068369D">
        <w:rPr>
          <w:rFonts w:ascii="Calibri" w:hAnsi="Calibri" w:cs="Calibri"/>
          <w:sz w:val="24"/>
          <w:szCs w:val="24"/>
        </w:rPr>
        <w:t>15 pirkimų, vykd</w:t>
      </w:r>
      <w:r w:rsidR="00847379" w:rsidRPr="0068369D">
        <w:rPr>
          <w:rFonts w:ascii="Calibri" w:hAnsi="Calibri" w:cs="Calibri"/>
          <w:sz w:val="24"/>
          <w:szCs w:val="24"/>
        </w:rPr>
        <w:t>ytų</w:t>
      </w:r>
      <w:r w:rsidRPr="0068369D">
        <w:rPr>
          <w:rFonts w:ascii="Calibri" w:hAnsi="Calibri" w:cs="Calibri"/>
          <w:sz w:val="24"/>
          <w:szCs w:val="24"/>
        </w:rPr>
        <w:t xml:space="preserve"> pagal </w:t>
      </w:r>
      <w:r w:rsidR="005B0AA1" w:rsidRPr="0068369D">
        <w:rPr>
          <w:rFonts w:ascii="Calibri" w:hAnsi="Calibri" w:cs="Calibri"/>
          <w:sz w:val="24"/>
          <w:szCs w:val="24"/>
        </w:rPr>
        <w:t>Lietuvos Respublikos pirkimų, atliekamų vandentvarkos</w:t>
      </w:r>
      <w:r w:rsidR="00852DD3" w:rsidRPr="0068369D">
        <w:rPr>
          <w:rFonts w:ascii="Calibri" w:hAnsi="Calibri" w:cs="Calibri"/>
          <w:sz w:val="24"/>
          <w:szCs w:val="24"/>
        </w:rPr>
        <w:t>, energetikos, transporto ar pašto paslaugų srities perkančiųjų subjektų, įstatymą</w:t>
      </w:r>
      <w:r w:rsidR="00EC714F" w:rsidRPr="0068369D">
        <w:rPr>
          <w:rFonts w:ascii="Calibri" w:hAnsi="Calibri" w:cs="Calibri"/>
          <w:sz w:val="24"/>
          <w:szCs w:val="24"/>
        </w:rPr>
        <w:t xml:space="preserve"> (toliau – PĮ)</w:t>
      </w:r>
      <w:r w:rsidR="00852DD3" w:rsidRPr="0068369D">
        <w:rPr>
          <w:rFonts w:ascii="Calibri" w:hAnsi="Calibri" w:cs="Calibri"/>
          <w:sz w:val="24"/>
          <w:szCs w:val="24"/>
        </w:rPr>
        <w:t xml:space="preserve">, </w:t>
      </w:r>
      <w:r w:rsidR="00852DD3" w:rsidRPr="0068369D">
        <w:rPr>
          <w:rStyle w:val="normaltextrun"/>
          <w:rFonts w:ascii="Calibri" w:eastAsiaTheme="majorEastAsia" w:hAnsi="Calibri" w:cs="Calibri"/>
          <w:sz w:val="24"/>
          <w:szCs w:val="24"/>
        </w:rPr>
        <w:t xml:space="preserve">kurių </w:t>
      </w:r>
      <w:r w:rsidR="00852DD3" w:rsidRPr="0068369D">
        <w:rPr>
          <w:rStyle w:val="normaltextrun"/>
          <w:rFonts w:ascii="Calibri" w:eastAsiaTheme="majorEastAsia" w:hAnsi="Calibri" w:cs="Calibri"/>
          <w:sz w:val="24"/>
          <w:szCs w:val="24"/>
        </w:rPr>
        <w:lastRenderedPageBreak/>
        <w:t>planuota vertė –</w:t>
      </w:r>
      <w:r w:rsidR="00EB2660" w:rsidRPr="0068369D">
        <w:rPr>
          <w:rStyle w:val="normaltextrun"/>
          <w:rFonts w:ascii="Calibri" w:eastAsiaTheme="majorEastAsia" w:hAnsi="Calibri" w:cs="Calibri"/>
          <w:sz w:val="24"/>
          <w:szCs w:val="24"/>
        </w:rPr>
        <w:t xml:space="preserve"> 7 393 748,00 Eur be PVM</w:t>
      </w:r>
      <w:r w:rsidR="00847379" w:rsidRPr="0068369D">
        <w:rPr>
          <w:rStyle w:val="normaltextrun"/>
          <w:rFonts w:ascii="Calibri" w:eastAsiaTheme="majorEastAsia" w:hAnsi="Calibri" w:cs="Calibri"/>
          <w:sz w:val="24"/>
          <w:szCs w:val="24"/>
        </w:rPr>
        <w:t xml:space="preserve"> (</w:t>
      </w:r>
      <w:r w:rsidR="00EC714F" w:rsidRPr="0068369D">
        <w:rPr>
          <w:rStyle w:val="normaltextrun"/>
          <w:rFonts w:ascii="Calibri" w:eastAsiaTheme="majorEastAsia" w:hAnsi="Calibri" w:cs="Calibri"/>
          <w:sz w:val="24"/>
          <w:szCs w:val="24"/>
        </w:rPr>
        <w:t>2,79</w:t>
      </w:r>
      <w:r w:rsidR="00EB2660" w:rsidRPr="0068369D">
        <w:rPr>
          <w:rStyle w:val="normaltextrun"/>
          <w:rFonts w:ascii="Calibri" w:eastAsiaTheme="majorEastAsia" w:hAnsi="Calibri" w:cs="Calibri"/>
          <w:sz w:val="24"/>
          <w:szCs w:val="24"/>
        </w:rPr>
        <w:t> proc. visų prevencine tvarka peržiūrėtų pirkimų</w:t>
      </w:r>
      <w:r w:rsidR="00847379" w:rsidRPr="0068369D">
        <w:rPr>
          <w:rStyle w:val="normaltextrun"/>
          <w:rFonts w:ascii="Calibri" w:eastAsiaTheme="majorEastAsia" w:hAnsi="Calibri" w:cs="Calibri"/>
          <w:sz w:val="24"/>
          <w:szCs w:val="24"/>
        </w:rPr>
        <w:t>)</w:t>
      </w:r>
      <w:r w:rsidR="00EB2660" w:rsidRPr="0068369D">
        <w:rPr>
          <w:rStyle w:val="normaltextrun"/>
          <w:rFonts w:ascii="Calibri" w:eastAsiaTheme="majorEastAsia" w:hAnsi="Calibri" w:cs="Calibri"/>
          <w:sz w:val="24"/>
          <w:szCs w:val="24"/>
        </w:rPr>
        <w:t>; </w:t>
      </w:r>
      <w:r w:rsidR="00EB2660" w:rsidRPr="0068369D">
        <w:rPr>
          <w:rStyle w:val="eop"/>
          <w:rFonts w:ascii="Calibri" w:eastAsiaTheme="majorEastAsia" w:hAnsi="Calibri" w:cs="Calibri"/>
          <w:sz w:val="24"/>
          <w:szCs w:val="24"/>
        </w:rPr>
        <w:t> </w:t>
      </w:r>
    </w:p>
    <w:p w14:paraId="46A760E6" w14:textId="30307C70" w:rsidR="007F30F0" w:rsidRPr="0068369D" w:rsidRDefault="00EB2660" w:rsidP="007F30F0">
      <w:pPr>
        <w:pStyle w:val="ListParagraph"/>
        <w:numPr>
          <w:ilvl w:val="0"/>
          <w:numId w:val="8"/>
        </w:numPr>
        <w:shd w:val="clear" w:color="auto" w:fill="FFFFFF"/>
        <w:tabs>
          <w:tab w:val="left" w:pos="993"/>
        </w:tabs>
        <w:spacing w:after="0" w:line="360" w:lineRule="auto"/>
        <w:ind w:left="0" w:firstLine="720"/>
        <w:jc w:val="both"/>
        <w:rPr>
          <w:rStyle w:val="eop"/>
          <w:rFonts w:ascii="Calibri" w:hAnsi="Calibri" w:cs="Calibri"/>
          <w:sz w:val="24"/>
          <w:szCs w:val="24"/>
        </w:rPr>
      </w:pPr>
      <w:r w:rsidRPr="0068369D">
        <w:rPr>
          <w:rFonts w:ascii="Calibri" w:hAnsi="Calibri" w:cs="Calibri"/>
          <w:sz w:val="24"/>
          <w:szCs w:val="24"/>
        </w:rPr>
        <w:t xml:space="preserve">1 </w:t>
      </w:r>
      <w:r w:rsidR="00C93FF4" w:rsidRPr="0068369D">
        <w:rPr>
          <w:rFonts w:ascii="Calibri" w:hAnsi="Calibri" w:cs="Calibri"/>
          <w:sz w:val="24"/>
          <w:szCs w:val="24"/>
        </w:rPr>
        <w:t>pirkimas, vykd</w:t>
      </w:r>
      <w:r w:rsidR="00847379" w:rsidRPr="0068369D">
        <w:rPr>
          <w:rFonts w:ascii="Calibri" w:hAnsi="Calibri" w:cs="Calibri"/>
          <w:sz w:val="24"/>
          <w:szCs w:val="24"/>
        </w:rPr>
        <w:t>yt</w:t>
      </w:r>
      <w:r w:rsidR="00C93FF4" w:rsidRPr="0068369D">
        <w:rPr>
          <w:rFonts w:ascii="Calibri" w:hAnsi="Calibri" w:cs="Calibri"/>
          <w:sz w:val="24"/>
          <w:szCs w:val="24"/>
        </w:rPr>
        <w:t>as pagal Lietuvos Respublikos viešųjų pirkimų</w:t>
      </w:r>
      <w:r w:rsidR="008332C4" w:rsidRPr="0068369D">
        <w:rPr>
          <w:rFonts w:ascii="Calibri" w:hAnsi="Calibri" w:cs="Calibri"/>
          <w:sz w:val="24"/>
          <w:szCs w:val="24"/>
        </w:rPr>
        <w:t>, atliekamų gynybos ir saugumo srityje įstatymą</w:t>
      </w:r>
      <w:r w:rsidR="00EC714F" w:rsidRPr="0068369D">
        <w:rPr>
          <w:rFonts w:ascii="Calibri" w:hAnsi="Calibri" w:cs="Calibri"/>
          <w:sz w:val="24"/>
          <w:szCs w:val="24"/>
        </w:rPr>
        <w:t xml:space="preserve"> (</w:t>
      </w:r>
      <w:r w:rsidR="0032414E" w:rsidRPr="0068369D">
        <w:rPr>
          <w:rFonts w:ascii="Calibri" w:hAnsi="Calibri" w:cs="Calibri"/>
          <w:sz w:val="24"/>
          <w:szCs w:val="24"/>
        </w:rPr>
        <w:t>toliau – GĮ)</w:t>
      </w:r>
      <w:r w:rsidR="008332C4" w:rsidRPr="0068369D">
        <w:rPr>
          <w:rFonts w:ascii="Calibri" w:hAnsi="Calibri" w:cs="Calibri"/>
          <w:sz w:val="24"/>
          <w:szCs w:val="24"/>
        </w:rPr>
        <w:t xml:space="preserve">, kurio planuota vertė – </w:t>
      </w:r>
      <w:r w:rsidR="002573BF" w:rsidRPr="0068369D">
        <w:rPr>
          <w:rFonts w:ascii="Calibri" w:hAnsi="Calibri" w:cs="Calibri"/>
          <w:sz w:val="24"/>
          <w:szCs w:val="24"/>
        </w:rPr>
        <w:t>756 198,35 Eur be PVM</w:t>
      </w:r>
      <w:r w:rsidR="002573BF" w:rsidRPr="0068369D">
        <w:rPr>
          <w:rStyle w:val="normaltextrun"/>
          <w:rFonts w:ascii="Calibri" w:eastAsiaTheme="majorEastAsia" w:hAnsi="Calibri" w:cs="Calibri"/>
          <w:sz w:val="24"/>
          <w:szCs w:val="24"/>
        </w:rPr>
        <w:t> </w:t>
      </w:r>
      <w:r w:rsidR="00847379" w:rsidRPr="0068369D">
        <w:rPr>
          <w:rStyle w:val="normaltextrun"/>
          <w:rFonts w:ascii="Calibri" w:eastAsiaTheme="majorEastAsia" w:hAnsi="Calibri" w:cs="Calibri"/>
          <w:sz w:val="24"/>
          <w:szCs w:val="24"/>
        </w:rPr>
        <w:t>(</w:t>
      </w:r>
      <w:r w:rsidR="00EC714F" w:rsidRPr="0068369D">
        <w:rPr>
          <w:rStyle w:val="normaltextrun"/>
          <w:rFonts w:ascii="Calibri" w:eastAsiaTheme="majorEastAsia" w:hAnsi="Calibri" w:cs="Calibri"/>
          <w:sz w:val="24"/>
          <w:szCs w:val="24"/>
        </w:rPr>
        <w:t>0,19</w:t>
      </w:r>
      <w:r w:rsidR="002573BF" w:rsidRPr="0068369D">
        <w:rPr>
          <w:rStyle w:val="normaltextrun"/>
          <w:rFonts w:ascii="Calibri" w:eastAsiaTheme="majorEastAsia" w:hAnsi="Calibri" w:cs="Calibri"/>
          <w:sz w:val="24"/>
          <w:szCs w:val="24"/>
        </w:rPr>
        <w:t> proc. visų prevencine tvarka peržiūrėtų pirkimų</w:t>
      </w:r>
      <w:r w:rsidR="00847379" w:rsidRPr="0068369D">
        <w:rPr>
          <w:rStyle w:val="normaltextrun"/>
          <w:rFonts w:ascii="Calibri" w:eastAsiaTheme="majorEastAsia" w:hAnsi="Calibri" w:cs="Calibri"/>
          <w:sz w:val="24"/>
          <w:szCs w:val="24"/>
        </w:rPr>
        <w:t>)</w:t>
      </w:r>
      <w:r w:rsidR="00314734" w:rsidRPr="0068369D">
        <w:rPr>
          <w:rStyle w:val="normaltextrun"/>
          <w:rFonts w:ascii="Calibri" w:eastAsiaTheme="majorEastAsia" w:hAnsi="Calibri" w:cs="Calibri"/>
          <w:sz w:val="24"/>
          <w:szCs w:val="24"/>
        </w:rPr>
        <w:t>.</w:t>
      </w:r>
      <w:r w:rsidR="00314734" w:rsidRPr="0068369D">
        <w:rPr>
          <w:rStyle w:val="eop"/>
          <w:rFonts w:ascii="Calibri" w:eastAsiaTheme="majorEastAsia" w:hAnsi="Calibri" w:cs="Calibri"/>
          <w:sz w:val="24"/>
          <w:szCs w:val="24"/>
        </w:rPr>
        <w:t> </w:t>
      </w:r>
    </w:p>
    <w:p w14:paraId="198F2377" w14:textId="37614E89" w:rsidR="007F30F0" w:rsidRPr="007F30F0" w:rsidRDefault="007F30F0" w:rsidP="007F30F0">
      <w:pPr>
        <w:shd w:val="clear" w:color="auto" w:fill="FFFFFF"/>
        <w:tabs>
          <w:tab w:val="left" w:pos="993"/>
        </w:tabs>
        <w:spacing w:after="0" w:line="360" w:lineRule="auto"/>
        <w:jc w:val="both"/>
        <w:rPr>
          <w:rStyle w:val="eop"/>
          <w:rFonts w:ascii="Calibri" w:hAnsi="Calibri" w:cs="Calibri"/>
          <w:sz w:val="24"/>
          <w:szCs w:val="24"/>
        </w:rPr>
      </w:pPr>
      <w:r>
        <w:rPr>
          <w:noProof/>
        </w:rPr>
        <w:drawing>
          <wp:inline distT="0" distB="0" distL="0" distR="0" wp14:anchorId="2B0EC10D" wp14:editId="59A98929">
            <wp:extent cx="6178807" cy="3119120"/>
            <wp:effectExtent l="0" t="0" r="12700" b="5080"/>
            <wp:docPr id="741620086" name="Chart 1">
              <a:extLst xmlns:a="http://schemas.openxmlformats.org/drawingml/2006/main">
                <a:ext uri="{FF2B5EF4-FFF2-40B4-BE49-F238E27FC236}">
                  <a16:creationId xmlns:a16="http://schemas.microsoft.com/office/drawing/2014/main" id="{7197B999-8ED1-2DAD-0518-2517D920C4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8EBF6E" w14:textId="57E0E215" w:rsidR="00BB43FC" w:rsidRDefault="00BB43FC" w:rsidP="00BB43FC">
      <w:pPr>
        <w:shd w:val="clear" w:color="auto" w:fill="FFFFFF"/>
        <w:spacing w:after="0" w:line="360" w:lineRule="auto"/>
        <w:jc w:val="both"/>
        <w:rPr>
          <w:rFonts w:ascii="Calibri" w:hAnsi="Calibri" w:cs="Calibri"/>
          <w:sz w:val="24"/>
          <w:szCs w:val="24"/>
        </w:rPr>
      </w:pPr>
      <w:r w:rsidRPr="00DA1878">
        <w:rPr>
          <w:rFonts w:ascii="Calibri" w:hAnsi="Calibri" w:cs="Calibri"/>
          <w:sz w:val="24"/>
          <w:szCs w:val="24"/>
        </w:rPr>
        <w:t xml:space="preserve">(Pav. </w:t>
      </w:r>
      <w:r>
        <w:rPr>
          <w:rFonts w:ascii="Calibri" w:hAnsi="Calibri" w:cs="Calibri"/>
          <w:sz w:val="24"/>
          <w:szCs w:val="24"/>
        </w:rPr>
        <w:t>2</w:t>
      </w:r>
      <w:r w:rsidRPr="00DA1878">
        <w:rPr>
          <w:rFonts w:ascii="Calibri" w:hAnsi="Calibri" w:cs="Calibri"/>
          <w:sz w:val="24"/>
          <w:szCs w:val="24"/>
        </w:rPr>
        <w:t>)</w:t>
      </w:r>
    </w:p>
    <w:p w14:paraId="62727586" w14:textId="629A1806" w:rsidR="0096338A" w:rsidRPr="00DA1878" w:rsidRDefault="0096338A" w:rsidP="00921179">
      <w:pPr>
        <w:tabs>
          <w:tab w:val="left" w:pos="851"/>
        </w:tabs>
        <w:spacing w:after="0" w:line="360" w:lineRule="auto"/>
        <w:ind w:firstLine="851"/>
        <w:contextualSpacing/>
        <w:jc w:val="both"/>
        <w:rPr>
          <w:rFonts w:ascii="Calibri" w:hAnsi="Calibri" w:cs="Calibri"/>
          <w:kern w:val="0"/>
          <w:sz w:val="24"/>
          <w:szCs w:val="24"/>
          <w14:ligatures w14:val="none"/>
        </w:rPr>
      </w:pPr>
      <w:r w:rsidRPr="00DA1878">
        <w:rPr>
          <w:rFonts w:ascii="Calibri" w:hAnsi="Calibri" w:cs="Calibri"/>
          <w:kern w:val="0"/>
          <w:sz w:val="24"/>
          <w:szCs w:val="24"/>
          <w14:ligatures w14:val="none"/>
        </w:rPr>
        <w:t xml:space="preserve">Tarnyba pažymi, kad savo </w:t>
      </w:r>
      <w:r w:rsidR="0081676F">
        <w:rPr>
          <w:rFonts w:ascii="Calibri" w:hAnsi="Calibri" w:cs="Calibri"/>
          <w:kern w:val="0"/>
          <w:sz w:val="24"/>
          <w:szCs w:val="24"/>
          <w14:ligatures w14:val="none"/>
        </w:rPr>
        <w:t>interneto svetainėje</w:t>
      </w:r>
      <w:r w:rsidRPr="00DA1878">
        <w:rPr>
          <w:rFonts w:ascii="Calibri" w:hAnsi="Calibri" w:cs="Calibri"/>
          <w:kern w:val="0"/>
          <w:sz w:val="24"/>
          <w:szCs w:val="24"/>
          <w14:ligatures w14:val="none"/>
        </w:rPr>
        <w:t xml:space="preserve"> viešai skelbia prevencine tvarka peržiūrėtiems pirkimams teiktas rekomendacijas. Susipažinti su pirkim</w:t>
      </w:r>
      <w:r w:rsidR="001B15D5">
        <w:rPr>
          <w:rFonts w:ascii="Calibri" w:hAnsi="Calibri" w:cs="Calibri"/>
          <w:kern w:val="0"/>
          <w:sz w:val="24"/>
          <w:szCs w:val="24"/>
          <w14:ligatures w14:val="none"/>
        </w:rPr>
        <w:t>ų</w:t>
      </w:r>
      <w:r w:rsidRPr="00DA1878">
        <w:rPr>
          <w:rFonts w:ascii="Calibri" w:hAnsi="Calibri" w:cs="Calibri"/>
          <w:kern w:val="0"/>
          <w:sz w:val="24"/>
          <w:szCs w:val="24"/>
          <w14:ligatures w14:val="none"/>
        </w:rPr>
        <w:t xml:space="preserve"> vykdytojams pateiktomis rekomendacijomis galima </w:t>
      </w:r>
      <w:hyperlink r:id="rId10" w:history="1">
        <w:r w:rsidRPr="00DA1878">
          <w:rPr>
            <w:rStyle w:val="Hyperlink"/>
            <w:rFonts w:ascii="Calibri" w:hAnsi="Calibri" w:cs="Calibri"/>
            <w:kern w:val="0"/>
            <w:sz w:val="24"/>
            <w:szCs w:val="24"/>
            <w14:ligatures w14:val="none"/>
          </w:rPr>
          <w:t>čia</w:t>
        </w:r>
      </w:hyperlink>
      <w:r w:rsidRPr="00DA1878">
        <w:rPr>
          <w:rFonts w:ascii="Calibri" w:hAnsi="Calibri" w:cs="Calibri"/>
          <w:kern w:val="0"/>
          <w:sz w:val="24"/>
          <w:szCs w:val="24"/>
          <w14:ligatures w14:val="none"/>
        </w:rPr>
        <w:t>. Atkreiptinas dėmesys, jog informacija nuolat pildoma</w:t>
      </w:r>
      <w:r w:rsidR="0081676F">
        <w:rPr>
          <w:rFonts w:ascii="Calibri" w:hAnsi="Calibri" w:cs="Calibri"/>
          <w:kern w:val="0"/>
          <w:sz w:val="24"/>
          <w:szCs w:val="24"/>
          <w14:ligatures w14:val="none"/>
        </w:rPr>
        <w:t>,</w:t>
      </w:r>
      <w:r w:rsidRPr="00DA1878">
        <w:rPr>
          <w:rFonts w:ascii="Calibri" w:hAnsi="Calibri" w:cs="Calibri"/>
          <w:kern w:val="0"/>
          <w:sz w:val="24"/>
          <w:szCs w:val="24"/>
          <w14:ligatures w14:val="none"/>
        </w:rPr>
        <w:t xml:space="preserve"> paskelbiant naujas rekomendacijas.</w:t>
      </w:r>
    </w:p>
    <w:p w14:paraId="6E2397FA" w14:textId="3F05F3A1" w:rsidR="00A13E6E" w:rsidRPr="00A13E6E" w:rsidRDefault="0096338A" w:rsidP="00E92A8C">
      <w:pPr>
        <w:spacing w:after="0" w:line="360" w:lineRule="auto"/>
        <w:ind w:firstLine="851"/>
        <w:jc w:val="both"/>
        <w:rPr>
          <w:rFonts w:ascii="Calibri" w:hAnsi="Calibri" w:cs="Calibri"/>
          <w:sz w:val="24"/>
          <w:szCs w:val="24"/>
        </w:rPr>
      </w:pPr>
      <w:r w:rsidRPr="00DA1878">
        <w:rPr>
          <w:rFonts w:ascii="Calibri" w:hAnsi="Calibri" w:cs="Calibri"/>
          <w:b/>
          <w:bCs/>
          <w:sz w:val="24"/>
          <w:szCs w:val="24"/>
        </w:rPr>
        <w:t>Prevencinio darbo tikslas</w:t>
      </w:r>
      <w:r w:rsidRPr="00DA1878">
        <w:rPr>
          <w:rFonts w:ascii="Calibri" w:hAnsi="Calibri" w:cs="Calibri"/>
          <w:sz w:val="24"/>
          <w:szCs w:val="24"/>
        </w:rPr>
        <w:t xml:space="preserve"> – prevencine tvarka iki pasiūlymų pateikimo termino įvertinti pirkimo dokumentus, o nustačius neatitikimus ir (arba) galimus Lietuvos Respublikos viešųjų pirkimų įstatymo, Pirkimų, atliekamų vandentvarkos, energetikos, transporto ir pašto paslaugų srities perkančiųjų subjektų, įstatymo ir Pirkimų, atliekamų gynybos ir saugumo srityje, įstatymo</w:t>
      </w:r>
      <w:r w:rsidR="005A64D7">
        <w:rPr>
          <w:rFonts w:ascii="Calibri" w:hAnsi="Calibri" w:cs="Calibri"/>
          <w:sz w:val="24"/>
          <w:szCs w:val="24"/>
        </w:rPr>
        <w:t xml:space="preserve"> </w:t>
      </w:r>
      <w:r w:rsidRPr="00DA1878">
        <w:rPr>
          <w:rFonts w:ascii="Calibri" w:hAnsi="Calibri" w:cs="Calibri"/>
          <w:sz w:val="24"/>
          <w:szCs w:val="24"/>
        </w:rPr>
        <w:t>(toliau kartu – Įstatymai) ar su jų įgyvendinimu susijusių teisės aktų pažeidimus dar pačioje pirkimo procedūrų vykdymo pradžioje pateikti rekomendacijas pirkimo vykdytojui, kad pirkimo dokumentai, kuriuose yra neaiškių ir dviprasmiškų sąlygų, būtų tikslinami, o dokumentai, kuriuose nustatytos diskriminacinės, dirbtinai konkurenciją ribojančios sąlygos, būtų keičiami ir pirkimai būtų nutraukti dar iki vokų su pasiūlymais pateikimo termino.</w:t>
      </w:r>
    </w:p>
    <w:p w14:paraId="571F77B6" w14:textId="47268AC0" w:rsidR="0096338A" w:rsidRPr="00DA1878" w:rsidRDefault="0096338A" w:rsidP="00921179">
      <w:pPr>
        <w:spacing w:after="0" w:line="360" w:lineRule="auto"/>
        <w:ind w:firstLine="851"/>
        <w:jc w:val="both"/>
        <w:rPr>
          <w:rFonts w:ascii="Calibri" w:hAnsi="Calibri" w:cs="Calibri"/>
          <w:sz w:val="24"/>
          <w:szCs w:val="24"/>
        </w:rPr>
      </w:pPr>
      <w:r w:rsidRPr="00DA1878">
        <w:rPr>
          <w:rFonts w:ascii="Calibri" w:hAnsi="Calibri" w:cs="Calibri"/>
          <w:sz w:val="24"/>
          <w:szCs w:val="24"/>
        </w:rPr>
        <w:lastRenderedPageBreak/>
        <w:t>Ataskaitoje pateikiama statistinė informacija apie prevenciškai peržiūrėtus pirkimus, nurodoma informacija apie dažniausiai pirkimų vykdytojų daromas klaidas rengiant pirkimų dokumentus.</w:t>
      </w:r>
    </w:p>
    <w:p w14:paraId="5427AEF2" w14:textId="77777777" w:rsidR="003B59A5" w:rsidRDefault="00B3118A">
      <w:pPr>
        <w:spacing w:line="278" w:lineRule="auto"/>
        <w:rPr>
          <w:rFonts w:ascii="Calibri" w:hAnsi="Calibri" w:cs="Calibri"/>
          <w:sz w:val="24"/>
          <w:szCs w:val="24"/>
        </w:rPr>
      </w:pPr>
      <w:r>
        <w:rPr>
          <w:rFonts w:ascii="Calibri" w:hAnsi="Calibri" w:cs="Calibri"/>
          <w:sz w:val="24"/>
          <w:szCs w:val="24"/>
        </w:rPr>
        <w:br w:type="page"/>
      </w:r>
    </w:p>
    <w:p w14:paraId="52286DEE" w14:textId="0E0EE17F" w:rsidR="0096338A" w:rsidRPr="00DA1878" w:rsidRDefault="00CE4ABA" w:rsidP="0096338A">
      <w:pPr>
        <w:pStyle w:val="Heading1"/>
        <w:numPr>
          <w:ilvl w:val="0"/>
          <w:numId w:val="2"/>
        </w:numPr>
        <w:tabs>
          <w:tab w:val="left" w:pos="2552"/>
        </w:tabs>
        <w:spacing w:before="240" w:after="240"/>
        <w:jc w:val="both"/>
        <w:rPr>
          <w:rFonts w:ascii="Calibri" w:hAnsi="Calibri" w:cs="Calibri"/>
          <w:b/>
          <w:bCs/>
          <w:color w:val="auto"/>
          <w:sz w:val="24"/>
          <w:szCs w:val="24"/>
        </w:rPr>
      </w:pPr>
      <w:bookmarkStart w:id="2" w:name="_Toc222901423"/>
      <w:r>
        <w:rPr>
          <w:rFonts w:ascii="Calibri" w:hAnsi="Calibri" w:cs="Calibri"/>
          <w:b/>
          <w:bCs/>
          <w:color w:val="auto"/>
          <w:sz w:val="24"/>
          <w:szCs w:val="24"/>
        </w:rPr>
        <w:lastRenderedPageBreak/>
        <w:t>P</w:t>
      </w:r>
      <w:r w:rsidR="00A243F6" w:rsidRPr="00A243F6">
        <w:rPr>
          <w:rFonts w:ascii="Calibri" w:hAnsi="Calibri" w:cs="Calibri"/>
          <w:b/>
          <w:bCs/>
          <w:color w:val="auto"/>
          <w:sz w:val="24"/>
          <w:szCs w:val="24"/>
        </w:rPr>
        <w:t>astatų statybos darbų</w:t>
      </w:r>
      <w:r w:rsidR="0096338A" w:rsidRPr="00DA1878">
        <w:rPr>
          <w:rFonts w:ascii="Calibri" w:hAnsi="Calibri" w:cs="Calibri"/>
          <w:b/>
          <w:bCs/>
          <w:color w:val="auto"/>
          <w:sz w:val="24"/>
          <w:szCs w:val="24"/>
        </w:rPr>
        <w:t xml:space="preserve"> pirkimų prevencinės peržiūros statistika</w:t>
      </w:r>
      <w:bookmarkEnd w:id="2"/>
    </w:p>
    <w:p w14:paraId="71CBDD44" w14:textId="4D171943" w:rsidR="006943A5" w:rsidRDefault="006943A5" w:rsidP="00866101">
      <w:pPr>
        <w:pStyle w:val="paragraph"/>
        <w:spacing w:before="0" w:beforeAutospacing="0" w:after="0" w:afterAutospacing="0" w:line="360" w:lineRule="auto"/>
        <w:ind w:firstLine="851"/>
        <w:jc w:val="both"/>
        <w:textAlignment w:val="baseline"/>
        <w:rPr>
          <w:rStyle w:val="eop"/>
          <w:rFonts w:ascii="Calibri" w:eastAsiaTheme="majorEastAsia" w:hAnsi="Calibri" w:cs="Calibri"/>
        </w:rPr>
      </w:pPr>
      <w:r>
        <w:rPr>
          <w:rStyle w:val="normaltextrun"/>
          <w:rFonts w:ascii="Calibri" w:eastAsiaTheme="majorEastAsia" w:hAnsi="Calibri" w:cs="Calibri"/>
          <w:lang w:val="lt-LT"/>
        </w:rPr>
        <w:t>Prevencine tvarka peržiūrėtų pastatų statybos darbų pirkimų vertė sudaro 3 180 946 779,48 Eur be PVM. Prevencine tvarka peržiūrėjus 401 pastatų statybos darbų pirkimo dokumentus, pirkimų vykdytojams pateikt</w:t>
      </w:r>
      <w:r w:rsidR="005A64D7">
        <w:rPr>
          <w:rStyle w:val="normaltextrun"/>
          <w:rFonts w:ascii="Calibri" w:eastAsiaTheme="majorEastAsia" w:hAnsi="Calibri" w:cs="Calibri"/>
          <w:lang w:val="lt-LT"/>
        </w:rPr>
        <w:t>a</w:t>
      </w:r>
      <w:r>
        <w:rPr>
          <w:rStyle w:val="normaltextrun"/>
          <w:rFonts w:ascii="Calibri" w:eastAsiaTheme="majorEastAsia" w:hAnsi="Calibri" w:cs="Calibri"/>
          <w:lang w:val="lt-LT"/>
        </w:rPr>
        <w:t xml:space="preserve"> 210 rekomendacij</w:t>
      </w:r>
      <w:r w:rsidR="005A64D7">
        <w:rPr>
          <w:rStyle w:val="normaltextrun"/>
          <w:rFonts w:ascii="Calibri" w:eastAsiaTheme="majorEastAsia" w:hAnsi="Calibri" w:cs="Calibri"/>
          <w:lang w:val="lt-LT"/>
        </w:rPr>
        <w:t>ų</w:t>
      </w:r>
      <w:r>
        <w:rPr>
          <w:rStyle w:val="normaltextrun"/>
          <w:rFonts w:ascii="Calibri" w:eastAsiaTheme="majorEastAsia" w:hAnsi="Calibri" w:cs="Calibri"/>
          <w:lang w:val="lt-LT"/>
        </w:rPr>
        <w:t xml:space="preserve"> dėl pirkimo dokumentų </w:t>
      </w:r>
      <w:r w:rsidR="0081676F">
        <w:rPr>
          <w:rStyle w:val="normaltextrun"/>
          <w:rFonts w:ascii="Calibri" w:eastAsiaTheme="majorEastAsia" w:hAnsi="Calibri" w:cs="Calibri"/>
          <w:lang w:val="lt-LT"/>
        </w:rPr>
        <w:t>sąlyg</w:t>
      </w:r>
      <w:r>
        <w:rPr>
          <w:rStyle w:val="normaltextrun"/>
          <w:rFonts w:ascii="Calibri" w:eastAsiaTheme="majorEastAsia" w:hAnsi="Calibri" w:cs="Calibri"/>
          <w:lang w:val="lt-LT"/>
        </w:rPr>
        <w:t>ų tikslinimo ir (arba) keitimo.</w:t>
      </w:r>
      <w:r>
        <w:rPr>
          <w:rStyle w:val="eop"/>
          <w:rFonts w:ascii="Calibri" w:eastAsiaTheme="majorEastAsia" w:hAnsi="Calibri" w:cs="Calibri"/>
        </w:rPr>
        <w:t> </w:t>
      </w:r>
    </w:p>
    <w:p w14:paraId="572B62F5" w14:textId="733B0697" w:rsidR="009216D3" w:rsidRDefault="008309BE" w:rsidP="00866101">
      <w:pPr>
        <w:pStyle w:val="paragraph"/>
        <w:spacing w:before="0" w:beforeAutospacing="0" w:after="0" w:afterAutospacing="0" w:line="360" w:lineRule="auto"/>
        <w:jc w:val="both"/>
        <w:textAlignment w:val="baseline"/>
        <w:rPr>
          <w:rStyle w:val="eop"/>
          <w:rFonts w:ascii="Calibri" w:eastAsiaTheme="majorEastAsia" w:hAnsi="Calibri" w:cs="Calibri"/>
        </w:rPr>
      </w:pPr>
      <w:r>
        <w:rPr>
          <w:noProof/>
        </w:rPr>
        <w:drawing>
          <wp:inline distT="0" distB="0" distL="0" distR="0" wp14:anchorId="3A78D01C" wp14:editId="428299B8">
            <wp:extent cx="6010275" cy="2743200"/>
            <wp:effectExtent l="0" t="0" r="9525" b="0"/>
            <wp:docPr id="1408838861" name="Chart 1">
              <a:extLst xmlns:a="http://schemas.openxmlformats.org/drawingml/2006/main">
                <a:ext uri="{FF2B5EF4-FFF2-40B4-BE49-F238E27FC236}">
                  <a16:creationId xmlns:a16="http://schemas.microsoft.com/office/drawing/2014/main" id="{F9271832-8B02-0C39-6E9E-F352738E89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C0C1F5" w14:textId="0934A826" w:rsidR="009216D3" w:rsidRPr="00DA1878" w:rsidRDefault="009216D3" w:rsidP="00866101">
      <w:pPr>
        <w:shd w:val="clear" w:color="auto" w:fill="FFFFFF"/>
        <w:spacing w:after="0" w:line="360" w:lineRule="auto"/>
        <w:jc w:val="both"/>
        <w:rPr>
          <w:rFonts w:ascii="Calibri" w:hAnsi="Calibri" w:cs="Calibri"/>
          <w:sz w:val="24"/>
          <w:szCs w:val="24"/>
        </w:rPr>
      </w:pPr>
      <w:r w:rsidRPr="00DA1878">
        <w:rPr>
          <w:rFonts w:ascii="Calibri" w:hAnsi="Calibri" w:cs="Calibri"/>
          <w:sz w:val="24"/>
          <w:szCs w:val="24"/>
        </w:rPr>
        <w:t xml:space="preserve">(Pav. </w:t>
      </w:r>
      <w:r w:rsidR="004E2F46">
        <w:rPr>
          <w:rFonts w:ascii="Calibri" w:hAnsi="Calibri" w:cs="Calibri"/>
          <w:sz w:val="24"/>
          <w:szCs w:val="24"/>
        </w:rPr>
        <w:t>3</w:t>
      </w:r>
      <w:r w:rsidRPr="00DA1878">
        <w:rPr>
          <w:rFonts w:ascii="Calibri" w:hAnsi="Calibri" w:cs="Calibri"/>
          <w:sz w:val="24"/>
          <w:szCs w:val="24"/>
        </w:rPr>
        <w:t>)</w:t>
      </w:r>
    </w:p>
    <w:p w14:paraId="388A50DC" w14:textId="77777777" w:rsidR="00073852" w:rsidRDefault="00073852" w:rsidP="00E2148B">
      <w:pPr>
        <w:spacing w:before="240" w:after="0" w:line="360" w:lineRule="auto"/>
        <w:ind w:firstLine="851"/>
        <w:jc w:val="both"/>
        <w:rPr>
          <w:rFonts w:ascii="Calibri" w:hAnsi="Calibri" w:cs="Calibri"/>
          <w:sz w:val="24"/>
          <w:szCs w:val="24"/>
        </w:rPr>
      </w:pPr>
      <w:r w:rsidRPr="00DA1878">
        <w:rPr>
          <w:rFonts w:ascii="Calibri" w:hAnsi="Calibri" w:cs="Calibri"/>
          <w:sz w:val="24"/>
          <w:szCs w:val="24"/>
        </w:rPr>
        <w:t>Pirkimų prevencinės peržiūros rezultatai atskleidė dažniausiai pasitaikančius Įstatymų ir (arba) su jų įgyvendinimu susijusių teisės aktų reikalavimų pažeidimus bei klaidas:</w:t>
      </w:r>
    </w:p>
    <w:p w14:paraId="45E4AA51" w14:textId="45B4E6E8" w:rsidR="00073852" w:rsidRPr="00DA1878" w:rsidRDefault="004C34E3" w:rsidP="00866101">
      <w:pPr>
        <w:spacing w:before="240" w:after="0" w:line="360" w:lineRule="auto"/>
        <w:jc w:val="both"/>
        <w:rPr>
          <w:rFonts w:ascii="Calibri" w:hAnsi="Calibri" w:cs="Calibri"/>
          <w:sz w:val="24"/>
          <w:szCs w:val="24"/>
        </w:rPr>
      </w:pPr>
      <w:r>
        <w:rPr>
          <w:noProof/>
        </w:rPr>
        <w:drawing>
          <wp:inline distT="0" distB="0" distL="0" distR="0" wp14:anchorId="480B31AA" wp14:editId="056AC340">
            <wp:extent cx="6372225" cy="2747010"/>
            <wp:effectExtent l="0" t="0" r="9525" b="15240"/>
            <wp:docPr id="1489872592" name="Chart 1">
              <a:extLst xmlns:a="http://schemas.openxmlformats.org/drawingml/2006/main">
                <a:ext uri="{FF2B5EF4-FFF2-40B4-BE49-F238E27FC236}">
                  <a16:creationId xmlns:a16="http://schemas.microsoft.com/office/drawing/2014/main" id="{813133F3-5BA7-EEEA-E96C-683B8ACE8D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20472E" w14:textId="6ACCD72F" w:rsidR="00073852" w:rsidRPr="00DA1878" w:rsidRDefault="00073852" w:rsidP="00866101">
      <w:pPr>
        <w:shd w:val="clear" w:color="auto" w:fill="FFFFFF"/>
        <w:spacing w:after="0" w:line="360" w:lineRule="auto"/>
        <w:jc w:val="both"/>
        <w:rPr>
          <w:rFonts w:ascii="Calibri" w:hAnsi="Calibri" w:cs="Calibri"/>
          <w:sz w:val="24"/>
          <w:szCs w:val="24"/>
        </w:rPr>
      </w:pPr>
      <w:r w:rsidRPr="00DA1878">
        <w:rPr>
          <w:rFonts w:ascii="Calibri" w:hAnsi="Calibri" w:cs="Calibri"/>
          <w:sz w:val="24"/>
          <w:szCs w:val="24"/>
        </w:rPr>
        <w:t xml:space="preserve">(Pav. </w:t>
      </w:r>
      <w:r w:rsidR="004E2F46">
        <w:rPr>
          <w:rFonts w:ascii="Calibri" w:hAnsi="Calibri" w:cs="Calibri"/>
          <w:sz w:val="24"/>
          <w:szCs w:val="24"/>
        </w:rPr>
        <w:t>4</w:t>
      </w:r>
      <w:r w:rsidRPr="00DA1878">
        <w:rPr>
          <w:rFonts w:ascii="Calibri" w:hAnsi="Calibri" w:cs="Calibri"/>
          <w:sz w:val="24"/>
          <w:szCs w:val="24"/>
        </w:rPr>
        <w:t>)</w:t>
      </w:r>
    </w:p>
    <w:p w14:paraId="73906D99" w14:textId="44AA3A17" w:rsidR="0096338A" w:rsidRPr="00C91EB6" w:rsidRDefault="006943A5" w:rsidP="00921179">
      <w:pPr>
        <w:pStyle w:val="paragraph"/>
        <w:spacing w:before="0" w:beforeAutospacing="0" w:after="0" w:afterAutospacing="0" w:line="360" w:lineRule="auto"/>
        <w:ind w:firstLine="851"/>
        <w:jc w:val="both"/>
        <w:textAlignment w:val="baseline"/>
        <w:rPr>
          <w:rFonts w:ascii="Segoe UI" w:hAnsi="Segoe UI" w:cs="Segoe UI"/>
          <w:sz w:val="18"/>
          <w:szCs w:val="18"/>
        </w:rPr>
      </w:pPr>
      <w:r>
        <w:rPr>
          <w:rStyle w:val="normaltextrun"/>
          <w:rFonts w:ascii="Calibri" w:eastAsiaTheme="majorEastAsia" w:hAnsi="Calibri" w:cs="Calibri"/>
          <w:lang w:val="lt-LT"/>
        </w:rPr>
        <w:lastRenderedPageBreak/>
        <w:t xml:space="preserve">Atsižvelgdami į Tarnybos teiktas rekomendacijas, pirkimų vykdytojai 209 iš 210 atvejų (99,52 proc.) pirkimo dokumentų </w:t>
      </w:r>
      <w:r w:rsidR="00747BF1">
        <w:rPr>
          <w:rStyle w:val="normaltextrun"/>
          <w:rFonts w:ascii="Calibri" w:eastAsiaTheme="majorEastAsia" w:hAnsi="Calibri" w:cs="Calibri"/>
          <w:lang w:val="lt-LT"/>
        </w:rPr>
        <w:t>sąlygas</w:t>
      </w:r>
      <w:r>
        <w:rPr>
          <w:rStyle w:val="normaltextrun"/>
          <w:rFonts w:ascii="Calibri" w:eastAsiaTheme="majorEastAsia" w:hAnsi="Calibri" w:cs="Calibri"/>
          <w:lang w:val="lt-LT"/>
        </w:rPr>
        <w:t xml:space="preserve"> patikslino ir toliau tęsė pirkimo procedūras arba priėmė sprendimą keisti pirkimo dokumentus ir pirkimą nutraukti bei skelbti iš naujo, t. y. Tarnybos rekomendacijas įvykdė. Į teiktas rekomendacijas patikslinti pirkimo dokumentų </w:t>
      </w:r>
      <w:r w:rsidR="00747BF1">
        <w:rPr>
          <w:rStyle w:val="normaltextrun"/>
          <w:rFonts w:ascii="Calibri" w:eastAsiaTheme="majorEastAsia" w:hAnsi="Calibri" w:cs="Calibri"/>
          <w:lang w:val="lt-LT"/>
        </w:rPr>
        <w:t>sąlyg</w:t>
      </w:r>
      <w:r>
        <w:rPr>
          <w:rStyle w:val="normaltextrun"/>
          <w:rFonts w:ascii="Calibri" w:eastAsiaTheme="majorEastAsia" w:hAnsi="Calibri" w:cs="Calibri"/>
          <w:lang w:val="lt-LT"/>
        </w:rPr>
        <w:t xml:space="preserve">as arba pakeisti pirkimo dokumentuose nustatytus reikalavimus ir nutraukti pirkimą, </w:t>
      </w:r>
      <w:r w:rsidR="00A50CD8">
        <w:rPr>
          <w:rStyle w:val="normaltextrun"/>
          <w:rFonts w:ascii="Calibri" w:eastAsiaTheme="majorEastAsia" w:hAnsi="Calibri" w:cs="Calibri"/>
          <w:lang w:val="lt-LT"/>
        </w:rPr>
        <w:t xml:space="preserve">neatsižvelgė </w:t>
      </w:r>
      <w:r w:rsidR="00E32924">
        <w:rPr>
          <w:rStyle w:val="normaltextrun"/>
          <w:rFonts w:ascii="Calibri" w:eastAsiaTheme="majorEastAsia" w:hAnsi="Calibri" w:cs="Calibri"/>
          <w:lang w:val="lt-LT"/>
        </w:rPr>
        <w:t xml:space="preserve">tik vienas </w:t>
      </w:r>
      <w:r>
        <w:rPr>
          <w:rStyle w:val="normaltextrun"/>
          <w:rFonts w:ascii="Calibri" w:eastAsiaTheme="majorEastAsia" w:hAnsi="Calibri" w:cs="Calibri"/>
          <w:lang w:val="lt-LT"/>
        </w:rPr>
        <w:t>pirkim</w:t>
      </w:r>
      <w:r w:rsidR="002C45F3">
        <w:rPr>
          <w:rStyle w:val="normaltextrun"/>
          <w:rFonts w:ascii="Calibri" w:eastAsiaTheme="majorEastAsia" w:hAnsi="Calibri" w:cs="Calibri"/>
          <w:lang w:val="lt-LT"/>
        </w:rPr>
        <w:t>o</w:t>
      </w:r>
      <w:r>
        <w:rPr>
          <w:rStyle w:val="normaltextrun"/>
          <w:rFonts w:ascii="Calibri" w:eastAsiaTheme="majorEastAsia" w:hAnsi="Calibri" w:cs="Calibri"/>
          <w:lang w:val="lt-LT"/>
        </w:rPr>
        <w:t xml:space="preserve"> vykdytoj</w:t>
      </w:r>
      <w:r w:rsidR="002C45F3">
        <w:rPr>
          <w:rStyle w:val="normaltextrun"/>
          <w:rFonts w:ascii="Calibri" w:eastAsiaTheme="majorEastAsia" w:hAnsi="Calibri" w:cs="Calibri"/>
          <w:lang w:val="lt-LT"/>
        </w:rPr>
        <w:t>as</w:t>
      </w:r>
      <w:r>
        <w:rPr>
          <w:rStyle w:val="normaltextrun"/>
          <w:rFonts w:ascii="Calibri" w:eastAsiaTheme="majorEastAsia" w:hAnsi="Calibri" w:cs="Calibri"/>
          <w:lang w:val="lt-LT"/>
        </w:rPr>
        <w:t xml:space="preserve"> (neatsižvelgta į 1 rekomendaciją</w:t>
      </w:r>
      <w:r w:rsidR="002C45F3">
        <w:rPr>
          <w:rStyle w:val="normaltextrun"/>
          <w:rFonts w:ascii="Calibri" w:eastAsiaTheme="majorEastAsia" w:hAnsi="Calibri" w:cs="Calibri"/>
          <w:lang w:val="lt-LT"/>
        </w:rPr>
        <w:t>,</w:t>
      </w:r>
      <w:r>
        <w:rPr>
          <w:rStyle w:val="normaltextrun"/>
          <w:rFonts w:ascii="Calibri" w:eastAsiaTheme="majorEastAsia" w:hAnsi="Calibri" w:cs="Calibri"/>
          <w:lang w:val="lt-LT"/>
        </w:rPr>
        <w:t xml:space="preserve"> tai sudaro 0,48 proc. nuo visų teiktų rekomendacijų </w:t>
      </w:r>
      <w:r w:rsidR="00640598">
        <w:rPr>
          <w:rStyle w:val="normaltextrun"/>
          <w:rFonts w:ascii="Calibri" w:eastAsiaTheme="majorEastAsia" w:hAnsi="Calibri" w:cs="Calibri"/>
          <w:lang w:val="lt-LT"/>
        </w:rPr>
        <w:t>pastatų statybos</w:t>
      </w:r>
      <w:r>
        <w:rPr>
          <w:rStyle w:val="normaltextrun"/>
          <w:rFonts w:ascii="Calibri" w:eastAsiaTheme="majorEastAsia" w:hAnsi="Calibri" w:cs="Calibri"/>
          <w:lang w:val="lt-LT"/>
        </w:rPr>
        <w:t xml:space="preserve"> darbų pirkimuose). </w:t>
      </w:r>
      <w:r>
        <w:rPr>
          <w:rStyle w:val="eop"/>
          <w:rFonts w:ascii="Calibri" w:eastAsiaTheme="majorEastAsia" w:hAnsi="Calibri" w:cs="Calibri"/>
        </w:rPr>
        <w:t> </w:t>
      </w:r>
    </w:p>
    <w:p w14:paraId="0E0F02B2" w14:textId="004A1BE4" w:rsidR="0096338A" w:rsidRPr="00DA1878" w:rsidRDefault="0096338A" w:rsidP="00E2148B">
      <w:pPr>
        <w:spacing w:after="0" w:line="360" w:lineRule="auto"/>
        <w:ind w:firstLine="851"/>
        <w:jc w:val="both"/>
        <w:rPr>
          <w:rFonts w:ascii="Calibri" w:hAnsi="Calibri" w:cs="Calibri"/>
          <w:sz w:val="24"/>
          <w:szCs w:val="24"/>
        </w:rPr>
      </w:pPr>
      <w:r w:rsidRPr="00DA1878">
        <w:rPr>
          <w:rFonts w:ascii="Calibri" w:hAnsi="Calibri" w:cs="Calibri"/>
          <w:sz w:val="24"/>
          <w:szCs w:val="24"/>
        </w:rPr>
        <w:t xml:space="preserve">Apibendrinant pirkimų vykdytojų veiksmus, matyti, kad į </w:t>
      </w:r>
      <w:r w:rsidR="00501906">
        <w:rPr>
          <w:rFonts w:ascii="Calibri" w:hAnsi="Calibri" w:cs="Calibri"/>
          <w:sz w:val="24"/>
          <w:szCs w:val="24"/>
        </w:rPr>
        <w:t>daugumą</w:t>
      </w:r>
      <w:r w:rsidRPr="00DA1878">
        <w:rPr>
          <w:rFonts w:ascii="Calibri" w:hAnsi="Calibri" w:cs="Calibri"/>
          <w:sz w:val="24"/>
          <w:szCs w:val="24"/>
        </w:rPr>
        <w:t xml:space="preserve"> teikt</w:t>
      </w:r>
      <w:r w:rsidR="00501906">
        <w:rPr>
          <w:rFonts w:ascii="Calibri" w:hAnsi="Calibri" w:cs="Calibri"/>
          <w:sz w:val="24"/>
          <w:szCs w:val="24"/>
        </w:rPr>
        <w:t>ų</w:t>
      </w:r>
      <w:r w:rsidRPr="00DA1878">
        <w:rPr>
          <w:rFonts w:ascii="Calibri" w:hAnsi="Calibri" w:cs="Calibri"/>
          <w:sz w:val="24"/>
          <w:szCs w:val="24"/>
        </w:rPr>
        <w:t xml:space="preserve"> rekomendacij</w:t>
      </w:r>
      <w:r w:rsidR="00501906">
        <w:rPr>
          <w:rFonts w:ascii="Calibri" w:hAnsi="Calibri" w:cs="Calibri"/>
          <w:sz w:val="24"/>
          <w:szCs w:val="24"/>
        </w:rPr>
        <w:t>ų</w:t>
      </w:r>
      <w:r w:rsidRPr="00DA1878">
        <w:rPr>
          <w:rFonts w:ascii="Calibri" w:hAnsi="Calibri" w:cs="Calibri"/>
          <w:sz w:val="24"/>
          <w:szCs w:val="24"/>
        </w:rPr>
        <w:t xml:space="preserve"> pirkimų vykdytojai atsižvelgė, kas patvirtina, kad prevencinės pirkimų dokumentų peržiūros mechanizmas veikia kaip efektyvi priemonė, užtikrinanti pirkimų teisėtumą ir kokybę, didinanti konkurenciją ir leidžianti pasiekti pirkimų tikslus.</w:t>
      </w:r>
    </w:p>
    <w:p w14:paraId="70E71BA3" w14:textId="77777777" w:rsidR="0096338A" w:rsidRPr="00DA1878" w:rsidRDefault="0096338A" w:rsidP="0096338A">
      <w:pPr>
        <w:spacing w:line="276" w:lineRule="auto"/>
        <w:ind w:firstLine="567"/>
        <w:jc w:val="both"/>
        <w:rPr>
          <w:rFonts w:ascii="Calibri" w:hAnsi="Calibri" w:cs="Calibri"/>
          <w:sz w:val="24"/>
          <w:szCs w:val="24"/>
        </w:rPr>
      </w:pPr>
    </w:p>
    <w:p w14:paraId="6633F1F4" w14:textId="77777777" w:rsidR="0096338A" w:rsidRPr="00DA1878" w:rsidRDefault="0096338A" w:rsidP="0096338A">
      <w:pPr>
        <w:spacing w:line="276" w:lineRule="auto"/>
        <w:jc w:val="both"/>
        <w:rPr>
          <w:rFonts w:ascii="Calibri" w:hAnsi="Calibri" w:cs="Calibri"/>
          <w:sz w:val="24"/>
          <w:szCs w:val="24"/>
        </w:rPr>
      </w:pPr>
      <w:r w:rsidRPr="00DA1878">
        <w:rPr>
          <w:rFonts w:ascii="Calibri" w:hAnsi="Calibri" w:cs="Calibri"/>
          <w:sz w:val="24"/>
          <w:szCs w:val="24"/>
        </w:rPr>
        <w:br w:type="page"/>
      </w:r>
    </w:p>
    <w:p w14:paraId="4BBED83A" w14:textId="4CA8ACB1" w:rsidR="00A0102A" w:rsidRPr="0062406C" w:rsidRDefault="001F2B59" w:rsidP="0062406C">
      <w:pPr>
        <w:pStyle w:val="Heading1"/>
        <w:numPr>
          <w:ilvl w:val="0"/>
          <w:numId w:val="2"/>
        </w:numPr>
        <w:rPr>
          <w:color w:val="auto"/>
          <w:sz w:val="24"/>
          <w:szCs w:val="24"/>
        </w:rPr>
      </w:pPr>
      <w:bookmarkStart w:id="3" w:name="_Toc222901424"/>
      <w:r w:rsidRPr="0062406C">
        <w:rPr>
          <w:rStyle w:val="normaltextrun"/>
          <w:rFonts w:ascii="Calibri" w:hAnsi="Calibri" w:cs="Calibri"/>
          <w:b/>
          <w:bCs/>
          <w:color w:val="auto"/>
          <w:sz w:val="24"/>
          <w:szCs w:val="24"/>
        </w:rPr>
        <w:lastRenderedPageBreak/>
        <w:t>K</w:t>
      </w:r>
      <w:r w:rsidR="00866101" w:rsidRPr="0062406C">
        <w:rPr>
          <w:rStyle w:val="normaltextrun"/>
          <w:rFonts w:ascii="Calibri" w:hAnsi="Calibri" w:cs="Calibri"/>
          <w:b/>
          <w:bCs/>
          <w:color w:val="auto"/>
          <w:sz w:val="24"/>
          <w:szCs w:val="24"/>
        </w:rPr>
        <w:t xml:space="preserve">onkrečių pirkimų </w:t>
      </w:r>
      <w:r w:rsidRPr="0062406C">
        <w:rPr>
          <w:rStyle w:val="normaltextrun"/>
          <w:rFonts w:ascii="Calibri" w:hAnsi="Calibri" w:cs="Calibri"/>
          <w:b/>
          <w:bCs/>
          <w:color w:val="auto"/>
          <w:sz w:val="24"/>
          <w:szCs w:val="24"/>
        </w:rPr>
        <w:t>DPS</w:t>
      </w:r>
      <w:r w:rsidR="00866101" w:rsidRPr="0062406C">
        <w:rPr>
          <w:rStyle w:val="normaltextrun"/>
          <w:rFonts w:ascii="Calibri" w:hAnsi="Calibri" w:cs="Calibri"/>
          <w:b/>
          <w:bCs/>
          <w:color w:val="auto"/>
          <w:sz w:val="24"/>
          <w:szCs w:val="24"/>
        </w:rPr>
        <w:t xml:space="preserve"> pagrindu prevencinė</w:t>
      </w:r>
      <w:r w:rsidR="00836E8A">
        <w:rPr>
          <w:rStyle w:val="normaltextrun"/>
          <w:rFonts w:ascii="Calibri" w:hAnsi="Calibri" w:cs="Calibri"/>
          <w:b/>
          <w:bCs/>
          <w:color w:val="auto"/>
          <w:sz w:val="24"/>
          <w:szCs w:val="24"/>
        </w:rPr>
        <w:t>s</w:t>
      </w:r>
      <w:r w:rsidR="00866101" w:rsidRPr="0062406C">
        <w:rPr>
          <w:rStyle w:val="normaltextrun"/>
          <w:rFonts w:ascii="Calibri" w:hAnsi="Calibri" w:cs="Calibri"/>
          <w:b/>
          <w:bCs/>
          <w:color w:val="auto"/>
          <w:sz w:val="24"/>
          <w:szCs w:val="24"/>
        </w:rPr>
        <w:t xml:space="preserve"> peržiūr</w:t>
      </w:r>
      <w:r w:rsidRPr="0062406C">
        <w:rPr>
          <w:rStyle w:val="normaltextrun"/>
          <w:rFonts w:ascii="Calibri" w:hAnsi="Calibri" w:cs="Calibri"/>
          <w:b/>
          <w:bCs/>
          <w:color w:val="auto"/>
          <w:sz w:val="24"/>
          <w:szCs w:val="24"/>
        </w:rPr>
        <w:t>os statistika</w:t>
      </w:r>
      <w:bookmarkEnd w:id="3"/>
    </w:p>
    <w:p w14:paraId="3CD667A7" w14:textId="77777777" w:rsidR="008344FA" w:rsidRDefault="00A0102A" w:rsidP="00E2148B">
      <w:pPr>
        <w:pStyle w:val="paragraph"/>
        <w:spacing w:before="0" w:beforeAutospacing="0" w:after="0" w:afterAutospacing="0" w:line="360" w:lineRule="auto"/>
        <w:ind w:firstLine="851"/>
        <w:jc w:val="both"/>
        <w:textAlignment w:val="baseline"/>
        <w:rPr>
          <w:rStyle w:val="normaltextrun"/>
          <w:rFonts w:ascii="Calibri" w:eastAsiaTheme="majorEastAsia" w:hAnsi="Calibri" w:cs="Calibri"/>
          <w:lang w:val="lt-LT"/>
        </w:rPr>
      </w:pPr>
      <w:r>
        <w:rPr>
          <w:rStyle w:val="normaltextrun"/>
          <w:rFonts w:ascii="Calibri" w:eastAsiaTheme="majorEastAsia" w:hAnsi="Calibri" w:cs="Calibri"/>
          <w:lang w:val="lt-LT"/>
        </w:rPr>
        <w:t>Prevencine tvarka peržiūrėtų konkrečių pirkimų DPS pagrindu vertė sudaro 4 119 864,20 Eur be PVM. Prevencine tvarka peržiūrėjus 16 konkrečių pirkimų DPS pagrindu dokumentus, pirkimų vykdytojams pateikta 13 rekomendacijų</w:t>
      </w:r>
      <w:r w:rsidR="008344FA">
        <w:rPr>
          <w:rStyle w:val="normaltextrun"/>
          <w:rFonts w:ascii="Calibri" w:eastAsiaTheme="majorEastAsia" w:hAnsi="Calibri" w:cs="Calibri"/>
          <w:lang w:val="lt-LT"/>
        </w:rPr>
        <w:t>.</w:t>
      </w:r>
    </w:p>
    <w:p w14:paraId="123B6F4A" w14:textId="689657B7" w:rsidR="00E57997" w:rsidRDefault="00D97C60" w:rsidP="00BE2E56">
      <w:pPr>
        <w:pStyle w:val="paragraph"/>
        <w:spacing w:before="0" w:beforeAutospacing="0" w:after="0" w:afterAutospacing="0" w:line="360" w:lineRule="auto"/>
        <w:jc w:val="both"/>
        <w:textAlignment w:val="baseline"/>
        <w:rPr>
          <w:rStyle w:val="normaltextrun"/>
          <w:rFonts w:ascii="Calibri" w:eastAsiaTheme="majorEastAsia" w:hAnsi="Calibri" w:cs="Calibri"/>
          <w:lang w:val="lt-LT"/>
        </w:rPr>
      </w:pPr>
      <w:r>
        <w:rPr>
          <w:noProof/>
        </w:rPr>
        <w:drawing>
          <wp:inline distT="0" distB="0" distL="0" distR="0" wp14:anchorId="6AAFF420" wp14:editId="7BCB6EE6">
            <wp:extent cx="6238875" cy="2743200"/>
            <wp:effectExtent l="0" t="0" r="9525" b="0"/>
            <wp:docPr id="89503283" name="Chart 1">
              <a:extLst xmlns:a="http://schemas.openxmlformats.org/drawingml/2006/main">
                <a:ext uri="{FF2B5EF4-FFF2-40B4-BE49-F238E27FC236}">
                  <a16:creationId xmlns:a16="http://schemas.microsoft.com/office/drawing/2014/main" id="{63C1DD80-A4E9-DF06-8282-F62D8D3598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A59A1B1" w14:textId="53647395" w:rsidR="00E57997" w:rsidRPr="00DA1878" w:rsidRDefault="00E57997" w:rsidP="00E57997">
      <w:pPr>
        <w:shd w:val="clear" w:color="auto" w:fill="FFFFFF"/>
        <w:spacing w:after="0" w:line="360" w:lineRule="auto"/>
        <w:jc w:val="both"/>
        <w:rPr>
          <w:rFonts w:ascii="Calibri" w:hAnsi="Calibri" w:cs="Calibri"/>
          <w:sz w:val="24"/>
          <w:szCs w:val="24"/>
        </w:rPr>
      </w:pPr>
      <w:r w:rsidRPr="00DA1878">
        <w:rPr>
          <w:rFonts w:ascii="Calibri" w:hAnsi="Calibri" w:cs="Calibri"/>
          <w:sz w:val="24"/>
          <w:szCs w:val="24"/>
        </w:rPr>
        <w:t xml:space="preserve">(Pav. </w:t>
      </w:r>
      <w:r w:rsidR="004E2F46">
        <w:rPr>
          <w:rFonts w:ascii="Calibri" w:hAnsi="Calibri" w:cs="Calibri"/>
          <w:sz w:val="24"/>
          <w:szCs w:val="24"/>
        </w:rPr>
        <w:t>5</w:t>
      </w:r>
      <w:r w:rsidRPr="00DA1878">
        <w:rPr>
          <w:rFonts w:ascii="Calibri" w:hAnsi="Calibri" w:cs="Calibri"/>
          <w:sz w:val="24"/>
          <w:szCs w:val="24"/>
        </w:rPr>
        <w:t>)</w:t>
      </w:r>
    </w:p>
    <w:p w14:paraId="4727ADF2" w14:textId="77777777" w:rsidR="00485E0A" w:rsidRDefault="00485E0A" w:rsidP="00E2148B">
      <w:pPr>
        <w:spacing w:before="240" w:after="0" w:line="360" w:lineRule="auto"/>
        <w:ind w:firstLine="851"/>
        <w:jc w:val="both"/>
        <w:rPr>
          <w:rFonts w:ascii="Calibri" w:hAnsi="Calibri" w:cs="Calibri"/>
          <w:sz w:val="24"/>
          <w:szCs w:val="24"/>
        </w:rPr>
      </w:pPr>
      <w:r w:rsidRPr="00DA1878">
        <w:rPr>
          <w:rFonts w:ascii="Calibri" w:hAnsi="Calibri" w:cs="Calibri"/>
          <w:sz w:val="24"/>
          <w:szCs w:val="24"/>
        </w:rPr>
        <w:t>Pirkimų prevencinės peržiūros rezultatai atskleidė dažniausiai pasitaikančius Įstatymų ir (arba) su jų įgyvendinimu susijusių teisės aktų reikalavimų pažeidimus bei klaidas:</w:t>
      </w:r>
    </w:p>
    <w:p w14:paraId="151192C2" w14:textId="012295E4" w:rsidR="005D5329" w:rsidRDefault="005D5329" w:rsidP="00BE2E56">
      <w:pPr>
        <w:pStyle w:val="paragraph"/>
        <w:spacing w:before="0" w:beforeAutospacing="0" w:after="0" w:afterAutospacing="0" w:line="360" w:lineRule="auto"/>
        <w:jc w:val="both"/>
        <w:textAlignment w:val="baseline"/>
        <w:rPr>
          <w:rStyle w:val="normaltextrun"/>
          <w:rFonts w:ascii="Calibri" w:eastAsiaTheme="majorEastAsia" w:hAnsi="Calibri" w:cs="Calibri"/>
          <w:lang w:val="lt-LT"/>
        </w:rPr>
      </w:pPr>
      <w:r>
        <w:rPr>
          <w:noProof/>
        </w:rPr>
        <w:drawing>
          <wp:inline distT="0" distB="0" distL="0" distR="0" wp14:anchorId="26DD0021" wp14:editId="144D6E76">
            <wp:extent cx="6276975" cy="2743200"/>
            <wp:effectExtent l="0" t="0" r="9525" b="0"/>
            <wp:docPr id="949323583" name="Chart 1">
              <a:extLst xmlns:a="http://schemas.openxmlformats.org/drawingml/2006/main">
                <a:ext uri="{FF2B5EF4-FFF2-40B4-BE49-F238E27FC236}">
                  <a16:creationId xmlns:a16="http://schemas.microsoft.com/office/drawing/2014/main" id="{92423A05-8091-14CF-4F08-14F6C77712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3444BA5" w14:textId="6C426ADB" w:rsidR="00485E0A" w:rsidRPr="00DA1878" w:rsidRDefault="00485E0A" w:rsidP="00485E0A">
      <w:pPr>
        <w:shd w:val="clear" w:color="auto" w:fill="FFFFFF"/>
        <w:spacing w:after="0" w:line="360" w:lineRule="auto"/>
        <w:jc w:val="both"/>
        <w:rPr>
          <w:rFonts w:ascii="Calibri" w:hAnsi="Calibri" w:cs="Calibri"/>
          <w:sz w:val="24"/>
          <w:szCs w:val="24"/>
        </w:rPr>
      </w:pPr>
      <w:r w:rsidRPr="00DA1878">
        <w:rPr>
          <w:rFonts w:ascii="Calibri" w:hAnsi="Calibri" w:cs="Calibri"/>
          <w:sz w:val="24"/>
          <w:szCs w:val="24"/>
        </w:rPr>
        <w:t xml:space="preserve">(Pav. </w:t>
      </w:r>
      <w:r w:rsidR="004E2F46">
        <w:rPr>
          <w:rFonts w:ascii="Calibri" w:hAnsi="Calibri" w:cs="Calibri"/>
          <w:sz w:val="24"/>
          <w:szCs w:val="24"/>
        </w:rPr>
        <w:t>6</w:t>
      </w:r>
      <w:r w:rsidRPr="00DA1878">
        <w:rPr>
          <w:rFonts w:ascii="Calibri" w:hAnsi="Calibri" w:cs="Calibri"/>
          <w:sz w:val="24"/>
          <w:szCs w:val="24"/>
        </w:rPr>
        <w:t>)</w:t>
      </w:r>
    </w:p>
    <w:p w14:paraId="0BE81314" w14:textId="77777777" w:rsidR="00485E0A" w:rsidRDefault="00485E0A" w:rsidP="00BE2E56">
      <w:pPr>
        <w:pStyle w:val="paragraph"/>
        <w:spacing w:before="0" w:beforeAutospacing="0" w:after="0" w:afterAutospacing="0" w:line="360" w:lineRule="auto"/>
        <w:jc w:val="both"/>
        <w:textAlignment w:val="baseline"/>
        <w:rPr>
          <w:rStyle w:val="normaltextrun"/>
          <w:rFonts w:ascii="Calibri" w:eastAsiaTheme="majorEastAsia" w:hAnsi="Calibri" w:cs="Calibri"/>
          <w:lang w:val="lt-LT"/>
        </w:rPr>
      </w:pPr>
    </w:p>
    <w:p w14:paraId="40E55F4A" w14:textId="2B373716" w:rsidR="00A0102A" w:rsidRDefault="00A0102A" w:rsidP="00E2148B">
      <w:pPr>
        <w:pStyle w:val="paragraph"/>
        <w:spacing w:before="0" w:beforeAutospacing="0" w:after="0" w:afterAutospacing="0" w:line="360" w:lineRule="auto"/>
        <w:ind w:firstLine="851"/>
        <w:jc w:val="both"/>
        <w:textAlignment w:val="baseline"/>
        <w:rPr>
          <w:rFonts w:ascii="Segoe UI" w:hAnsi="Segoe UI" w:cs="Segoe UI"/>
          <w:sz w:val="18"/>
          <w:szCs w:val="18"/>
        </w:rPr>
      </w:pPr>
      <w:r>
        <w:rPr>
          <w:rStyle w:val="normaltextrun"/>
          <w:rFonts w:ascii="Calibri" w:eastAsiaTheme="majorEastAsia" w:hAnsi="Calibri" w:cs="Calibri"/>
          <w:lang w:val="lt-LT"/>
        </w:rPr>
        <w:lastRenderedPageBreak/>
        <w:t>Atsižvelgdami į Tarnybos pateiktas rekomendacijas pirkim</w:t>
      </w:r>
      <w:r w:rsidR="006B576B">
        <w:rPr>
          <w:rStyle w:val="normaltextrun"/>
          <w:rFonts w:ascii="Calibri" w:eastAsiaTheme="majorEastAsia" w:hAnsi="Calibri" w:cs="Calibri"/>
          <w:lang w:val="lt-LT"/>
        </w:rPr>
        <w:t>ų</w:t>
      </w:r>
      <w:r>
        <w:rPr>
          <w:rStyle w:val="normaltextrun"/>
          <w:rFonts w:ascii="Calibri" w:eastAsiaTheme="majorEastAsia" w:hAnsi="Calibri" w:cs="Calibri"/>
          <w:lang w:val="lt-LT"/>
        </w:rPr>
        <w:t xml:space="preserve"> vykdytojai 11 i</w:t>
      </w:r>
      <w:r w:rsidR="003D7260">
        <w:rPr>
          <w:rStyle w:val="normaltextrun"/>
          <w:rFonts w:ascii="Calibri" w:eastAsiaTheme="majorEastAsia" w:hAnsi="Calibri" w:cs="Calibri"/>
          <w:lang w:val="lt-LT"/>
        </w:rPr>
        <w:t>š</w:t>
      </w:r>
      <w:r>
        <w:rPr>
          <w:rStyle w:val="normaltextrun"/>
          <w:rFonts w:ascii="Calibri" w:eastAsiaTheme="majorEastAsia" w:hAnsi="Calibri" w:cs="Calibri"/>
          <w:lang w:val="lt-LT"/>
        </w:rPr>
        <w:t xml:space="preserve"> 13 atvejų (84,62 proc.) patikslino pirkimo dokumentų </w:t>
      </w:r>
      <w:r w:rsidR="00747BF1">
        <w:rPr>
          <w:rStyle w:val="normaltextrun"/>
          <w:rFonts w:ascii="Calibri" w:eastAsiaTheme="majorEastAsia" w:hAnsi="Calibri" w:cs="Calibri"/>
          <w:lang w:val="lt-LT"/>
        </w:rPr>
        <w:t>sąlyg</w:t>
      </w:r>
      <w:r>
        <w:rPr>
          <w:rStyle w:val="normaltextrun"/>
          <w:rFonts w:ascii="Calibri" w:eastAsiaTheme="majorEastAsia" w:hAnsi="Calibri" w:cs="Calibri"/>
          <w:lang w:val="lt-LT"/>
        </w:rPr>
        <w:t>as arba pakeitė pirkimo dokumentuose nustatytus reikalavimus ir nutraukė pirkimus, arba sutiko atsižvelgti į pateiktą rekomendaciją vykdant pirkimus ateityje. Į teiktas rekomendacijas du pirkimų vykdytojai pateikė pagrindimus ir jų neįgyvendino (neatsižvelgė).</w:t>
      </w:r>
      <w:r>
        <w:rPr>
          <w:rStyle w:val="eop"/>
          <w:rFonts w:ascii="Calibri" w:eastAsiaTheme="majorEastAsia" w:hAnsi="Calibri" w:cs="Calibri"/>
        </w:rPr>
        <w:t> </w:t>
      </w:r>
    </w:p>
    <w:p w14:paraId="3FE232E4" w14:textId="6C6A64FD" w:rsidR="001F2B59" w:rsidRDefault="001F2B59">
      <w:pPr>
        <w:spacing w:line="278" w:lineRule="auto"/>
        <w:rPr>
          <w:rStyle w:val="normaltextrun"/>
          <w:rFonts w:ascii="Segoe UI" w:eastAsia="Times New Roman" w:hAnsi="Segoe UI" w:cs="Segoe UI"/>
          <w:color w:val="0F4761"/>
          <w:kern w:val="0"/>
          <w:sz w:val="18"/>
          <w:szCs w:val="18"/>
          <w:lang w:val="en-US"/>
          <w14:ligatures w14:val="none"/>
        </w:rPr>
      </w:pPr>
      <w:r>
        <w:rPr>
          <w:rStyle w:val="normaltextrun"/>
          <w:rFonts w:ascii="Segoe UI" w:hAnsi="Segoe UI" w:cs="Segoe UI"/>
          <w:color w:val="0F4761"/>
          <w:sz w:val="18"/>
          <w:szCs w:val="18"/>
        </w:rPr>
        <w:br w:type="page"/>
      </w:r>
    </w:p>
    <w:p w14:paraId="015D1E82" w14:textId="2E7C4DFB" w:rsidR="007B49AA" w:rsidRPr="001F7FA5" w:rsidRDefault="00622985" w:rsidP="00B6638D">
      <w:pPr>
        <w:pStyle w:val="Heading1"/>
        <w:numPr>
          <w:ilvl w:val="0"/>
          <w:numId w:val="2"/>
        </w:numPr>
      </w:pPr>
      <w:bookmarkStart w:id="4" w:name="_Toc222901425"/>
      <w:r w:rsidRPr="00622985">
        <w:rPr>
          <w:rStyle w:val="normaltextrun"/>
          <w:b/>
          <w:bCs/>
          <w:color w:val="auto"/>
          <w:sz w:val="24"/>
          <w:szCs w:val="24"/>
        </w:rPr>
        <w:lastRenderedPageBreak/>
        <w:t>Pranešimų vertinimo</w:t>
      </w:r>
      <w:r w:rsidRPr="00B6638D">
        <w:rPr>
          <w:rStyle w:val="normaltextrun"/>
          <w:rFonts w:ascii="Calibri" w:hAnsi="Calibri" w:cs="Calibri"/>
          <w:b/>
          <w:bCs/>
          <w:color w:val="auto"/>
          <w:sz w:val="24"/>
          <w:szCs w:val="24"/>
        </w:rPr>
        <w:t xml:space="preserve"> </w:t>
      </w:r>
      <w:r>
        <w:rPr>
          <w:rStyle w:val="normaltextrun"/>
          <w:rFonts w:ascii="Calibri" w:hAnsi="Calibri" w:cs="Calibri"/>
          <w:b/>
          <w:bCs/>
          <w:color w:val="auto"/>
          <w:sz w:val="24"/>
          <w:szCs w:val="24"/>
        </w:rPr>
        <w:t>d</w:t>
      </w:r>
      <w:r w:rsidR="001F7FA5" w:rsidRPr="00B6638D">
        <w:rPr>
          <w:rStyle w:val="normaltextrun"/>
          <w:rFonts w:ascii="Calibri" w:hAnsi="Calibri" w:cs="Calibri"/>
          <w:b/>
          <w:bCs/>
          <w:color w:val="auto"/>
          <w:sz w:val="24"/>
          <w:szCs w:val="24"/>
        </w:rPr>
        <w:t>arbo</w:t>
      </w:r>
      <w:r w:rsidR="001F7FA5" w:rsidRPr="001F7FA5">
        <w:rPr>
          <w:rStyle w:val="normaltextrun"/>
          <w:rFonts w:ascii="Calibri" w:hAnsi="Calibri" w:cs="Calibri"/>
          <w:b/>
          <w:bCs/>
          <w:color w:val="auto"/>
          <w:sz w:val="24"/>
          <w:szCs w:val="24"/>
        </w:rPr>
        <w:t xml:space="preserve"> grupės perduotų pirkimų prevencinė peržiūr</w:t>
      </w:r>
      <w:r w:rsidR="007A665C">
        <w:rPr>
          <w:rStyle w:val="normaltextrun"/>
          <w:rFonts w:ascii="Calibri" w:hAnsi="Calibri" w:cs="Calibri"/>
          <w:b/>
          <w:bCs/>
          <w:color w:val="auto"/>
          <w:sz w:val="24"/>
          <w:szCs w:val="24"/>
        </w:rPr>
        <w:t>a</w:t>
      </w:r>
      <w:bookmarkEnd w:id="4"/>
    </w:p>
    <w:p w14:paraId="6C67FF7F" w14:textId="4CCDD296" w:rsidR="007B49AA" w:rsidRDefault="007B49AA" w:rsidP="00E2148B">
      <w:pPr>
        <w:pStyle w:val="paragraph"/>
        <w:spacing w:before="0" w:beforeAutospacing="0" w:after="0" w:afterAutospacing="0" w:line="360" w:lineRule="auto"/>
        <w:ind w:firstLine="851"/>
        <w:jc w:val="both"/>
        <w:textAlignment w:val="baseline"/>
        <w:rPr>
          <w:rStyle w:val="normaltextrun"/>
          <w:rFonts w:ascii="Calibri" w:eastAsiaTheme="majorEastAsia" w:hAnsi="Calibri" w:cs="Calibri"/>
          <w:lang w:val="lt-LT"/>
        </w:rPr>
      </w:pPr>
      <w:r>
        <w:rPr>
          <w:rStyle w:val="normaltextrun"/>
          <w:rFonts w:ascii="Calibri" w:eastAsiaTheme="majorEastAsia" w:hAnsi="Calibri" w:cs="Calibri"/>
          <w:lang w:val="lt-LT"/>
        </w:rPr>
        <w:t xml:space="preserve">Prevencine tvarka </w:t>
      </w:r>
      <w:r w:rsidR="00622985" w:rsidRPr="00D13190">
        <w:rPr>
          <w:rFonts w:ascii="Calibri" w:hAnsi="Calibri" w:cs="Calibri"/>
          <w:color w:val="000000"/>
          <w:lang w:val="lt-LT"/>
        </w:rPr>
        <w:t>Pranešimų vertinimo</w:t>
      </w:r>
      <w:r w:rsidR="00622985">
        <w:rPr>
          <w:rStyle w:val="normaltextrun"/>
          <w:rFonts w:ascii="Calibri" w:eastAsiaTheme="majorEastAsia" w:hAnsi="Calibri" w:cs="Calibri"/>
          <w:lang w:val="lt-LT"/>
        </w:rPr>
        <w:t xml:space="preserve"> </w:t>
      </w:r>
      <w:r>
        <w:rPr>
          <w:rStyle w:val="normaltextrun"/>
          <w:rFonts w:ascii="Calibri" w:eastAsiaTheme="majorEastAsia" w:hAnsi="Calibri" w:cs="Calibri"/>
          <w:lang w:val="lt-LT"/>
        </w:rPr>
        <w:t xml:space="preserve">darbo grupės pavedimu peržiūrėtų pirkimų vertė </w:t>
      </w:r>
      <w:r w:rsidR="001F7FA5" w:rsidRPr="00A34926">
        <w:rPr>
          <w:rFonts w:ascii="Calibri" w:hAnsi="Calibri" w:cs="Calibri"/>
        </w:rPr>
        <w:t>1 035 713 994,40</w:t>
      </w:r>
      <w:r w:rsidR="001F7FA5" w:rsidRPr="00A34926">
        <w:rPr>
          <w:rStyle w:val="normaltextrun"/>
          <w:rFonts w:ascii="Calibri" w:eastAsiaTheme="majorEastAsia" w:hAnsi="Calibri" w:cs="Calibri"/>
          <w:lang w:val="lt-LT"/>
        </w:rPr>
        <w:t> </w:t>
      </w:r>
      <w:r>
        <w:rPr>
          <w:rStyle w:val="normaltextrun"/>
          <w:rFonts w:ascii="Calibri" w:eastAsiaTheme="majorEastAsia" w:hAnsi="Calibri" w:cs="Calibri"/>
          <w:lang w:val="lt-LT"/>
        </w:rPr>
        <w:t xml:space="preserve">Eur be PVM. Prevencine tvarka peržiūrėjus 20 perduotų pirkimų dokumentus, pirkimų vykdytojams pateiktos 9 rekomendacijos dėl pirkimo dokumentų </w:t>
      </w:r>
      <w:r w:rsidR="00E95AAB">
        <w:rPr>
          <w:rStyle w:val="normaltextrun"/>
          <w:rFonts w:ascii="Calibri" w:eastAsiaTheme="majorEastAsia" w:hAnsi="Calibri" w:cs="Calibri"/>
          <w:lang w:val="lt-LT"/>
        </w:rPr>
        <w:t>sąlyg</w:t>
      </w:r>
      <w:r>
        <w:rPr>
          <w:rStyle w:val="normaltextrun"/>
          <w:rFonts w:ascii="Calibri" w:eastAsiaTheme="majorEastAsia" w:hAnsi="Calibri" w:cs="Calibri"/>
          <w:lang w:val="lt-LT"/>
        </w:rPr>
        <w:t>ų tikslinimo ir (arba) keitimo</w:t>
      </w:r>
      <w:r w:rsidR="00D625DB">
        <w:rPr>
          <w:rStyle w:val="normaltextrun"/>
          <w:rFonts w:ascii="Calibri" w:eastAsiaTheme="majorEastAsia" w:hAnsi="Calibri" w:cs="Calibri"/>
          <w:lang w:val="lt-LT"/>
        </w:rPr>
        <w:t>.</w:t>
      </w:r>
      <w:r>
        <w:rPr>
          <w:rStyle w:val="normaltextrun"/>
          <w:rFonts w:ascii="Calibri" w:eastAsiaTheme="majorEastAsia" w:hAnsi="Calibri" w:cs="Calibri"/>
          <w:lang w:val="lt-LT"/>
        </w:rPr>
        <w:t xml:space="preserve"> </w:t>
      </w:r>
    </w:p>
    <w:p w14:paraId="30437C82" w14:textId="77B5AD3A" w:rsidR="00670448" w:rsidRDefault="00795F83" w:rsidP="00D625DB">
      <w:pPr>
        <w:pStyle w:val="paragraph"/>
        <w:spacing w:before="0" w:beforeAutospacing="0" w:after="0" w:afterAutospacing="0" w:line="360" w:lineRule="auto"/>
        <w:jc w:val="both"/>
        <w:textAlignment w:val="baseline"/>
        <w:rPr>
          <w:rStyle w:val="normaltextrun"/>
          <w:rFonts w:ascii="Calibri" w:eastAsiaTheme="majorEastAsia" w:hAnsi="Calibri" w:cs="Calibri"/>
          <w:lang w:val="lt-LT"/>
        </w:rPr>
      </w:pPr>
      <w:r>
        <w:rPr>
          <w:noProof/>
        </w:rPr>
        <w:drawing>
          <wp:inline distT="0" distB="0" distL="0" distR="0" wp14:anchorId="0FC37BF7" wp14:editId="07095D4B">
            <wp:extent cx="6296025" cy="2743200"/>
            <wp:effectExtent l="0" t="0" r="9525" b="0"/>
            <wp:docPr id="1373837460" name="Chart 1">
              <a:extLst xmlns:a="http://schemas.openxmlformats.org/drawingml/2006/main">
                <a:ext uri="{FF2B5EF4-FFF2-40B4-BE49-F238E27FC236}">
                  <a16:creationId xmlns:a16="http://schemas.microsoft.com/office/drawing/2014/main" id="{AEF07F1A-9CC4-B65C-58AB-4D06FC4D18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D6BCA1" w14:textId="12C85E5C" w:rsidR="00670448" w:rsidRDefault="00670448" w:rsidP="00670448">
      <w:pPr>
        <w:shd w:val="clear" w:color="auto" w:fill="FFFFFF"/>
        <w:spacing w:after="0" w:line="360" w:lineRule="auto"/>
        <w:jc w:val="both"/>
        <w:rPr>
          <w:rFonts w:ascii="Calibri" w:hAnsi="Calibri" w:cs="Calibri"/>
          <w:sz w:val="24"/>
          <w:szCs w:val="24"/>
        </w:rPr>
      </w:pPr>
      <w:r w:rsidRPr="00DA1878">
        <w:rPr>
          <w:rFonts w:ascii="Calibri" w:hAnsi="Calibri" w:cs="Calibri"/>
          <w:sz w:val="24"/>
          <w:szCs w:val="24"/>
        </w:rPr>
        <w:t xml:space="preserve">(Pav. </w:t>
      </w:r>
      <w:r w:rsidR="004E2F46">
        <w:rPr>
          <w:rFonts w:ascii="Calibri" w:hAnsi="Calibri" w:cs="Calibri"/>
          <w:sz w:val="24"/>
          <w:szCs w:val="24"/>
        </w:rPr>
        <w:t>7</w:t>
      </w:r>
      <w:r w:rsidRPr="00DA1878">
        <w:rPr>
          <w:rFonts w:ascii="Calibri" w:hAnsi="Calibri" w:cs="Calibri"/>
          <w:sz w:val="24"/>
          <w:szCs w:val="24"/>
        </w:rPr>
        <w:t>)</w:t>
      </w:r>
    </w:p>
    <w:p w14:paraId="1ADFC0AA" w14:textId="77777777" w:rsidR="00795F83" w:rsidRDefault="00795F83" w:rsidP="00E2148B">
      <w:pPr>
        <w:spacing w:before="240" w:after="0" w:line="360" w:lineRule="auto"/>
        <w:ind w:firstLine="851"/>
        <w:jc w:val="both"/>
        <w:rPr>
          <w:rFonts w:ascii="Calibri" w:hAnsi="Calibri" w:cs="Calibri"/>
          <w:sz w:val="24"/>
          <w:szCs w:val="24"/>
        </w:rPr>
      </w:pPr>
      <w:r w:rsidRPr="00DA1878">
        <w:rPr>
          <w:rFonts w:ascii="Calibri" w:hAnsi="Calibri" w:cs="Calibri"/>
          <w:sz w:val="24"/>
          <w:szCs w:val="24"/>
        </w:rPr>
        <w:t>Pirkimų prevencinės peržiūros rezultatai atskleidė dažniausiai pasitaikančius Įstatymų ir (arba) su jų įgyvendinimu susijusių teisės aktų reikalavimų pažeidimus bei klaidas:</w:t>
      </w:r>
    </w:p>
    <w:p w14:paraId="0BFBF0EF" w14:textId="452B1890" w:rsidR="00795F83" w:rsidRPr="00DA1878" w:rsidRDefault="00223A20" w:rsidP="00670448">
      <w:pPr>
        <w:shd w:val="clear" w:color="auto" w:fill="FFFFFF"/>
        <w:spacing w:after="0" w:line="360" w:lineRule="auto"/>
        <w:jc w:val="both"/>
        <w:rPr>
          <w:rFonts w:ascii="Calibri" w:hAnsi="Calibri" w:cs="Calibri"/>
          <w:sz w:val="24"/>
          <w:szCs w:val="24"/>
        </w:rPr>
      </w:pPr>
      <w:r>
        <w:rPr>
          <w:noProof/>
        </w:rPr>
        <w:drawing>
          <wp:inline distT="0" distB="0" distL="0" distR="0" wp14:anchorId="215A14FF" wp14:editId="08FB30BB">
            <wp:extent cx="6029325" cy="2743200"/>
            <wp:effectExtent l="0" t="0" r="9525" b="0"/>
            <wp:docPr id="516386759" name="Chart 1">
              <a:extLst xmlns:a="http://schemas.openxmlformats.org/drawingml/2006/main">
                <a:ext uri="{FF2B5EF4-FFF2-40B4-BE49-F238E27FC236}">
                  <a16:creationId xmlns:a16="http://schemas.microsoft.com/office/drawing/2014/main" id="{86FBFCEC-7D91-E209-4F67-961D1DA5D1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F7CFA6" w14:textId="43E24192" w:rsidR="00795F83" w:rsidRDefault="00795F83" w:rsidP="00795F83">
      <w:pPr>
        <w:shd w:val="clear" w:color="auto" w:fill="FFFFFF"/>
        <w:spacing w:after="0" w:line="360" w:lineRule="auto"/>
        <w:jc w:val="both"/>
        <w:rPr>
          <w:rFonts w:ascii="Calibri" w:hAnsi="Calibri" w:cs="Calibri"/>
          <w:sz w:val="24"/>
          <w:szCs w:val="24"/>
        </w:rPr>
      </w:pPr>
      <w:r w:rsidRPr="00DA1878">
        <w:rPr>
          <w:rFonts w:ascii="Calibri" w:hAnsi="Calibri" w:cs="Calibri"/>
          <w:sz w:val="24"/>
          <w:szCs w:val="24"/>
        </w:rPr>
        <w:t xml:space="preserve">(Pav. </w:t>
      </w:r>
      <w:r w:rsidR="004E2F46">
        <w:rPr>
          <w:rFonts w:ascii="Calibri" w:hAnsi="Calibri" w:cs="Calibri"/>
          <w:sz w:val="24"/>
          <w:szCs w:val="24"/>
        </w:rPr>
        <w:t>8</w:t>
      </w:r>
      <w:r w:rsidRPr="00DA1878">
        <w:rPr>
          <w:rFonts w:ascii="Calibri" w:hAnsi="Calibri" w:cs="Calibri"/>
          <w:sz w:val="24"/>
          <w:szCs w:val="24"/>
        </w:rPr>
        <w:t>)</w:t>
      </w:r>
    </w:p>
    <w:p w14:paraId="13DA399E" w14:textId="77777777" w:rsidR="00670448" w:rsidRDefault="00670448" w:rsidP="00D625DB">
      <w:pPr>
        <w:pStyle w:val="paragraph"/>
        <w:spacing w:before="0" w:beforeAutospacing="0" w:after="0" w:afterAutospacing="0" w:line="360" w:lineRule="auto"/>
        <w:jc w:val="both"/>
        <w:textAlignment w:val="baseline"/>
        <w:rPr>
          <w:rFonts w:ascii="Segoe UI" w:hAnsi="Segoe UI" w:cs="Segoe UI"/>
          <w:sz w:val="18"/>
          <w:szCs w:val="18"/>
        </w:rPr>
      </w:pPr>
    </w:p>
    <w:p w14:paraId="6CC193A9" w14:textId="4325C69E" w:rsidR="00E2148B" w:rsidRDefault="007B49AA" w:rsidP="00E2148B">
      <w:pPr>
        <w:pStyle w:val="paragraph"/>
        <w:spacing w:before="0" w:beforeAutospacing="0" w:after="0" w:afterAutospacing="0" w:line="360" w:lineRule="auto"/>
        <w:ind w:firstLine="851"/>
        <w:jc w:val="both"/>
        <w:textAlignment w:val="baseline"/>
        <w:rPr>
          <w:rStyle w:val="normaltextrun"/>
          <w:rFonts w:ascii="Calibri" w:eastAsiaTheme="majorEastAsia" w:hAnsi="Calibri" w:cs="Calibri"/>
          <w:lang w:val="lt-LT"/>
        </w:rPr>
      </w:pPr>
      <w:r>
        <w:rPr>
          <w:rStyle w:val="normaltextrun"/>
          <w:rFonts w:ascii="Calibri" w:eastAsiaTheme="majorEastAsia" w:hAnsi="Calibri" w:cs="Calibri"/>
          <w:lang w:val="lt-LT"/>
        </w:rPr>
        <w:lastRenderedPageBreak/>
        <w:t>Atsižvelgdami į Tarnybos pateiktas rekomendacijas, pirkim</w:t>
      </w:r>
      <w:r w:rsidR="00622985">
        <w:rPr>
          <w:rStyle w:val="normaltextrun"/>
          <w:rFonts w:ascii="Calibri" w:eastAsiaTheme="majorEastAsia" w:hAnsi="Calibri" w:cs="Calibri"/>
          <w:lang w:val="lt-LT"/>
        </w:rPr>
        <w:t>ų</w:t>
      </w:r>
      <w:r>
        <w:rPr>
          <w:rStyle w:val="normaltextrun"/>
          <w:rFonts w:ascii="Calibri" w:eastAsiaTheme="majorEastAsia" w:hAnsi="Calibri" w:cs="Calibri"/>
          <w:lang w:val="lt-LT"/>
        </w:rPr>
        <w:t xml:space="preserve"> vykdytojai 8 i</w:t>
      </w:r>
      <w:r w:rsidR="00622985">
        <w:rPr>
          <w:rStyle w:val="normaltextrun"/>
          <w:rFonts w:ascii="Calibri" w:eastAsiaTheme="majorEastAsia" w:hAnsi="Calibri" w:cs="Calibri"/>
          <w:lang w:val="lt-LT"/>
        </w:rPr>
        <w:t>š</w:t>
      </w:r>
      <w:r>
        <w:rPr>
          <w:rStyle w:val="normaltextrun"/>
          <w:rFonts w:ascii="Calibri" w:eastAsiaTheme="majorEastAsia" w:hAnsi="Calibri" w:cs="Calibri"/>
          <w:lang w:val="lt-LT"/>
        </w:rPr>
        <w:t xml:space="preserve"> 9 atvejų (88,89 proc.) patikslino pirkimo dokumentų </w:t>
      </w:r>
      <w:r w:rsidR="00E95AAB">
        <w:rPr>
          <w:rStyle w:val="normaltextrun"/>
          <w:rFonts w:ascii="Calibri" w:eastAsiaTheme="majorEastAsia" w:hAnsi="Calibri" w:cs="Calibri"/>
          <w:lang w:val="lt-LT"/>
        </w:rPr>
        <w:t>sąlyg</w:t>
      </w:r>
      <w:r>
        <w:rPr>
          <w:rStyle w:val="normaltextrun"/>
          <w:rFonts w:ascii="Calibri" w:eastAsiaTheme="majorEastAsia" w:hAnsi="Calibri" w:cs="Calibri"/>
          <w:lang w:val="lt-LT"/>
        </w:rPr>
        <w:t>as arba pakeitė pirkimo dokumentuose nustatytus reikalavimus ir nutraukė pirkimus.</w:t>
      </w:r>
    </w:p>
    <w:p w14:paraId="25662697" w14:textId="2464BAE0" w:rsidR="002A2160" w:rsidRDefault="002A2160">
      <w:pPr>
        <w:spacing w:line="278" w:lineRule="auto"/>
        <w:rPr>
          <w:rFonts w:ascii="Segoe UI" w:eastAsia="Times New Roman" w:hAnsi="Segoe UI" w:cs="Segoe UI"/>
          <w:color w:val="0F4761"/>
          <w:kern w:val="0"/>
          <w:sz w:val="18"/>
          <w:szCs w:val="18"/>
          <w:lang w:val="en-US"/>
          <w14:ligatures w14:val="none"/>
        </w:rPr>
      </w:pPr>
      <w:r>
        <w:rPr>
          <w:rFonts w:ascii="Segoe UI" w:hAnsi="Segoe UI" w:cs="Segoe UI"/>
          <w:color w:val="0F4761"/>
          <w:sz w:val="18"/>
          <w:szCs w:val="18"/>
        </w:rPr>
        <w:br w:type="page"/>
      </w:r>
    </w:p>
    <w:p w14:paraId="71D61646" w14:textId="24B83954" w:rsidR="0096338A" w:rsidRDefault="00622985" w:rsidP="00030B1A">
      <w:pPr>
        <w:pStyle w:val="Heading1"/>
        <w:numPr>
          <w:ilvl w:val="0"/>
          <w:numId w:val="2"/>
        </w:numPr>
        <w:tabs>
          <w:tab w:val="left" w:pos="2410"/>
        </w:tabs>
        <w:spacing w:after="240"/>
        <w:rPr>
          <w:rFonts w:ascii="Calibri" w:hAnsi="Calibri" w:cs="Calibri"/>
          <w:b/>
          <w:bCs/>
          <w:color w:val="auto"/>
          <w:sz w:val="24"/>
          <w:szCs w:val="24"/>
        </w:rPr>
      </w:pPr>
      <w:bookmarkStart w:id="5" w:name="_Toc222901426"/>
      <w:proofErr w:type="spellStart"/>
      <w:r w:rsidRPr="00622985">
        <w:rPr>
          <w:b/>
          <w:bCs/>
          <w:color w:val="auto"/>
          <w:sz w:val="24"/>
          <w:szCs w:val="24"/>
        </w:rPr>
        <w:lastRenderedPageBreak/>
        <w:t>Ex</w:t>
      </w:r>
      <w:proofErr w:type="spellEnd"/>
      <w:r w:rsidRPr="00622985">
        <w:rPr>
          <w:b/>
          <w:bCs/>
          <w:color w:val="auto"/>
          <w:sz w:val="24"/>
          <w:szCs w:val="24"/>
        </w:rPr>
        <w:t>-ante</w:t>
      </w:r>
      <w:r w:rsidR="0096338A" w:rsidRPr="00DA1878">
        <w:rPr>
          <w:rFonts w:ascii="Calibri" w:hAnsi="Calibri" w:cs="Calibri"/>
          <w:b/>
          <w:bCs/>
          <w:color w:val="auto"/>
          <w:sz w:val="24"/>
          <w:szCs w:val="24"/>
        </w:rPr>
        <w:t xml:space="preserve"> </w:t>
      </w:r>
      <w:r>
        <w:rPr>
          <w:rFonts w:ascii="Calibri" w:hAnsi="Calibri" w:cs="Calibri"/>
          <w:b/>
          <w:bCs/>
          <w:color w:val="auto"/>
          <w:sz w:val="24"/>
          <w:szCs w:val="24"/>
        </w:rPr>
        <w:t>pirkimų</w:t>
      </w:r>
      <w:r w:rsidR="0096338A" w:rsidRPr="00DA1878">
        <w:rPr>
          <w:rFonts w:ascii="Calibri" w:hAnsi="Calibri" w:cs="Calibri"/>
          <w:b/>
          <w:bCs/>
          <w:color w:val="auto"/>
          <w:sz w:val="24"/>
          <w:szCs w:val="24"/>
        </w:rPr>
        <w:t xml:space="preserve"> prevencinė</w:t>
      </w:r>
      <w:r w:rsidR="005B3C0B">
        <w:rPr>
          <w:rFonts w:ascii="Calibri" w:hAnsi="Calibri" w:cs="Calibri"/>
          <w:b/>
          <w:bCs/>
          <w:color w:val="auto"/>
          <w:sz w:val="24"/>
          <w:szCs w:val="24"/>
        </w:rPr>
        <w:t>s</w:t>
      </w:r>
      <w:r w:rsidR="0096338A" w:rsidRPr="00DA1878">
        <w:rPr>
          <w:rFonts w:ascii="Calibri" w:hAnsi="Calibri" w:cs="Calibri"/>
          <w:b/>
          <w:bCs/>
          <w:color w:val="auto"/>
          <w:sz w:val="24"/>
          <w:szCs w:val="24"/>
        </w:rPr>
        <w:t xml:space="preserve"> peržiūr</w:t>
      </w:r>
      <w:r w:rsidR="005B3C0B">
        <w:rPr>
          <w:rFonts w:ascii="Calibri" w:hAnsi="Calibri" w:cs="Calibri"/>
          <w:b/>
          <w:bCs/>
          <w:color w:val="auto"/>
          <w:sz w:val="24"/>
          <w:szCs w:val="24"/>
        </w:rPr>
        <w:t>os statistika</w:t>
      </w:r>
      <w:bookmarkEnd w:id="5"/>
    </w:p>
    <w:p w14:paraId="66D82C75" w14:textId="74B1DAE6" w:rsidR="0007566E" w:rsidRDefault="0007566E" w:rsidP="00030B1A">
      <w:pPr>
        <w:pStyle w:val="paragraph"/>
        <w:spacing w:before="0" w:beforeAutospacing="0" w:after="0" w:afterAutospacing="0" w:line="360" w:lineRule="auto"/>
        <w:ind w:firstLine="851"/>
        <w:jc w:val="both"/>
        <w:textAlignment w:val="baseline"/>
        <w:rPr>
          <w:rFonts w:ascii="Segoe UI" w:hAnsi="Segoe UI" w:cs="Segoe UI"/>
          <w:sz w:val="18"/>
          <w:szCs w:val="18"/>
        </w:rPr>
      </w:pPr>
      <w:r>
        <w:rPr>
          <w:rStyle w:val="normaltextrun"/>
          <w:rFonts w:ascii="Calibri" w:eastAsiaTheme="majorEastAsia" w:hAnsi="Calibri" w:cs="Calibri"/>
          <w:color w:val="000000"/>
          <w:lang w:val="lt-LT"/>
        </w:rPr>
        <w:t>Prevencine tvarka peržiūrėtų </w:t>
      </w:r>
      <w:proofErr w:type="spellStart"/>
      <w:r>
        <w:rPr>
          <w:rStyle w:val="normaltextrun"/>
          <w:rFonts w:ascii="Calibri" w:eastAsiaTheme="majorEastAsia" w:hAnsi="Calibri" w:cs="Calibri"/>
          <w:color w:val="000000"/>
          <w:lang w:val="lt-LT"/>
        </w:rPr>
        <w:t>Ex</w:t>
      </w:r>
      <w:proofErr w:type="spellEnd"/>
      <w:r>
        <w:rPr>
          <w:rStyle w:val="normaltextrun"/>
          <w:rFonts w:ascii="Calibri" w:eastAsiaTheme="majorEastAsia" w:hAnsi="Calibri" w:cs="Calibri"/>
          <w:color w:val="000000"/>
          <w:lang w:val="lt-LT"/>
        </w:rPr>
        <w:t>-ante pirkimų vertė sudaro 101 581 579,00</w:t>
      </w:r>
      <w:r>
        <w:rPr>
          <w:rStyle w:val="normaltextrun"/>
          <w:rFonts w:ascii="Calibri" w:eastAsiaTheme="majorEastAsia" w:hAnsi="Calibri" w:cs="Calibri"/>
          <w:b/>
          <w:bCs/>
          <w:color w:val="000000"/>
          <w:lang w:val="lt-LT"/>
        </w:rPr>
        <w:t> </w:t>
      </w:r>
      <w:r>
        <w:rPr>
          <w:rStyle w:val="normaltextrun"/>
          <w:rFonts w:ascii="Calibri" w:eastAsiaTheme="majorEastAsia" w:hAnsi="Calibri" w:cs="Calibri"/>
          <w:color w:val="000000"/>
          <w:lang w:val="lt-LT"/>
        </w:rPr>
        <w:t>Eur be PVM</w:t>
      </w:r>
      <w:r w:rsidR="006B50AC">
        <w:rPr>
          <w:rStyle w:val="normaltextrun"/>
          <w:rFonts w:ascii="Calibri" w:eastAsiaTheme="majorEastAsia" w:hAnsi="Calibri" w:cs="Calibri"/>
          <w:color w:val="000000"/>
          <w:lang w:val="lt-LT"/>
        </w:rPr>
        <w:t xml:space="preserve"> </w:t>
      </w:r>
      <w:r>
        <w:rPr>
          <w:rStyle w:val="normaltextrun"/>
          <w:rFonts w:ascii="Calibri" w:eastAsiaTheme="majorEastAsia" w:hAnsi="Calibri" w:cs="Calibri"/>
          <w:lang w:val="lt-LT"/>
        </w:rPr>
        <w:t>(skaičiuojant tik nurodytas numatytąsias pirkimų vertes).</w:t>
      </w:r>
      <w:r>
        <w:rPr>
          <w:rStyle w:val="eop"/>
          <w:rFonts w:ascii="Calibri" w:eastAsiaTheme="majorEastAsia" w:hAnsi="Calibri" w:cs="Calibri"/>
        </w:rPr>
        <w:t> </w:t>
      </w:r>
    </w:p>
    <w:p w14:paraId="455AAC96" w14:textId="776C0F36" w:rsidR="0096338A" w:rsidRPr="00DA1878" w:rsidRDefault="00527190" w:rsidP="0096338A">
      <w:pPr>
        <w:spacing w:after="0" w:line="276" w:lineRule="auto"/>
        <w:jc w:val="both"/>
        <w:rPr>
          <w:rFonts w:ascii="Calibri" w:hAnsi="Calibri" w:cs="Calibri"/>
          <w:sz w:val="24"/>
          <w:szCs w:val="24"/>
        </w:rPr>
      </w:pPr>
      <w:r>
        <w:rPr>
          <w:noProof/>
        </w:rPr>
        <w:drawing>
          <wp:inline distT="0" distB="0" distL="0" distR="0" wp14:anchorId="07908FEB" wp14:editId="1E6F644D">
            <wp:extent cx="6019800" cy="2743200"/>
            <wp:effectExtent l="0" t="0" r="0" b="0"/>
            <wp:docPr id="1702565911" name="Chart 1">
              <a:extLst xmlns:a="http://schemas.openxmlformats.org/drawingml/2006/main">
                <a:ext uri="{FF2B5EF4-FFF2-40B4-BE49-F238E27FC236}">
                  <a16:creationId xmlns:a16="http://schemas.microsoft.com/office/drawing/2014/main" id="{30616780-DBFB-4913-A8DD-BC5B477A75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0D46713" w14:textId="5D61B110" w:rsidR="00C931B9" w:rsidRPr="00DA1878" w:rsidRDefault="00C931B9" w:rsidP="00C931B9">
      <w:pPr>
        <w:shd w:val="clear" w:color="auto" w:fill="FFFFFF"/>
        <w:spacing w:after="0" w:line="276" w:lineRule="auto"/>
        <w:jc w:val="both"/>
        <w:rPr>
          <w:rFonts w:ascii="Calibri" w:hAnsi="Calibri" w:cs="Calibri"/>
          <w:sz w:val="24"/>
          <w:szCs w:val="24"/>
        </w:rPr>
      </w:pPr>
      <w:r w:rsidRPr="00DA1878">
        <w:rPr>
          <w:rFonts w:ascii="Calibri" w:hAnsi="Calibri" w:cs="Calibri"/>
          <w:sz w:val="24"/>
          <w:szCs w:val="24"/>
        </w:rPr>
        <w:t xml:space="preserve">(Pav. </w:t>
      </w:r>
      <w:r w:rsidR="004E2F46">
        <w:rPr>
          <w:rFonts w:ascii="Calibri" w:hAnsi="Calibri" w:cs="Calibri"/>
          <w:sz w:val="24"/>
          <w:szCs w:val="24"/>
        </w:rPr>
        <w:t>9</w:t>
      </w:r>
      <w:r w:rsidRPr="00DA1878">
        <w:rPr>
          <w:rFonts w:ascii="Calibri" w:hAnsi="Calibri" w:cs="Calibri"/>
          <w:sz w:val="24"/>
          <w:szCs w:val="24"/>
        </w:rPr>
        <w:t>)</w:t>
      </w:r>
    </w:p>
    <w:p w14:paraId="6DF605A9" w14:textId="48623BD4" w:rsidR="0096338A" w:rsidRPr="00DA1878" w:rsidRDefault="0096338A" w:rsidP="00030B1A">
      <w:pPr>
        <w:spacing w:line="360" w:lineRule="auto"/>
        <w:ind w:firstLine="851"/>
        <w:rPr>
          <w:rFonts w:ascii="Calibri" w:hAnsi="Calibri" w:cs="Calibri"/>
          <w:sz w:val="24"/>
          <w:szCs w:val="24"/>
        </w:rPr>
      </w:pPr>
      <w:r w:rsidRPr="00DA1878">
        <w:rPr>
          <w:rFonts w:ascii="Calibri" w:hAnsi="Calibri" w:cs="Calibri"/>
          <w:sz w:val="24"/>
          <w:szCs w:val="24"/>
        </w:rPr>
        <w:t xml:space="preserve">2025 m.  </w:t>
      </w:r>
      <w:proofErr w:type="spellStart"/>
      <w:r w:rsidRPr="00DA1878">
        <w:rPr>
          <w:rFonts w:ascii="Calibri" w:hAnsi="Calibri" w:cs="Calibri"/>
          <w:sz w:val="24"/>
          <w:szCs w:val="24"/>
        </w:rPr>
        <w:t>Ex</w:t>
      </w:r>
      <w:proofErr w:type="spellEnd"/>
      <w:r w:rsidRPr="00DA1878">
        <w:rPr>
          <w:rFonts w:ascii="Calibri" w:hAnsi="Calibri" w:cs="Calibri"/>
          <w:sz w:val="24"/>
          <w:szCs w:val="24"/>
        </w:rPr>
        <w:t>-ante pirkimų vertinimo duomenys rodo, kad dauguma pirkimų vykdytojų tinkamai pasigrindė pasirinktą pirkimo būdą</w:t>
      </w:r>
      <w:r w:rsidR="000B1DF9">
        <w:rPr>
          <w:rFonts w:ascii="Calibri" w:hAnsi="Calibri" w:cs="Calibri"/>
          <w:sz w:val="24"/>
          <w:szCs w:val="24"/>
        </w:rPr>
        <w:t>.</w:t>
      </w:r>
    </w:p>
    <w:p w14:paraId="124420A1" w14:textId="77777777" w:rsidR="0096338A" w:rsidRPr="00DA1878" w:rsidRDefault="0096338A" w:rsidP="0096338A">
      <w:pPr>
        <w:spacing w:line="276" w:lineRule="auto"/>
        <w:ind w:firstLine="567"/>
        <w:rPr>
          <w:rFonts w:ascii="Calibri" w:hAnsi="Calibri" w:cs="Calibri"/>
          <w:sz w:val="24"/>
          <w:szCs w:val="24"/>
        </w:rPr>
      </w:pPr>
    </w:p>
    <w:p w14:paraId="6F4EF3CB" w14:textId="18090C44" w:rsidR="00C839DE" w:rsidRPr="00DA1878" w:rsidRDefault="00C839DE" w:rsidP="006F38AD">
      <w:pPr>
        <w:spacing w:line="276" w:lineRule="auto"/>
        <w:rPr>
          <w:rFonts w:ascii="Calibri" w:hAnsi="Calibri" w:cs="Calibri"/>
          <w:sz w:val="24"/>
          <w:szCs w:val="24"/>
        </w:rPr>
      </w:pPr>
    </w:p>
    <w:sectPr w:rsidR="00C839DE" w:rsidRPr="00DA1878" w:rsidSect="00FA1489">
      <w:headerReference w:type="default" r:id="rId18"/>
      <w:headerReference w:type="first" r:id="rId19"/>
      <w:type w:val="continuous"/>
      <w:pgSz w:w="12240" w:h="15840"/>
      <w:pgMar w:top="1440" w:right="1440" w:bottom="851" w:left="1440" w:header="720" w:footer="5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E5A84" w14:textId="77777777" w:rsidR="00EA0BEE" w:rsidRDefault="00EA0BEE" w:rsidP="0096338A">
      <w:pPr>
        <w:spacing w:after="0" w:line="240" w:lineRule="auto"/>
      </w:pPr>
      <w:r>
        <w:separator/>
      </w:r>
    </w:p>
  </w:endnote>
  <w:endnote w:type="continuationSeparator" w:id="0">
    <w:p w14:paraId="61574C82" w14:textId="77777777" w:rsidR="00EA0BEE" w:rsidRDefault="00EA0BEE" w:rsidP="00963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C9305" w14:textId="77777777" w:rsidR="00EA0BEE" w:rsidRDefault="00EA0BEE" w:rsidP="0096338A">
      <w:pPr>
        <w:spacing w:after="0" w:line="240" w:lineRule="auto"/>
      </w:pPr>
      <w:r>
        <w:separator/>
      </w:r>
    </w:p>
  </w:footnote>
  <w:footnote w:type="continuationSeparator" w:id="0">
    <w:p w14:paraId="37132E77" w14:textId="77777777" w:rsidR="00EA0BEE" w:rsidRDefault="00EA0BEE" w:rsidP="0096338A">
      <w:pPr>
        <w:spacing w:after="0" w:line="240" w:lineRule="auto"/>
      </w:pPr>
      <w:r>
        <w:continuationSeparator/>
      </w:r>
    </w:p>
  </w:footnote>
  <w:footnote w:id="1">
    <w:p w14:paraId="0ACE036E" w14:textId="7B73D80A" w:rsidR="00CF7D15" w:rsidRPr="00A216F2" w:rsidRDefault="00CF7D15" w:rsidP="00CF7D15">
      <w:pPr>
        <w:pStyle w:val="FootnoteText"/>
        <w:jc w:val="both"/>
        <w:rPr>
          <w:sz w:val="18"/>
          <w:szCs w:val="18"/>
        </w:rPr>
      </w:pPr>
      <w:r w:rsidRPr="00A216F2">
        <w:rPr>
          <w:color w:val="000000"/>
          <w:sz w:val="18"/>
          <w:szCs w:val="18"/>
          <w:vertAlign w:val="superscript"/>
        </w:rPr>
        <w:footnoteRef/>
      </w:r>
      <w:r w:rsidRPr="00A216F2">
        <w:rPr>
          <w:color w:val="000000"/>
          <w:sz w:val="18"/>
          <w:szCs w:val="18"/>
        </w:rPr>
        <w:t xml:space="preserve"> </w:t>
      </w:r>
      <w:r w:rsidR="00CC1A2D" w:rsidRPr="00A216F2">
        <w:rPr>
          <w:color w:val="000000"/>
          <w:sz w:val="18"/>
          <w:szCs w:val="18"/>
        </w:rPr>
        <w:t xml:space="preserve">Sudaryta Viešųjų pirkimų tarnybos direktoriaus 2022 m. vasario 18 d. įsakymu Nr. 1S-49 „Dėl </w:t>
      </w:r>
      <w:bookmarkStart w:id="1" w:name="_Hlk97029537"/>
      <w:r w:rsidR="00CC1A2D" w:rsidRPr="00A216F2">
        <w:rPr>
          <w:color w:val="000000"/>
          <w:sz w:val="18"/>
          <w:szCs w:val="18"/>
        </w:rPr>
        <w:t>Pranešimų vertinimo darbo grupės</w:t>
      </w:r>
      <w:bookmarkEnd w:id="1"/>
      <w:r w:rsidR="00CC1A2D" w:rsidRPr="00A216F2">
        <w:rPr>
          <w:color w:val="000000"/>
          <w:sz w:val="18"/>
          <w:szCs w:val="18"/>
        </w:rPr>
        <w:t xml:space="preserve"> sudarymo ir darbo reglamento patvirtinimo“</w:t>
      </w:r>
      <w:r w:rsidRPr="00A216F2">
        <w:rPr>
          <w:sz w:val="18"/>
          <w:szCs w:val="18"/>
        </w:rPr>
        <w:t>.</w:t>
      </w:r>
    </w:p>
  </w:footnote>
  <w:footnote w:id="2">
    <w:p w14:paraId="6DC2783E" w14:textId="752AA75C" w:rsidR="004C1480" w:rsidRPr="00E92A8C" w:rsidRDefault="004C1480" w:rsidP="004C1480">
      <w:pPr>
        <w:pStyle w:val="Footer"/>
        <w:rPr>
          <w:rFonts w:ascii="Calibri" w:hAnsi="Calibri" w:cs="Calibri"/>
          <w:sz w:val="18"/>
          <w:szCs w:val="18"/>
        </w:rPr>
      </w:pPr>
      <w:r w:rsidRPr="00E92A8C">
        <w:rPr>
          <w:rStyle w:val="FootnoteReference"/>
          <w:sz w:val="18"/>
          <w:szCs w:val="18"/>
        </w:rPr>
        <w:footnoteRef/>
      </w:r>
      <w:r w:rsidRPr="00E92A8C">
        <w:rPr>
          <w:sz w:val="18"/>
          <w:szCs w:val="18"/>
        </w:rPr>
        <w:t xml:space="preserve"> </w:t>
      </w:r>
      <w:r w:rsidRPr="00E92A8C">
        <w:rPr>
          <w:rStyle w:val="normaltextrun"/>
          <w:rFonts w:ascii="Calibri" w:hAnsi="Calibri" w:cs="Calibri"/>
          <w:color w:val="000000"/>
          <w:sz w:val="18"/>
          <w:szCs w:val="18"/>
          <w:shd w:val="clear" w:color="auto" w:fill="FFFFFF"/>
        </w:rPr>
        <w:t>Iš 2025 m. prevencine tvarka peržiūrėtų 537 pirkimų dokumentų, 9 pirkimų planuota pirkimų vertė nežinoma.</w:t>
      </w:r>
      <w:r w:rsidRPr="00E92A8C">
        <w:rPr>
          <w:rStyle w:val="eop"/>
          <w:rFonts w:ascii="Calibri" w:hAnsi="Calibri" w:cs="Calibri"/>
          <w:color w:val="000000"/>
          <w:sz w:val="18"/>
          <w:szCs w:val="18"/>
          <w:shd w:val="clear" w:color="auto" w:fill="FFFFFF"/>
        </w:rPr>
        <w:t> </w:t>
      </w:r>
    </w:p>
    <w:p w14:paraId="73F3B609" w14:textId="588BDB4F" w:rsidR="004C1480" w:rsidRDefault="004C1480">
      <w:pPr>
        <w:pStyle w:val="FootnoteText"/>
      </w:pPr>
    </w:p>
  </w:footnote>
  <w:footnote w:id="3">
    <w:p w14:paraId="25B8C1ED" w14:textId="35CDF9F8" w:rsidR="004C1480" w:rsidRPr="00E92A8C" w:rsidRDefault="004C1480">
      <w:pPr>
        <w:pStyle w:val="FootnoteText"/>
        <w:rPr>
          <w:sz w:val="18"/>
          <w:szCs w:val="18"/>
        </w:rPr>
      </w:pPr>
      <w:r w:rsidRPr="00E92A8C">
        <w:rPr>
          <w:rStyle w:val="FootnoteReference"/>
          <w:sz w:val="18"/>
          <w:szCs w:val="18"/>
        </w:rPr>
        <w:footnoteRef/>
      </w:r>
      <w:r w:rsidRPr="00E92A8C">
        <w:rPr>
          <w:sz w:val="18"/>
          <w:szCs w:val="18"/>
        </w:rPr>
        <w:t xml:space="preserve"> Iš 2025 m. prevencine tvarka peržiūrėtų 401 pirkimų dokumentų, 4 pirkimų planuota pirkimų vertė nežinoma. </w:t>
      </w:r>
    </w:p>
  </w:footnote>
  <w:footnote w:id="4">
    <w:p w14:paraId="7FCCF809" w14:textId="0BC3B3A6" w:rsidR="002633A4" w:rsidRPr="00E92A8C" w:rsidRDefault="002633A4">
      <w:pPr>
        <w:pStyle w:val="FootnoteText"/>
        <w:rPr>
          <w:sz w:val="18"/>
          <w:szCs w:val="18"/>
        </w:rPr>
      </w:pPr>
      <w:r w:rsidRPr="00E92A8C">
        <w:rPr>
          <w:rStyle w:val="FootnoteReference"/>
          <w:sz w:val="18"/>
          <w:szCs w:val="18"/>
        </w:rPr>
        <w:footnoteRef/>
      </w:r>
      <w:r w:rsidRPr="00E92A8C">
        <w:rPr>
          <w:sz w:val="18"/>
          <w:szCs w:val="18"/>
        </w:rPr>
        <w:t xml:space="preserve"> Iš 2025 m. prevencine tvarka peržiūrėtų 100 pirkimų dokumentų, 1 pirkimo planuota pirkimų vertė nežinoma</w:t>
      </w:r>
      <w:r w:rsidR="00E92A8C">
        <w:rPr>
          <w:sz w:val="18"/>
          <w:szCs w:val="18"/>
        </w:rPr>
        <w:t>.</w:t>
      </w:r>
    </w:p>
  </w:footnote>
  <w:footnote w:id="5">
    <w:p w14:paraId="5B104E74" w14:textId="5F60245D" w:rsidR="0098273C" w:rsidRDefault="0098273C" w:rsidP="00BB43FC">
      <w:pPr>
        <w:pStyle w:val="Footer"/>
      </w:pPr>
      <w:r w:rsidRPr="00E92A8C">
        <w:rPr>
          <w:rStyle w:val="FootnoteReference"/>
          <w:sz w:val="18"/>
          <w:szCs w:val="18"/>
        </w:rPr>
        <w:footnoteRef/>
      </w:r>
      <w:r w:rsidRPr="00E92A8C">
        <w:rPr>
          <w:sz w:val="18"/>
          <w:szCs w:val="18"/>
        </w:rPr>
        <w:t xml:space="preserve"> </w:t>
      </w:r>
      <w:r w:rsidRPr="00E92A8C">
        <w:rPr>
          <w:rFonts w:ascii="Calibri" w:hAnsi="Calibri" w:cs="Calibri"/>
          <w:sz w:val="18"/>
          <w:szCs w:val="18"/>
        </w:rPr>
        <w:t>I</w:t>
      </w:r>
      <w:r w:rsidRPr="00E92A8C">
        <w:rPr>
          <w:rStyle w:val="normaltextrun"/>
          <w:rFonts w:ascii="Calibri" w:hAnsi="Calibri" w:cs="Calibri"/>
          <w:color w:val="000000"/>
          <w:sz w:val="18"/>
          <w:szCs w:val="18"/>
          <w:shd w:val="clear" w:color="auto" w:fill="FFFFFF"/>
        </w:rPr>
        <w:t>š 2025 m. prevencine tvarka peržiūrėtų 20 pirkimų dokumentų, 4 pirkimų planuota pirkimų vertė nežinoma.</w:t>
      </w:r>
      <w:r w:rsidRPr="00E92A8C">
        <w:rPr>
          <w:rStyle w:val="eop"/>
          <w:rFonts w:ascii="Calibri" w:hAnsi="Calibri" w:cs="Calibri"/>
          <w:color w:val="000000"/>
          <w:sz w:val="18"/>
          <w:szCs w:val="18"/>
          <w:shd w:val="clear" w:color="auto" w:fill="FFFFFF"/>
        </w:rPr>
        <w:t> </w:t>
      </w:r>
    </w:p>
  </w:footnote>
  <w:footnote w:id="6">
    <w:p w14:paraId="1C64B719" w14:textId="1B8F7055" w:rsidR="00425078" w:rsidRPr="00E92A8C" w:rsidRDefault="00425078" w:rsidP="00425078">
      <w:pPr>
        <w:pStyle w:val="FootnoteText"/>
        <w:rPr>
          <w:sz w:val="18"/>
          <w:szCs w:val="18"/>
        </w:rPr>
      </w:pPr>
      <w:r w:rsidRPr="00E92A8C">
        <w:rPr>
          <w:rStyle w:val="FootnoteReference"/>
          <w:sz w:val="18"/>
          <w:szCs w:val="18"/>
        </w:rPr>
        <w:footnoteRef/>
      </w:r>
      <w:r w:rsidRPr="00E92A8C">
        <w:rPr>
          <w:sz w:val="18"/>
          <w:szCs w:val="18"/>
        </w:rPr>
        <w:t xml:space="preserve"> Iš 2025 m. prevencine tvarka peržiūrėtų </w:t>
      </w:r>
      <w:r w:rsidR="00805FCC">
        <w:rPr>
          <w:sz w:val="18"/>
          <w:szCs w:val="18"/>
        </w:rPr>
        <w:t>521</w:t>
      </w:r>
      <w:r w:rsidRPr="00E92A8C">
        <w:rPr>
          <w:sz w:val="18"/>
          <w:szCs w:val="18"/>
        </w:rPr>
        <w:t xml:space="preserve"> pirkimų dokumentų, </w:t>
      </w:r>
      <w:r w:rsidR="00805FCC">
        <w:rPr>
          <w:sz w:val="18"/>
          <w:szCs w:val="18"/>
        </w:rPr>
        <w:t>9</w:t>
      </w:r>
      <w:r w:rsidRPr="00E92A8C">
        <w:rPr>
          <w:sz w:val="18"/>
          <w:szCs w:val="18"/>
        </w:rPr>
        <w:t xml:space="preserve"> pirkimų planuota pirkimų vertė nežinoma.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274239"/>
      <w:docPartObj>
        <w:docPartGallery w:val="Page Numbers (Top of Page)"/>
        <w:docPartUnique/>
      </w:docPartObj>
    </w:sdtPr>
    <w:sdtEndPr>
      <w:rPr>
        <w:rFonts w:ascii="Calibri" w:hAnsi="Calibri" w:cs="Calibri"/>
        <w:noProof/>
        <w:sz w:val="24"/>
        <w:szCs w:val="24"/>
      </w:rPr>
    </w:sdtEndPr>
    <w:sdtContent>
      <w:p w14:paraId="67F27064" w14:textId="28B658AF" w:rsidR="00A97119" w:rsidRPr="00AA1B9B" w:rsidRDefault="00A97119">
        <w:pPr>
          <w:pStyle w:val="Header"/>
          <w:jc w:val="center"/>
          <w:rPr>
            <w:rFonts w:ascii="Calibri" w:hAnsi="Calibri" w:cs="Calibri"/>
            <w:sz w:val="24"/>
            <w:szCs w:val="24"/>
          </w:rPr>
        </w:pPr>
        <w:r w:rsidRPr="00AA1B9B">
          <w:rPr>
            <w:rFonts w:ascii="Calibri" w:hAnsi="Calibri" w:cs="Calibri"/>
            <w:sz w:val="24"/>
            <w:szCs w:val="24"/>
          </w:rPr>
          <w:fldChar w:fldCharType="begin"/>
        </w:r>
        <w:r w:rsidRPr="0068369D">
          <w:rPr>
            <w:rFonts w:ascii="Calibri" w:hAnsi="Calibri" w:cs="Calibri"/>
            <w:sz w:val="24"/>
            <w:szCs w:val="24"/>
          </w:rPr>
          <w:instrText xml:space="preserve"> PAGE   \* MERGEFORMAT </w:instrText>
        </w:r>
        <w:r w:rsidRPr="00AA1B9B">
          <w:rPr>
            <w:rFonts w:ascii="Calibri" w:hAnsi="Calibri" w:cs="Calibri"/>
            <w:sz w:val="24"/>
            <w:szCs w:val="24"/>
          </w:rPr>
          <w:fldChar w:fldCharType="separate"/>
        </w:r>
        <w:r w:rsidRPr="0068369D">
          <w:rPr>
            <w:rFonts w:ascii="Calibri" w:hAnsi="Calibri" w:cs="Calibri"/>
            <w:noProof/>
            <w:sz w:val="24"/>
            <w:szCs w:val="24"/>
          </w:rPr>
          <w:t>2</w:t>
        </w:r>
        <w:r w:rsidRPr="00AA1B9B">
          <w:rPr>
            <w:rFonts w:ascii="Calibri" w:hAnsi="Calibri" w:cs="Calibri"/>
            <w:noProof/>
            <w:sz w:val="24"/>
            <w:szCs w:val="24"/>
          </w:rPr>
          <w:fldChar w:fldCharType="end"/>
        </w:r>
      </w:p>
    </w:sdtContent>
  </w:sdt>
  <w:p w14:paraId="5518744D" w14:textId="77777777" w:rsidR="008F4DD8" w:rsidRDefault="008F4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F292" w14:textId="0F240E47" w:rsidR="006F7578" w:rsidRDefault="006F7578" w:rsidP="003233B3">
    <w:pPr>
      <w:pStyle w:val="Header"/>
    </w:pPr>
  </w:p>
  <w:p w14:paraId="3431F6CD" w14:textId="77777777" w:rsidR="006F7578" w:rsidRDefault="006F7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E5219"/>
    <w:multiLevelType w:val="hybridMultilevel"/>
    <w:tmpl w:val="5844A3CE"/>
    <w:lvl w:ilvl="0" w:tplc="B66CEA8A">
      <w:start w:val="2025"/>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A80923"/>
    <w:multiLevelType w:val="hybridMultilevel"/>
    <w:tmpl w:val="74CC519A"/>
    <w:lvl w:ilvl="0" w:tplc="16FC39D0">
      <w:start w:val="1"/>
      <w:numFmt w:val="decimal"/>
      <w:lvlText w:val="%1."/>
      <w:lvlJc w:val="left"/>
      <w:pPr>
        <w:ind w:left="786" w:hanging="360"/>
      </w:pPr>
      <w:rPr>
        <w:rFonts w:ascii="Calibri" w:hAnsi="Calibri" w:cs="Calibri"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26D4F"/>
    <w:multiLevelType w:val="multilevel"/>
    <w:tmpl w:val="6ED6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E70179"/>
    <w:multiLevelType w:val="multilevel"/>
    <w:tmpl w:val="64CC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D5049E"/>
    <w:multiLevelType w:val="multilevel"/>
    <w:tmpl w:val="A650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2B6D8F"/>
    <w:multiLevelType w:val="multilevel"/>
    <w:tmpl w:val="8AB2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B04BD0"/>
    <w:multiLevelType w:val="hybridMultilevel"/>
    <w:tmpl w:val="C63C9EC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E7C2026"/>
    <w:multiLevelType w:val="multilevel"/>
    <w:tmpl w:val="0124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1F51E7"/>
    <w:multiLevelType w:val="multilevel"/>
    <w:tmpl w:val="8964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1C2FB3"/>
    <w:multiLevelType w:val="multilevel"/>
    <w:tmpl w:val="5A0A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9AF09FB"/>
    <w:multiLevelType w:val="multilevel"/>
    <w:tmpl w:val="414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3A3879"/>
    <w:multiLevelType w:val="multilevel"/>
    <w:tmpl w:val="EEFA6C46"/>
    <w:lvl w:ilvl="0">
      <w:start w:val="1"/>
      <w:numFmt w:val="decimal"/>
      <w:lvlText w:val="%1."/>
      <w:lvlJc w:val="left"/>
      <w:pPr>
        <w:ind w:left="6031"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D6F6B32"/>
    <w:multiLevelType w:val="multilevel"/>
    <w:tmpl w:val="6AF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4445708">
    <w:abstractNumId w:val="11"/>
  </w:num>
  <w:num w:numId="2" w16cid:durableId="1366713820">
    <w:abstractNumId w:val="1"/>
  </w:num>
  <w:num w:numId="3" w16cid:durableId="2107654190">
    <w:abstractNumId w:val="2"/>
  </w:num>
  <w:num w:numId="4" w16cid:durableId="1531069028">
    <w:abstractNumId w:val="9"/>
  </w:num>
  <w:num w:numId="5" w16cid:durableId="1720008102">
    <w:abstractNumId w:val="4"/>
  </w:num>
  <w:num w:numId="6" w16cid:durableId="1189682603">
    <w:abstractNumId w:val="5"/>
  </w:num>
  <w:num w:numId="7" w16cid:durableId="37515022">
    <w:abstractNumId w:val="8"/>
  </w:num>
  <w:num w:numId="8" w16cid:durableId="1394428190">
    <w:abstractNumId w:val="0"/>
  </w:num>
  <w:num w:numId="9" w16cid:durableId="1308893739">
    <w:abstractNumId w:val="12"/>
  </w:num>
  <w:num w:numId="10" w16cid:durableId="878468510">
    <w:abstractNumId w:val="10"/>
  </w:num>
  <w:num w:numId="11" w16cid:durableId="1378313697">
    <w:abstractNumId w:val="7"/>
  </w:num>
  <w:num w:numId="12" w16cid:durableId="1308171758">
    <w:abstractNumId w:val="3"/>
  </w:num>
  <w:num w:numId="13" w16cid:durableId="691733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8A"/>
    <w:rsid w:val="00030B1A"/>
    <w:rsid w:val="00043259"/>
    <w:rsid w:val="00060A17"/>
    <w:rsid w:val="00072FB6"/>
    <w:rsid w:val="00073852"/>
    <w:rsid w:val="0007566E"/>
    <w:rsid w:val="00085AB5"/>
    <w:rsid w:val="000A1021"/>
    <w:rsid w:val="000A2D45"/>
    <w:rsid w:val="000B1DF9"/>
    <w:rsid w:val="000C4999"/>
    <w:rsid w:val="000F1679"/>
    <w:rsid w:val="000F2601"/>
    <w:rsid w:val="00111EDD"/>
    <w:rsid w:val="001260B9"/>
    <w:rsid w:val="001630BC"/>
    <w:rsid w:val="00173C94"/>
    <w:rsid w:val="0018713F"/>
    <w:rsid w:val="001B15D5"/>
    <w:rsid w:val="001B4520"/>
    <w:rsid w:val="001C2CF9"/>
    <w:rsid w:val="001C42FB"/>
    <w:rsid w:val="001F2B59"/>
    <w:rsid w:val="001F5C9C"/>
    <w:rsid w:val="001F7FA5"/>
    <w:rsid w:val="00223A20"/>
    <w:rsid w:val="00235BB7"/>
    <w:rsid w:val="00253B62"/>
    <w:rsid w:val="002573BF"/>
    <w:rsid w:val="002608D3"/>
    <w:rsid w:val="002626D3"/>
    <w:rsid w:val="002633A4"/>
    <w:rsid w:val="00272A83"/>
    <w:rsid w:val="002A2160"/>
    <w:rsid w:val="002A3F28"/>
    <w:rsid w:val="002B3D20"/>
    <w:rsid w:val="002C135E"/>
    <w:rsid w:val="002C45F3"/>
    <w:rsid w:val="002E2BA2"/>
    <w:rsid w:val="002F0ADC"/>
    <w:rsid w:val="00300A86"/>
    <w:rsid w:val="003134FD"/>
    <w:rsid w:val="00314734"/>
    <w:rsid w:val="003159D4"/>
    <w:rsid w:val="003233B3"/>
    <w:rsid w:val="0032414E"/>
    <w:rsid w:val="0035065E"/>
    <w:rsid w:val="00351D85"/>
    <w:rsid w:val="00354086"/>
    <w:rsid w:val="00360F72"/>
    <w:rsid w:val="003910FC"/>
    <w:rsid w:val="00391A83"/>
    <w:rsid w:val="00393C0A"/>
    <w:rsid w:val="0039698A"/>
    <w:rsid w:val="003B59A5"/>
    <w:rsid w:val="003D630C"/>
    <w:rsid w:val="003D7260"/>
    <w:rsid w:val="003E7770"/>
    <w:rsid w:val="00402E9B"/>
    <w:rsid w:val="00416748"/>
    <w:rsid w:val="00425078"/>
    <w:rsid w:val="004355B5"/>
    <w:rsid w:val="00441C39"/>
    <w:rsid w:val="004501DB"/>
    <w:rsid w:val="00465104"/>
    <w:rsid w:val="00473A5D"/>
    <w:rsid w:val="00480B4B"/>
    <w:rsid w:val="00480C79"/>
    <w:rsid w:val="00481859"/>
    <w:rsid w:val="00484A55"/>
    <w:rsid w:val="00485E0A"/>
    <w:rsid w:val="004902AE"/>
    <w:rsid w:val="004A3911"/>
    <w:rsid w:val="004B3455"/>
    <w:rsid w:val="004C1480"/>
    <w:rsid w:val="004C34E3"/>
    <w:rsid w:val="004D5AC6"/>
    <w:rsid w:val="004D7F81"/>
    <w:rsid w:val="004E2F46"/>
    <w:rsid w:val="00501906"/>
    <w:rsid w:val="00520A28"/>
    <w:rsid w:val="00524C15"/>
    <w:rsid w:val="00524C81"/>
    <w:rsid w:val="00527190"/>
    <w:rsid w:val="00531070"/>
    <w:rsid w:val="00547BF1"/>
    <w:rsid w:val="005832A5"/>
    <w:rsid w:val="005A3E4B"/>
    <w:rsid w:val="005A64D7"/>
    <w:rsid w:val="005B0AA1"/>
    <w:rsid w:val="005B22D1"/>
    <w:rsid w:val="005B3C0B"/>
    <w:rsid w:val="005D5329"/>
    <w:rsid w:val="006047AF"/>
    <w:rsid w:val="006058F2"/>
    <w:rsid w:val="00622985"/>
    <w:rsid w:val="0062406C"/>
    <w:rsid w:val="00624D3D"/>
    <w:rsid w:val="00625CF2"/>
    <w:rsid w:val="006267B9"/>
    <w:rsid w:val="00627D60"/>
    <w:rsid w:val="00635BB6"/>
    <w:rsid w:val="00640598"/>
    <w:rsid w:val="006561F9"/>
    <w:rsid w:val="00662454"/>
    <w:rsid w:val="00670448"/>
    <w:rsid w:val="006827AB"/>
    <w:rsid w:val="0068369D"/>
    <w:rsid w:val="00683B0D"/>
    <w:rsid w:val="006943A5"/>
    <w:rsid w:val="006B0F85"/>
    <w:rsid w:val="006B4D3E"/>
    <w:rsid w:val="006B50AC"/>
    <w:rsid w:val="006B576B"/>
    <w:rsid w:val="006C4960"/>
    <w:rsid w:val="006D4D82"/>
    <w:rsid w:val="006E79A3"/>
    <w:rsid w:val="006F38AD"/>
    <w:rsid w:val="006F61A0"/>
    <w:rsid w:val="006F7578"/>
    <w:rsid w:val="00702B88"/>
    <w:rsid w:val="00702BC8"/>
    <w:rsid w:val="00705E7D"/>
    <w:rsid w:val="00715C9F"/>
    <w:rsid w:val="00720D3D"/>
    <w:rsid w:val="00732B4D"/>
    <w:rsid w:val="00737E6B"/>
    <w:rsid w:val="0074207A"/>
    <w:rsid w:val="00747BF1"/>
    <w:rsid w:val="00757D89"/>
    <w:rsid w:val="00770C59"/>
    <w:rsid w:val="007776E7"/>
    <w:rsid w:val="007826E9"/>
    <w:rsid w:val="00795F83"/>
    <w:rsid w:val="007A665C"/>
    <w:rsid w:val="007B49AA"/>
    <w:rsid w:val="007C2D17"/>
    <w:rsid w:val="007D14E6"/>
    <w:rsid w:val="007D7597"/>
    <w:rsid w:val="007F0C1D"/>
    <w:rsid w:val="007F30F0"/>
    <w:rsid w:val="007F6AE0"/>
    <w:rsid w:val="00803D9D"/>
    <w:rsid w:val="00805FCC"/>
    <w:rsid w:val="0080644B"/>
    <w:rsid w:val="0081676F"/>
    <w:rsid w:val="00824C1A"/>
    <w:rsid w:val="008309BE"/>
    <w:rsid w:val="008332C4"/>
    <w:rsid w:val="008344FA"/>
    <w:rsid w:val="00836E8A"/>
    <w:rsid w:val="00847379"/>
    <w:rsid w:val="00852DD3"/>
    <w:rsid w:val="0085333F"/>
    <w:rsid w:val="008545A0"/>
    <w:rsid w:val="00866101"/>
    <w:rsid w:val="00891C0F"/>
    <w:rsid w:val="008A0C15"/>
    <w:rsid w:val="008A423D"/>
    <w:rsid w:val="008A66D7"/>
    <w:rsid w:val="008A6BA3"/>
    <w:rsid w:val="008B539F"/>
    <w:rsid w:val="008D2FFF"/>
    <w:rsid w:val="008D7C3C"/>
    <w:rsid w:val="008F4DD8"/>
    <w:rsid w:val="009056C7"/>
    <w:rsid w:val="00921179"/>
    <w:rsid w:val="009216D3"/>
    <w:rsid w:val="009469AB"/>
    <w:rsid w:val="00951443"/>
    <w:rsid w:val="00951F67"/>
    <w:rsid w:val="009550C0"/>
    <w:rsid w:val="0096338A"/>
    <w:rsid w:val="009800CC"/>
    <w:rsid w:val="009825F0"/>
    <w:rsid w:val="009826B5"/>
    <w:rsid w:val="0098273C"/>
    <w:rsid w:val="00982BE6"/>
    <w:rsid w:val="009A65C4"/>
    <w:rsid w:val="009E7A38"/>
    <w:rsid w:val="009F6CD9"/>
    <w:rsid w:val="009F7705"/>
    <w:rsid w:val="00A0102A"/>
    <w:rsid w:val="00A13E6E"/>
    <w:rsid w:val="00A216F2"/>
    <w:rsid w:val="00A217EE"/>
    <w:rsid w:val="00A243F6"/>
    <w:rsid w:val="00A26F12"/>
    <w:rsid w:val="00A347A5"/>
    <w:rsid w:val="00A34926"/>
    <w:rsid w:val="00A50CD8"/>
    <w:rsid w:val="00A53E00"/>
    <w:rsid w:val="00A64F1F"/>
    <w:rsid w:val="00A84C7C"/>
    <w:rsid w:val="00A85127"/>
    <w:rsid w:val="00A90141"/>
    <w:rsid w:val="00A97119"/>
    <w:rsid w:val="00AA1B9B"/>
    <w:rsid w:val="00AB6B29"/>
    <w:rsid w:val="00AD3EEE"/>
    <w:rsid w:val="00AF1367"/>
    <w:rsid w:val="00AF4D2B"/>
    <w:rsid w:val="00B11003"/>
    <w:rsid w:val="00B3118A"/>
    <w:rsid w:val="00B3122B"/>
    <w:rsid w:val="00B46DA3"/>
    <w:rsid w:val="00B5633B"/>
    <w:rsid w:val="00B57517"/>
    <w:rsid w:val="00B65A02"/>
    <w:rsid w:val="00B6638D"/>
    <w:rsid w:val="00B97976"/>
    <w:rsid w:val="00BB43FC"/>
    <w:rsid w:val="00BB6849"/>
    <w:rsid w:val="00BC5665"/>
    <w:rsid w:val="00BC6180"/>
    <w:rsid w:val="00BE2E56"/>
    <w:rsid w:val="00BE4847"/>
    <w:rsid w:val="00BE5232"/>
    <w:rsid w:val="00C07BAF"/>
    <w:rsid w:val="00C12A43"/>
    <w:rsid w:val="00C14B6A"/>
    <w:rsid w:val="00C308EC"/>
    <w:rsid w:val="00C60EAF"/>
    <w:rsid w:val="00C62BEB"/>
    <w:rsid w:val="00C64C2B"/>
    <w:rsid w:val="00C7438B"/>
    <w:rsid w:val="00C8322B"/>
    <w:rsid w:val="00C839DE"/>
    <w:rsid w:val="00C90784"/>
    <w:rsid w:val="00C91EB6"/>
    <w:rsid w:val="00C931B9"/>
    <w:rsid w:val="00C93FF4"/>
    <w:rsid w:val="00CA03E0"/>
    <w:rsid w:val="00CA2190"/>
    <w:rsid w:val="00CC1A2D"/>
    <w:rsid w:val="00CC26F1"/>
    <w:rsid w:val="00CE04FF"/>
    <w:rsid w:val="00CE11C8"/>
    <w:rsid w:val="00CE4ABA"/>
    <w:rsid w:val="00CF7D15"/>
    <w:rsid w:val="00D002F4"/>
    <w:rsid w:val="00D1085E"/>
    <w:rsid w:val="00D13190"/>
    <w:rsid w:val="00D45ACC"/>
    <w:rsid w:val="00D543C4"/>
    <w:rsid w:val="00D625DB"/>
    <w:rsid w:val="00D97C60"/>
    <w:rsid w:val="00DA1878"/>
    <w:rsid w:val="00DA3A98"/>
    <w:rsid w:val="00DB15FC"/>
    <w:rsid w:val="00DC0366"/>
    <w:rsid w:val="00DC538D"/>
    <w:rsid w:val="00DD0A4B"/>
    <w:rsid w:val="00DF4214"/>
    <w:rsid w:val="00E00B92"/>
    <w:rsid w:val="00E026FA"/>
    <w:rsid w:val="00E10F27"/>
    <w:rsid w:val="00E11D71"/>
    <w:rsid w:val="00E156A9"/>
    <w:rsid w:val="00E2148B"/>
    <w:rsid w:val="00E32924"/>
    <w:rsid w:val="00E36D09"/>
    <w:rsid w:val="00E508DE"/>
    <w:rsid w:val="00E52943"/>
    <w:rsid w:val="00E563DF"/>
    <w:rsid w:val="00E57997"/>
    <w:rsid w:val="00E62504"/>
    <w:rsid w:val="00E83D22"/>
    <w:rsid w:val="00E92A8C"/>
    <w:rsid w:val="00E95AAB"/>
    <w:rsid w:val="00EA0BEE"/>
    <w:rsid w:val="00EB2660"/>
    <w:rsid w:val="00EC33AD"/>
    <w:rsid w:val="00EC714F"/>
    <w:rsid w:val="00ED7E80"/>
    <w:rsid w:val="00EE17B7"/>
    <w:rsid w:val="00F154DE"/>
    <w:rsid w:val="00F15CDA"/>
    <w:rsid w:val="00F26D42"/>
    <w:rsid w:val="00F310D3"/>
    <w:rsid w:val="00F3692F"/>
    <w:rsid w:val="00F41399"/>
    <w:rsid w:val="00F52692"/>
    <w:rsid w:val="00F62CDD"/>
    <w:rsid w:val="00F715E1"/>
    <w:rsid w:val="00FA1489"/>
    <w:rsid w:val="00FC024C"/>
    <w:rsid w:val="00FE23B3"/>
    <w:rsid w:val="00FE4796"/>
    <w:rsid w:val="00FE72F0"/>
    <w:rsid w:val="00FF5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B2D17"/>
  <w15:chartTrackingRefBased/>
  <w15:docId w15:val="{1CFDA778-FDC6-48EA-BB08-D449EA11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38A"/>
    <w:pPr>
      <w:spacing w:line="259" w:lineRule="auto"/>
    </w:pPr>
    <w:rPr>
      <w:sz w:val="22"/>
      <w:szCs w:val="22"/>
      <w:lang w:val="lt-LT"/>
    </w:rPr>
  </w:style>
  <w:style w:type="paragraph" w:styleId="Heading1">
    <w:name w:val="heading 1"/>
    <w:basedOn w:val="Normal"/>
    <w:next w:val="Normal"/>
    <w:link w:val="Heading1Char"/>
    <w:uiPriority w:val="9"/>
    <w:qFormat/>
    <w:rsid w:val="00963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3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3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3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3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3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3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3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3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3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33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3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3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3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3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3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3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38A"/>
    <w:rPr>
      <w:rFonts w:eastAsiaTheme="majorEastAsia" w:cstheme="majorBidi"/>
      <w:color w:val="272727" w:themeColor="text1" w:themeTint="D8"/>
    </w:rPr>
  </w:style>
  <w:style w:type="paragraph" w:styleId="Title">
    <w:name w:val="Title"/>
    <w:basedOn w:val="Normal"/>
    <w:next w:val="Normal"/>
    <w:link w:val="TitleChar"/>
    <w:uiPriority w:val="10"/>
    <w:qFormat/>
    <w:rsid w:val="00963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3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3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38A"/>
    <w:pPr>
      <w:spacing w:before="160"/>
      <w:jc w:val="center"/>
    </w:pPr>
    <w:rPr>
      <w:i/>
      <w:iCs/>
      <w:color w:val="404040" w:themeColor="text1" w:themeTint="BF"/>
    </w:rPr>
  </w:style>
  <w:style w:type="character" w:customStyle="1" w:styleId="QuoteChar">
    <w:name w:val="Quote Char"/>
    <w:basedOn w:val="DefaultParagraphFont"/>
    <w:link w:val="Quote"/>
    <w:uiPriority w:val="29"/>
    <w:rsid w:val="0096338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uiPriority w:val="34"/>
    <w:qFormat/>
    <w:rsid w:val="0096338A"/>
    <w:pPr>
      <w:ind w:left="720"/>
      <w:contextualSpacing/>
    </w:pPr>
  </w:style>
  <w:style w:type="character" w:styleId="IntenseEmphasis">
    <w:name w:val="Intense Emphasis"/>
    <w:basedOn w:val="DefaultParagraphFont"/>
    <w:uiPriority w:val="21"/>
    <w:qFormat/>
    <w:rsid w:val="0096338A"/>
    <w:rPr>
      <w:i/>
      <w:iCs/>
      <w:color w:val="0F4761" w:themeColor="accent1" w:themeShade="BF"/>
    </w:rPr>
  </w:style>
  <w:style w:type="paragraph" w:styleId="IntenseQuote">
    <w:name w:val="Intense Quote"/>
    <w:basedOn w:val="Normal"/>
    <w:next w:val="Normal"/>
    <w:link w:val="IntenseQuoteChar"/>
    <w:uiPriority w:val="30"/>
    <w:qFormat/>
    <w:rsid w:val="00963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38A"/>
    <w:rPr>
      <w:i/>
      <w:iCs/>
      <w:color w:val="0F4761" w:themeColor="accent1" w:themeShade="BF"/>
    </w:rPr>
  </w:style>
  <w:style w:type="character" w:styleId="IntenseReference">
    <w:name w:val="Intense Reference"/>
    <w:basedOn w:val="DefaultParagraphFont"/>
    <w:uiPriority w:val="32"/>
    <w:qFormat/>
    <w:rsid w:val="0096338A"/>
    <w:rPr>
      <w:b/>
      <w:bCs/>
      <w:smallCaps/>
      <w:color w:val="0F4761" w:themeColor="accent1" w:themeShade="BF"/>
      <w:spacing w:val="5"/>
    </w:rPr>
  </w:style>
  <w:style w:type="character" w:styleId="Hyperlink">
    <w:name w:val="Hyperlink"/>
    <w:basedOn w:val="DefaultParagraphFont"/>
    <w:uiPriority w:val="99"/>
    <w:unhideWhenUsed/>
    <w:rsid w:val="0096338A"/>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96338A"/>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rsid w:val="0096338A"/>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96338A"/>
    <w:rPr>
      <w:vertAlign w:val="superscript"/>
    </w:rPr>
  </w:style>
  <w:style w:type="paragraph" w:styleId="TOCHeading">
    <w:name w:val="TOC Heading"/>
    <w:basedOn w:val="Heading1"/>
    <w:next w:val="Normal"/>
    <w:uiPriority w:val="39"/>
    <w:unhideWhenUsed/>
    <w:qFormat/>
    <w:rsid w:val="0096338A"/>
    <w:pPr>
      <w:spacing w:before="240" w:after="0"/>
      <w:outlineLvl w:val="9"/>
    </w:pPr>
    <w:rPr>
      <w:kern w:val="0"/>
      <w:sz w:val="32"/>
      <w:szCs w:val="32"/>
      <w:lang w:eastAsia="lt-LT"/>
      <w14:ligatures w14:val="none"/>
    </w:rPr>
  </w:style>
  <w:style w:type="paragraph" w:styleId="TOC1">
    <w:name w:val="toc 1"/>
    <w:basedOn w:val="Normal"/>
    <w:next w:val="Normal"/>
    <w:autoRedefine/>
    <w:uiPriority w:val="39"/>
    <w:unhideWhenUsed/>
    <w:rsid w:val="0096338A"/>
    <w:pPr>
      <w:tabs>
        <w:tab w:val="left" w:pos="284"/>
        <w:tab w:val="right" w:leader="dot" w:pos="9628"/>
      </w:tabs>
      <w:spacing w:after="100"/>
    </w:pPr>
  </w:style>
  <w:style w:type="paragraph" w:styleId="TOC2">
    <w:name w:val="toc 2"/>
    <w:basedOn w:val="Normal"/>
    <w:next w:val="Normal"/>
    <w:autoRedefine/>
    <w:uiPriority w:val="39"/>
    <w:unhideWhenUsed/>
    <w:rsid w:val="0096338A"/>
    <w:pPr>
      <w:tabs>
        <w:tab w:val="left" w:pos="709"/>
        <w:tab w:val="right" w:leader="dot" w:pos="9628"/>
      </w:tabs>
      <w:spacing w:after="100"/>
      <w:ind w:left="220"/>
    </w:pPr>
  </w:style>
  <w:style w:type="character" w:customStyle="1" w:styleId="normaltextrun">
    <w:name w:val="normaltextrun"/>
    <w:basedOn w:val="DefaultParagraphFont"/>
    <w:rsid w:val="00DA1878"/>
  </w:style>
  <w:style w:type="character" w:styleId="FollowedHyperlink">
    <w:name w:val="FollowedHyperlink"/>
    <w:basedOn w:val="DefaultParagraphFont"/>
    <w:uiPriority w:val="99"/>
    <w:semiHidden/>
    <w:unhideWhenUsed/>
    <w:rsid w:val="00354086"/>
    <w:rPr>
      <w:color w:val="96607D" w:themeColor="followedHyperlink"/>
      <w:u w:val="single"/>
    </w:rPr>
  </w:style>
  <w:style w:type="character" w:customStyle="1" w:styleId="eop">
    <w:name w:val="eop"/>
    <w:basedOn w:val="DefaultParagraphFont"/>
    <w:rsid w:val="008D7C3C"/>
  </w:style>
  <w:style w:type="paragraph" w:customStyle="1" w:styleId="paragraph">
    <w:name w:val="paragraph"/>
    <w:basedOn w:val="Normal"/>
    <w:rsid w:val="003134F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superscript">
    <w:name w:val="superscript"/>
    <w:basedOn w:val="DefaultParagraphFont"/>
    <w:rsid w:val="003134FD"/>
  </w:style>
  <w:style w:type="paragraph" w:styleId="Header">
    <w:name w:val="header"/>
    <w:basedOn w:val="Normal"/>
    <w:link w:val="HeaderChar"/>
    <w:uiPriority w:val="99"/>
    <w:unhideWhenUsed/>
    <w:rsid w:val="00187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13F"/>
    <w:rPr>
      <w:sz w:val="22"/>
      <w:szCs w:val="22"/>
      <w:lang w:val="lt-LT"/>
    </w:rPr>
  </w:style>
  <w:style w:type="paragraph" w:styleId="Footer">
    <w:name w:val="footer"/>
    <w:basedOn w:val="Normal"/>
    <w:link w:val="FooterChar"/>
    <w:uiPriority w:val="99"/>
    <w:unhideWhenUsed/>
    <w:rsid w:val="00187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13F"/>
    <w:rPr>
      <w:sz w:val="22"/>
      <w:szCs w:val="22"/>
      <w:lang w:val="lt-LT"/>
    </w:rPr>
  </w:style>
  <w:style w:type="paragraph" w:styleId="Revision">
    <w:name w:val="Revision"/>
    <w:hidden/>
    <w:uiPriority w:val="99"/>
    <w:semiHidden/>
    <w:rsid w:val="00BC5665"/>
    <w:pPr>
      <w:spacing w:after="0" w:line="240" w:lineRule="auto"/>
    </w:pPr>
    <w:rPr>
      <w:sz w:val="22"/>
      <w:szCs w:val="22"/>
      <w:lang w:val="lt-LT"/>
    </w:rPr>
  </w:style>
  <w:style w:type="character" w:styleId="CommentReference">
    <w:name w:val="annotation reference"/>
    <w:basedOn w:val="DefaultParagraphFont"/>
    <w:uiPriority w:val="99"/>
    <w:semiHidden/>
    <w:unhideWhenUsed/>
    <w:rsid w:val="00465104"/>
    <w:rPr>
      <w:sz w:val="16"/>
      <w:szCs w:val="16"/>
    </w:rPr>
  </w:style>
  <w:style w:type="paragraph" w:styleId="CommentText">
    <w:name w:val="annotation text"/>
    <w:basedOn w:val="Normal"/>
    <w:link w:val="CommentTextChar"/>
    <w:uiPriority w:val="99"/>
    <w:unhideWhenUsed/>
    <w:rsid w:val="00465104"/>
    <w:pPr>
      <w:spacing w:line="240" w:lineRule="auto"/>
    </w:pPr>
    <w:rPr>
      <w:sz w:val="20"/>
      <w:szCs w:val="20"/>
    </w:rPr>
  </w:style>
  <w:style w:type="character" w:customStyle="1" w:styleId="CommentTextChar">
    <w:name w:val="Comment Text Char"/>
    <w:basedOn w:val="DefaultParagraphFont"/>
    <w:link w:val="CommentText"/>
    <w:uiPriority w:val="99"/>
    <w:rsid w:val="00465104"/>
    <w:rPr>
      <w:sz w:val="20"/>
      <w:szCs w:val="20"/>
      <w:lang w:val="lt-LT"/>
    </w:rPr>
  </w:style>
  <w:style w:type="paragraph" w:styleId="CommentSubject">
    <w:name w:val="annotation subject"/>
    <w:basedOn w:val="CommentText"/>
    <w:next w:val="CommentText"/>
    <w:link w:val="CommentSubjectChar"/>
    <w:uiPriority w:val="99"/>
    <w:semiHidden/>
    <w:unhideWhenUsed/>
    <w:rsid w:val="00465104"/>
    <w:rPr>
      <w:b/>
      <w:bCs/>
    </w:rPr>
  </w:style>
  <w:style w:type="character" w:customStyle="1" w:styleId="CommentSubjectChar">
    <w:name w:val="Comment Subject Char"/>
    <w:basedOn w:val="CommentTextChar"/>
    <w:link w:val="CommentSubject"/>
    <w:uiPriority w:val="99"/>
    <w:semiHidden/>
    <w:rsid w:val="00465104"/>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hyperlink" Target="https://vpt.lrv.lt/lt/pirkimu-vykdymo-prieziura/prevencine-tvarka-perziuretiems-pirkimams-teiktos-rekomendacijo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vptlt-my.sharepoint.com/personal/vaida_misiuniene_vpt_lt/Documents/Desktop/grafika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lt-LT" sz="1200">
                <a:solidFill>
                  <a:schemeClr val="bg1"/>
                </a:solidFill>
                <a:latin typeface="Calibri" panose="020F0502020204030204" pitchFamily="34" charset="0"/>
                <a:ea typeface="Calibri" panose="020F0502020204030204" pitchFamily="34" charset="0"/>
                <a:cs typeface="Calibri" panose="020F0502020204030204" pitchFamily="34" charset="0"/>
              </a:rPr>
              <a:t>2025 metais prevencine tvarka peržiūrėti pirkimai</a:t>
            </a:r>
            <a:r>
              <a:rPr lang="lt-LT" sz="1200" baseline="0">
                <a:solidFill>
                  <a:schemeClr val="bg1"/>
                </a:solidFill>
                <a:latin typeface="Calibri" panose="020F0502020204030204" pitchFamily="34" charset="0"/>
                <a:ea typeface="Calibri" panose="020F0502020204030204" pitchFamily="34" charset="0"/>
                <a:cs typeface="Calibri" panose="020F0502020204030204" pitchFamily="34" charset="0"/>
              </a:rPr>
              <a:t> (</a:t>
            </a:r>
            <a:r>
              <a:rPr lang="lt-LT" sz="1200">
                <a:solidFill>
                  <a:schemeClr val="bg1"/>
                </a:solidFill>
                <a:latin typeface="Calibri" panose="020F0502020204030204" pitchFamily="34" charset="0"/>
                <a:ea typeface="Calibri" panose="020F0502020204030204" pitchFamily="34" charset="0"/>
                <a:cs typeface="Calibri" panose="020F0502020204030204" pitchFamily="34" charset="0"/>
              </a:rPr>
              <a:t>proc.) </a:t>
            </a:r>
            <a:endParaRPr lang="en-US" sz="1200">
              <a:solidFill>
                <a:schemeClr val="bg1"/>
              </a:solidFill>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519-4845-AE3B-47F220ACB4A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519-4845-AE3B-47F220ACB4A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519-4845-AE3B-47F220ACB4A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519-4845-AE3B-47F220ACB4AF}"/>
              </c:ext>
            </c:extLst>
          </c:dPt>
          <c:dLbls>
            <c:dLbl>
              <c:idx val="0"/>
              <c:tx>
                <c:rich>
                  <a:bodyPr/>
                  <a:lstStyle/>
                  <a:p>
                    <a:r>
                      <a:rPr lang="en-US"/>
                      <a:t>75,09 %</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2519-4845-AE3B-47F220ACB4AF}"/>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Sheet1!$F$7:$F$10</c:f>
              <c:strCache>
                <c:ptCount val="4"/>
                <c:pt idx="0">
                  <c:v>401 pastatų statybos darbų pirkimas</c:v>
                </c:pt>
                <c:pt idx="1">
                  <c:v>16 konkrečių DPS pirkimų</c:v>
                </c:pt>
                <c:pt idx="2">
                  <c:v>100 Ex-ante pirkimų</c:v>
                </c:pt>
                <c:pt idx="3">
                  <c:v>20 darbo grupės pirkimai</c:v>
                </c:pt>
              </c:strCache>
            </c:strRef>
          </c:cat>
          <c:val>
            <c:numRef>
              <c:f>Sheet1!$G$7:$G$10</c:f>
              <c:numCache>
                <c:formatCode>General</c:formatCode>
                <c:ptCount val="4"/>
                <c:pt idx="0">
                  <c:v>401</c:v>
                </c:pt>
                <c:pt idx="1">
                  <c:v>16</c:v>
                </c:pt>
                <c:pt idx="2">
                  <c:v>100</c:v>
                </c:pt>
                <c:pt idx="3">
                  <c:v>20</c:v>
                </c:pt>
              </c:numCache>
            </c:numRef>
          </c:val>
          <c:extLst>
            <c:ext xmlns:c16="http://schemas.microsoft.com/office/drawing/2014/chart" uri="{C3380CC4-5D6E-409C-BE32-E72D297353CC}">
              <c16:uniqueId val="{00000008-2519-4845-AE3B-47F220ACB4AF}"/>
            </c:ext>
          </c:extLst>
        </c:ser>
        <c:dLbls>
          <c:showLegendKey val="0"/>
          <c:showVal val="0"/>
          <c:showCatName val="0"/>
          <c:showSerName val="0"/>
          <c:showPercent val="0"/>
          <c:showBubbleSize val="0"/>
          <c:showLeaderLines val="1"/>
        </c:dLbls>
      </c:pie3DChart>
      <c:spPr>
        <a:solidFill>
          <a:schemeClr val="tx1">
            <a:lumMod val="75000"/>
            <a:lumOff val="25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tx1">
        <a:lumMod val="75000"/>
        <a:lumOff val="25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bg1"/>
                </a:solidFill>
                <a:latin typeface="+mn-lt"/>
                <a:ea typeface="+mn-ea"/>
                <a:cs typeface="+mn-cs"/>
              </a:defRPr>
            </a:pPr>
            <a:r>
              <a:rPr lang="lt-LT">
                <a:solidFill>
                  <a:schemeClr val="bg1"/>
                </a:solidFill>
              </a:rPr>
              <a:t>2025 m. peržiūrėti pirkimai pagal taikomą įstatymą (proc.)</a:t>
            </a:r>
            <a:endParaRPr lang="en-US">
              <a:solidFill>
                <a:schemeClr val="bg1"/>
              </a:solidFill>
            </a:endParaRPr>
          </a:p>
        </c:rich>
      </c:tx>
      <c:overlay val="0"/>
      <c:spPr>
        <a:solidFill>
          <a:schemeClr val="tx1">
            <a:lumMod val="75000"/>
            <a:lumOff val="25000"/>
          </a:schemeClr>
        </a:solidFill>
        <a:ln>
          <a:noFill/>
        </a:ln>
        <a:effectLst/>
      </c:spPr>
      <c:txPr>
        <a:bodyPr rot="0" spcFirstLastPara="1" vertOverflow="ellipsis" vert="horz" wrap="square" anchor="ctr" anchorCtr="1"/>
        <a:lstStyle/>
        <a:p>
          <a:pPr>
            <a:defRPr sz="1400" b="0" i="0" u="none" strike="noStrike" kern="1200" spc="0" baseline="0">
              <a:solidFill>
                <a:schemeClr val="bg1"/>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A3B-424A-B58E-9055F8A3D51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A3B-424A-B58E-9055F8A3D51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A3B-424A-B58E-9055F8A3D516}"/>
              </c:ext>
            </c:extLst>
          </c:dPt>
          <c:dLbls>
            <c:dLbl>
              <c:idx val="0"/>
              <c:tx>
                <c:rich>
                  <a:bodyPr/>
                  <a:lstStyle/>
                  <a:p>
                    <a:r>
                      <a:rPr lang="en-US"/>
                      <a:t>97,02%</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7A3B-424A-B58E-9055F8A3D516}"/>
                </c:ext>
              </c:extLst>
            </c:dLbl>
            <c:dLbl>
              <c:idx val="1"/>
              <c:tx>
                <c:rich>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r>
                      <a:rPr lang="en-US"/>
                      <a:t>2,79%</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layout>
                    <c:manualLayout>
                      <c:w val="7.8202995008319467E-2"/>
                      <c:h val="6.6158403652312195E-2"/>
                    </c:manualLayout>
                  </c15:layout>
                  <c15:showDataLabelsRange val="0"/>
                </c:ext>
                <c:ext xmlns:c16="http://schemas.microsoft.com/office/drawing/2014/chart" uri="{C3380CC4-5D6E-409C-BE32-E72D297353CC}">
                  <c16:uniqueId val="{00000003-7A3B-424A-B58E-9055F8A3D516}"/>
                </c:ext>
              </c:extLst>
            </c:dLbl>
            <c:dLbl>
              <c:idx val="2"/>
              <c:tx>
                <c:rich>
                  <a:bodyPr/>
                  <a:lstStyle/>
                  <a:p>
                    <a:r>
                      <a:rPr lang="en-US"/>
                      <a:t>0,19%</a:t>
                    </a:r>
                  </a:p>
                </c:rich>
              </c:tx>
              <c:showLegendKey val="0"/>
              <c:showVal val="0"/>
              <c:showCatName val="0"/>
              <c:showSerName val="0"/>
              <c:showPercent val="1"/>
              <c:showBubbleSize val="0"/>
              <c:extLst>
                <c:ext xmlns:c15="http://schemas.microsoft.com/office/drawing/2012/chart" uri="{CE6537A1-D6FC-4f65-9D91-7224C49458BB}">
                  <c15:layout>
                    <c:manualLayout>
                      <c:w val="7.5429839156960624E-2"/>
                      <c:h val="5.802117263843648E-2"/>
                    </c:manualLayout>
                  </c15:layout>
                  <c15:showDataLabelsRange val="0"/>
                </c:ext>
                <c:ext xmlns:c16="http://schemas.microsoft.com/office/drawing/2014/chart" uri="{C3380CC4-5D6E-409C-BE32-E72D297353CC}">
                  <c16:uniqueId val="{00000005-7A3B-424A-B58E-9055F8A3D5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Sheet1!$F$150:$F$152</c:f>
              <c:strCache>
                <c:ptCount val="3"/>
                <c:pt idx="0">
                  <c:v>521 pirkimai pagal VPĮ</c:v>
                </c:pt>
                <c:pt idx="1">
                  <c:v>15 pirkimai pagal PĮ</c:v>
                </c:pt>
                <c:pt idx="2">
                  <c:v>1 pirkimas pagal GĮ</c:v>
                </c:pt>
              </c:strCache>
            </c:strRef>
          </c:cat>
          <c:val>
            <c:numRef>
              <c:f>Sheet1!$G$150:$G$152</c:f>
              <c:numCache>
                <c:formatCode>General</c:formatCode>
                <c:ptCount val="3"/>
                <c:pt idx="0">
                  <c:v>521</c:v>
                </c:pt>
                <c:pt idx="1">
                  <c:v>15</c:v>
                </c:pt>
                <c:pt idx="2" formatCode="0.0000">
                  <c:v>1</c:v>
                </c:pt>
              </c:numCache>
            </c:numRef>
          </c:val>
          <c:extLst>
            <c:ext xmlns:c16="http://schemas.microsoft.com/office/drawing/2014/chart" uri="{C3380CC4-5D6E-409C-BE32-E72D297353CC}">
              <c16:uniqueId val="{00000006-7A3B-424A-B58E-9055F8A3D516}"/>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tx1">
        <a:lumMod val="75000"/>
        <a:lumOff val="25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r>
              <a:rPr lang="lt-LT" sz="1200">
                <a:solidFill>
                  <a:schemeClr val="bg1"/>
                </a:solidFill>
                <a:latin typeface="Calibri" panose="020F0502020204030204" pitchFamily="34" charset="0"/>
                <a:ea typeface="Calibri" panose="020F0502020204030204" pitchFamily="34" charset="0"/>
                <a:cs typeface="Calibri" panose="020F0502020204030204" pitchFamily="34" charset="0"/>
              </a:rPr>
              <a:t>2025 m. teiktų rekomendacijų skaičius (proc.)</a:t>
            </a:r>
            <a:endParaRPr lang="en-US" sz="1200">
              <a:solidFill>
                <a:schemeClr val="bg1"/>
              </a:solidFill>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324-461C-B835-08A22D8564F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324-461C-B835-08A22D8564F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324-461C-B835-08A22D8564F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Sheet1!$F$34:$F$36</c:f>
              <c:strCache>
                <c:ptCount val="3"/>
                <c:pt idx="0">
                  <c:v>171 rekomendacija dėl neesminių pirkimo dokumentų patikslinimų</c:v>
                </c:pt>
                <c:pt idx="1">
                  <c:v>35 rekomendacijos dėl esminių pirkimo dokumentų keitimo</c:v>
                </c:pt>
                <c:pt idx="2">
                  <c:v>4 rekomendacijos dėl pirkimo nutraukimo</c:v>
                </c:pt>
              </c:strCache>
            </c:strRef>
          </c:cat>
          <c:val>
            <c:numRef>
              <c:f>Sheet1!$G$34:$G$36</c:f>
              <c:numCache>
                <c:formatCode>General</c:formatCode>
                <c:ptCount val="3"/>
                <c:pt idx="0">
                  <c:v>171</c:v>
                </c:pt>
                <c:pt idx="1">
                  <c:v>35</c:v>
                </c:pt>
                <c:pt idx="2">
                  <c:v>4</c:v>
                </c:pt>
              </c:numCache>
            </c:numRef>
          </c:val>
          <c:extLst>
            <c:ext xmlns:c16="http://schemas.microsoft.com/office/drawing/2014/chart" uri="{C3380CC4-5D6E-409C-BE32-E72D297353CC}">
              <c16:uniqueId val="{00000006-B324-461C-B835-08A22D8564FF}"/>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tx1">
        <a:lumMod val="75000"/>
        <a:lumOff val="25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lt-LT">
                <a:solidFill>
                  <a:schemeClr val="bg1"/>
                </a:solidFill>
              </a:rPr>
              <a:t>                                        </a:t>
            </a:r>
            <a:r>
              <a:rPr lang="en-US" sz="1200">
                <a:solidFill>
                  <a:schemeClr val="bg1"/>
                </a:solidFill>
                <a:latin typeface="Calibri" panose="020F0502020204030204" pitchFamily="34" charset="0"/>
                <a:ea typeface="Calibri" panose="020F0502020204030204" pitchFamily="34" charset="0"/>
                <a:cs typeface="Calibri" panose="020F0502020204030204" pitchFamily="34" charset="0"/>
              </a:rPr>
              <a:t>Dažniausiai</a:t>
            </a:r>
            <a:r>
              <a:rPr lang="en-US">
                <a:solidFill>
                  <a:schemeClr val="bg1"/>
                </a:solidFill>
              </a:rPr>
              <a:t> daromi pažeidimai, klaidos (proc.)</a:t>
            </a:r>
          </a:p>
        </c:rich>
      </c:tx>
      <c:layout>
        <c:manualLayout>
          <c:xMode val="edge"/>
          <c:yMode val="edge"/>
          <c:x val="7.006409794112963E-4"/>
          <c:y val="5.5478502080443831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30F-475B-A6FD-3AA10D4B2DB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30F-475B-A6FD-3AA10D4B2DB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30F-475B-A6FD-3AA10D4B2DB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30F-475B-A6FD-3AA10D4B2DB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30F-475B-A6FD-3AA10D4B2DB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30F-475B-A6FD-3AA10D4B2DB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Sheet1!$F$56:$F$61</c:f>
              <c:strCache>
                <c:ptCount val="6"/>
                <c:pt idx="0">
                  <c:v>Nustatant tiekėjų kvalifikaciją</c:v>
                </c:pt>
                <c:pt idx="1">
                  <c:v>Nustatant neaiškias, netikslias sutartines sąlygas</c:v>
                </c:pt>
                <c:pt idx="2">
                  <c:v>Dėl netinkamo neskaidymo į dalis</c:v>
                </c:pt>
                <c:pt idx="3">
                  <c:v>Pašalinimo pagrindai neatitinka galiojančio teisinio reguliavimo</c:v>
                </c:pt>
                <c:pt idx="4">
                  <c:v>Nustatant ekonominio naudingumo vertinimo kriterijus</c:v>
                </c:pt>
                <c:pt idx="5">
                  <c:v>Rengiant techninę specifikaciją</c:v>
                </c:pt>
              </c:strCache>
            </c:strRef>
          </c:cat>
          <c:val>
            <c:numRef>
              <c:f>Sheet1!$G$56:$G$61</c:f>
              <c:numCache>
                <c:formatCode>General</c:formatCode>
                <c:ptCount val="6"/>
                <c:pt idx="0">
                  <c:v>147</c:v>
                </c:pt>
                <c:pt idx="1">
                  <c:v>115</c:v>
                </c:pt>
                <c:pt idx="2">
                  <c:v>27</c:v>
                </c:pt>
                <c:pt idx="3">
                  <c:v>31</c:v>
                </c:pt>
                <c:pt idx="4">
                  <c:v>16</c:v>
                </c:pt>
                <c:pt idx="5">
                  <c:v>6</c:v>
                </c:pt>
              </c:numCache>
            </c:numRef>
          </c:val>
          <c:extLst>
            <c:ext xmlns:c16="http://schemas.microsoft.com/office/drawing/2014/chart" uri="{C3380CC4-5D6E-409C-BE32-E72D297353CC}">
              <c16:uniqueId val="{0000000C-430F-475B-A6FD-3AA10D4B2DB5}"/>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tx1">
        <a:lumMod val="75000"/>
        <a:lumOff val="25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r>
              <a:rPr lang="lt-LT" sz="1200">
                <a:solidFill>
                  <a:schemeClr val="bg1"/>
                </a:solidFill>
                <a:latin typeface="Calibri" panose="020F0502020204030204" pitchFamily="34" charset="0"/>
                <a:ea typeface="Calibri" panose="020F0502020204030204" pitchFamily="34" charset="0"/>
                <a:cs typeface="Calibri" panose="020F0502020204030204" pitchFamily="34" charset="0"/>
              </a:rPr>
              <a:t>2025 m. teiktų rekomendacijų skaičius (proc.)</a:t>
            </a:r>
            <a:endParaRPr lang="en-US" sz="1200">
              <a:solidFill>
                <a:schemeClr val="bg1"/>
              </a:solidFill>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D60-465F-ACDF-46B61169DE1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D60-465F-ACDF-46B61169DE1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D60-465F-ACDF-46B61169DE1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Sheet1!$F$70:$F$72</c:f>
              <c:strCache>
                <c:ptCount val="3"/>
                <c:pt idx="0">
                  <c:v>7 rekomendacijos, dėl pirkimo dokumentų nuostatų tikslinimo ir (arba) keitimo</c:v>
                </c:pt>
                <c:pt idx="1">
                  <c:v>4 rekomendacijos dėl pirkimo procedūrų ntraukimo</c:v>
                </c:pt>
                <c:pt idx="2">
                  <c:v>2 rekomendacijos ateityje vykdomiems pirkimams</c:v>
                </c:pt>
              </c:strCache>
            </c:strRef>
          </c:cat>
          <c:val>
            <c:numRef>
              <c:f>Sheet1!$G$70:$G$72</c:f>
              <c:numCache>
                <c:formatCode>General</c:formatCode>
                <c:ptCount val="3"/>
                <c:pt idx="0">
                  <c:v>7</c:v>
                </c:pt>
                <c:pt idx="1">
                  <c:v>4</c:v>
                </c:pt>
                <c:pt idx="2">
                  <c:v>2</c:v>
                </c:pt>
              </c:numCache>
            </c:numRef>
          </c:val>
          <c:extLst>
            <c:ext xmlns:c16="http://schemas.microsoft.com/office/drawing/2014/chart" uri="{C3380CC4-5D6E-409C-BE32-E72D297353CC}">
              <c16:uniqueId val="{00000006-3D60-465F-ACDF-46B61169DE11}"/>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tx1">
        <a:lumMod val="75000"/>
        <a:lumOff val="25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bg1"/>
                </a:solidFill>
                <a:latin typeface="Calibri" panose="020F0502020204030204" pitchFamily="34" charset="0"/>
                <a:ea typeface="Calibri" panose="020F0502020204030204" pitchFamily="34" charset="0"/>
                <a:cs typeface="Calibri" panose="020F0502020204030204" pitchFamily="34" charset="0"/>
              </a:defRPr>
            </a:pPr>
            <a:r>
              <a:rPr lang="en-US" sz="1200">
                <a:solidFill>
                  <a:schemeClr val="bg1"/>
                </a:solidFill>
                <a:latin typeface="Calibri" panose="020F0502020204030204" pitchFamily="34" charset="0"/>
                <a:ea typeface="Calibri" panose="020F0502020204030204" pitchFamily="34" charset="0"/>
                <a:cs typeface="Calibri" panose="020F0502020204030204" pitchFamily="34" charset="0"/>
              </a:rPr>
              <a:t>Dažniausiai daromi pažeidimai, klaidos (proc.)</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F3C-4808-BD03-0C03CE8AD94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F3C-4808-BD03-0C03CE8AD94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F3C-4808-BD03-0C03CE8AD94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F3C-4808-BD03-0C03CE8AD94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Sheet1!$F$85:$F$88</c:f>
              <c:strCache>
                <c:ptCount val="4"/>
                <c:pt idx="0">
                  <c:v>Nustatant neaiškias, netikslias sutartines sąlygas</c:v>
                </c:pt>
                <c:pt idx="1">
                  <c:v>Dėl netinkamo neskaidymo į dalis</c:v>
                </c:pt>
                <c:pt idx="2">
                  <c:v>Pašalinimo pagrindai neatitinka galiojančio teisinio reguliavimo</c:v>
                </c:pt>
                <c:pt idx="3">
                  <c:v>Kiti</c:v>
                </c:pt>
              </c:strCache>
            </c:strRef>
          </c:cat>
          <c:val>
            <c:numRef>
              <c:f>Sheet1!$G$85:$G$88</c:f>
              <c:numCache>
                <c:formatCode>General</c:formatCode>
                <c:ptCount val="4"/>
                <c:pt idx="0">
                  <c:v>3</c:v>
                </c:pt>
                <c:pt idx="1">
                  <c:v>3</c:v>
                </c:pt>
                <c:pt idx="2">
                  <c:v>1</c:v>
                </c:pt>
                <c:pt idx="3">
                  <c:v>2</c:v>
                </c:pt>
              </c:numCache>
            </c:numRef>
          </c:val>
          <c:extLst>
            <c:ext xmlns:c16="http://schemas.microsoft.com/office/drawing/2014/chart" uri="{C3380CC4-5D6E-409C-BE32-E72D297353CC}">
              <c16:uniqueId val="{00000008-DF3C-4808-BD03-0C03CE8AD941}"/>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tx1">
        <a:lumMod val="75000"/>
        <a:lumOff val="25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bg1"/>
                </a:solidFill>
                <a:latin typeface="Calibri" panose="020F0502020204030204" pitchFamily="34" charset="0"/>
                <a:ea typeface="Calibri" panose="020F0502020204030204" pitchFamily="34" charset="0"/>
                <a:cs typeface="Calibri" panose="020F0502020204030204" pitchFamily="34" charset="0"/>
              </a:defRPr>
            </a:pPr>
            <a:r>
              <a:rPr lang="lt-LT" sz="1200">
                <a:solidFill>
                  <a:schemeClr val="bg1"/>
                </a:solidFill>
                <a:latin typeface="Calibri" panose="020F0502020204030204" pitchFamily="34" charset="0"/>
                <a:ea typeface="Calibri" panose="020F0502020204030204" pitchFamily="34" charset="0"/>
                <a:cs typeface="Calibri" panose="020F0502020204030204" pitchFamily="34" charset="0"/>
              </a:rPr>
              <a:t>2025 m. teiktų rekomendacijų skaičius (proc.)</a:t>
            </a:r>
            <a:endParaRPr lang="en-US" sz="1200">
              <a:solidFill>
                <a:schemeClr val="bg1"/>
              </a:solidFill>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A34-44F2-ADF6-FB222468090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A34-44F2-ADF6-FB222468090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A34-44F2-ADF6-FB222468090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Sheet1!$F$100:$F$102</c:f>
              <c:strCache>
                <c:ptCount val="3"/>
                <c:pt idx="0">
                  <c:v>3  rekomendacijos dėl neesminių pirkimo dokumentų patikslinimo</c:v>
                </c:pt>
                <c:pt idx="1">
                  <c:v>3 rekomendacijos dėl esminių pirkimo dokumentų keitimo</c:v>
                </c:pt>
                <c:pt idx="2">
                  <c:v>3 rekomendacijos dėl pirkimo nutraukimo</c:v>
                </c:pt>
              </c:strCache>
            </c:strRef>
          </c:cat>
          <c:val>
            <c:numRef>
              <c:f>Sheet1!$G$100:$G$102</c:f>
              <c:numCache>
                <c:formatCode>General</c:formatCode>
                <c:ptCount val="3"/>
                <c:pt idx="0">
                  <c:v>3</c:v>
                </c:pt>
                <c:pt idx="1">
                  <c:v>3</c:v>
                </c:pt>
                <c:pt idx="2">
                  <c:v>3</c:v>
                </c:pt>
              </c:numCache>
            </c:numRef>
          </c:val>
          <c:extLst>
            <c:ext xmlns:c16="http://schemas.microsoft.com/office/drawing/2014/chart" uri="{C3380CC4-5D6E-409C-BE32-E72D297353CC}">
              <c16:uniqueId val="{00000006-0A34-44F2-ADF6-FB222468090B}"/>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tx1">
        <a:lumMod val="75000"/>
        <a:lumOff val="25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bg1"/>
                </a:solidFill>
                <a:latin typeface="Calibri" panose="020F0502020204030204" pitchFamily="34" charset="0"/>
                <a:ea typeface="Calibri" panose="020F0502020204030204" pitchFamily="34" charset="0"/>
                <a:cs typeface="Calibri" panose="020F0502020204030204" pitchFamily="34" charset="0"/>
              </a:defRPr>
            </a:pPr>
            <a:r>
              <a:rPr lang="en-US" sz="1200">
                <a:solidFill>
                  <a:schemeClr val="bg1"/>
                </a:solidFill>
                <a:latin typeface="Calibri" panose="020F0502020204030204" pitchFamily="34" charset="0"/>
                <a:ea typeface="Calibri" panose="020F0502020204030204" pitchFamily="34" charset="0"/>
                <a:cs typeface="Calibri" panose="020F0502020204030204" pitchFamily="34" charset="0"/>
              </a:rPr>
              <a:t>Dažniausiai daromi pažeidimai, klaidos (proc.)</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530113794060506E-2"/>
          <c:y val="0.17171296296296298"/>
          <c:w val="0.93893977241187898"/>
          <c:h val="0.28777449693788276"/>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34E-4F73-B2C4-DE6167940D6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34E-4F73-B2C4-DE6167940D6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34E-4F73-B2C4-DE6167940D6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34E-4F73-B2C4-DE6167940D6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34E-4F73-B2C4-DE6167940D6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34E-4F73-B2C4-DE6167940D6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Sheet1!$F$117:$F$122</c:f>
              <c:strCache>
                <c:ptCount val="6"/>
                <c:pt idx="0">
                  <c:v>Nustatant tiekėjų kvalifikaciją</c:v>
                </c:pt>
                <c:pt idx="1">
                  <c:v>Nustatant neaiškias, netikslias sutartines sąlygas</c:v>
                </c:pt>
                <c:pt idx="2">
                  <c:v>Nustatant ekonominio naudingumo vertinimo kriterijus</c:v>
                </c:pt>
                <c:pt idx="3">
                  <c:v>Dėl netinkamo neskaidymo į dalis</c:v>
                </c:pt>
                <c:pt idx="4">
                  <c:v>Rengiant techninę specifikaciją</c:v>
                </c:pt>
                <c:pt idx="5">
                  <c:v>kiti</c:v>
                </c:pt>
              </c:strCache>
            </c:strRef>
          </c:cat>
          <c:val>
            <c:numRef>
              <c:f>Sheet1!$G$117:$G$122</c:f>
              <c:numCache>
                <c:formatCode>General</c:formatCode>
                <c:ptCount val="6"/>
                <c:pt idx="0">
                  <c:v>1</c:v>
                </c:pt>
                <c:pt idx="1">
                  <c:v>1</c:v>
                </c:pt>
                <c:pt idx="2">
                  <c:v>2</c:v>
                </c:pt>
                <c:pt idx="3">
                  <c:v>2</c:v>
                </c:pt>
                <c:pt idx="4">
                  <c:v>2</c:v>
                </c:pt>
                <c:pt idx="5">
                  <c:v>2</c:v>
                </c:pt>
              </c:numCache>
            </c:numRef>
          </c:val>
          <c:extLst>
            <c:ext xmlns:c16="http://schemas.microsoft.com/office/drawing/2014/chart" uri="{C3380CC4-5D6E-409C-BE32-E72D297353CC}">
              <c16:uniqueId val="{0000000C-134E-4F73-B2C4-DE6167940D69}"/>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10276042508904397"/>
          <c:y val="0.52082421988918048"/>
          <c:w val="0.7944789839658668"/>
          <c:h val="0.4513980023330417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tx1">
        <a:lumMod val="75000"/>
        <a:lumOff val="25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r>
              <a:rPr lang="lt-LT" sz="1200" b="0" i="0" u="none" strike="noStrike" baseline="0">
                <a:solidFill>
                  <a:schemeClr val="bg1"/>
                </a:solidFill>
                <a:effectLst/>
                <a:latin typeface="Calibri" panose="020F0502020204030204" pitchFamily="34" charset="0"/>
                <a:ea typeface="Calibri" panose="020F0502020204030204" pitchFamily="34" charset="0"/>
                <a:cs typeface="Calibri" panose="020F0502020204030204" pitchFamily="34" charset="0"/>
              </a:rPr>
              <a:t>2025 pirkimų vykdytojų / Tarnybos  veiksmai </a:t>
            </a:r>
            <a:endParaRPr lang="en-US" sz="1200">
              <a:solidFill>
                <a:schemeClr val="bg1"/>
              </a:solidFill>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6377297134277877E-2"/>
          <c:y val="0.20608340624088656"/>
          <c:w val="0.81393982704701462"/>
          <c:h val="0.4441509915427238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7D8-4FE7-B647-2AC4FE37DF7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7D8-4FE7-B647-2AC4FE37DF7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7D8-4FE7-B647-2AC4FE37DF71}"/>
              </c:ext>
            </c:extLst>
          </c:dPt>
          <c:dLbls>
            <c:dLbl>
              <c:idx val="1"/>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0"/>
              <c:showSerName val="0"/>
              <c:showPercent val="1"/>
              <c:showBubbleSize val="0"/>
              <c:extLst>
                <c:ext xmlns:c15="http://schemas.microsoft.com/office/drawing/2012/chart" uri="{CE6537A1-D6FC-4f65-9D91-7224C49458BB}">
                  <c15:layout>
                    <c:manualLayout>
                      <c:w val="1.7932489451476793E-2"/>
                      <c:h val="5.7870370370370371E-2"/>
                    </c:manualLayout>
                  </c15:layout>
                </c:ext>
                <c:ext xmlns:c16="http://schemas.microsoft.com/office/drawing/2014/chart" uri="{C3380CC4-5D6E-409C-BE32-E72D297353CC}">
                  <c16:uniqueId val="{00000003-17D8-4FE7-B647-2AC4FE37DF71}"/>
                </c:ext>
              </c:extLst>
            </c:dLbl>
            <c:dLbl>
              <c:idx val="2"/>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0"/>
              <c:showSerName val="0"/>
              <c:showPercent val="1"/>
              <c:showBubbleSize val="0"/>
              <c:extLst>
                <c:ext xmlns:c15="http://schemas.microsoft.com/office/drawing/2012/chart" uri="{CE6537A1-D6FC-4f65-9D91-7224C49458BB}">
                  <c15:layout>
                    <c:manualLayout>
                      <c:w val="1.9568756437090933E-2"/>
                      <c:h val="6.25E-2"/>
                    </c:manualLayout>
                  </c15:layout>
                </c:ext>
                <c:ext xmlns:c16="http://schemas.microsoft.com/office/drawing/2014/chart" uri="{C3380CC4-5D6E-409C-BE32-E72D297353CC}">
                  <c16:uniqueId val="{00000005-17D8-4FE7-B647-2AC4FE37DF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Sheet1!$F$133:$F$135</c:f>
              <c:strCache>
                <c:ptCount val="3"/>
                <c:pt idx="0">
                  <c:v>98 pirkimų vykdytojai pagrindė Ex-ante pasirinkimą</c:v>
                </c:pt>
                <c:pt idx="1">
                  <c:v>1 pirkimo vykdytojas nutraukė pirkimo procedūras, gavęs Tarnybos paklausimą</c:v>
                </c:pt>
                <c:pt idx="2">
                  <c:v>1 pirkimas perduotas tolesniems priežiūros veiksmams</c:v>
                </c:pt>
              </c:strCache>
            </c:strRef>
          </c:cat>
          <c:val>
            <c:numRef>
              <c:f>Sheet1!$G$133:$G$135</c:f>
              <c:numCache>
                <c:formatCode>General</c:formatCode>
                <c:ptCount val="3"/>
                <c:pt idx="0">
                  <c:v>98</c:v>
                </c:pt>
                <c:pt idx="1">
                  <c:v>1</c:v>
                </c:pt>
                <c:pt idx="2">
                  <c:v>1</c:v>
                </c:pt>
              </c:numCache>
            </c:numRef>
          </c:val>
          <c:extLst>
            <c:ext xmlns:c16="http://schemas.microsoft.com/office/drawing/2014/chart" uri="{C3380CC4-5D6E-409C-BE32-E72D297353CC}">
              <c16:uniqueId val="{00000006-17D8-4FE7-B647-2AC4FE37DF71}"/>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tx1">
        <a:lumMod val="75000"/>
        <a:lumOff val="25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CFDDF-5AF6-48A2-B18A-C28D3AD6A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1219</Words>
  <Characters>6951</Characters>
  <Application>Microsoft Office Word</Application>
  <DocSecurity>0</DocSecurity>
  <Lines>57</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Misiūnienė</dc:creator>
  <cp:keywords/>
  <dc:description/>
  <cp:lastModifiedBy>Rita Venckienė</cp:lastModifiedBy>
  <cp:revision>3</cp:revision>
  <dcterms:created xsi:type="dcterms:W3CDTF">2026-02-27T13:31:00Z</dcterms:created>
  <dcterms:modified xsi:type="dcterms:W3CDTF">2026-02-27T13:32:00Z</dcterms:modified>
</cp:coreProperties>
</file>