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A93" w14:textId="78A51DD9" w:rsidR="004734B5" w:rsidRDefault="00A562B7" w:rsidP="00A562B7">
      <w:pPr>
        <w:jc w:val="center"/>
        <w:rPr>
          <w:rFonts w:asciiTheme="minorHAnsi" w:hAnsiTheme="minorHAnsi" w:cstheme="minorHAnsi"/>
        </w:rPr>
      </w:pPr>
      <w:r w:rsidRPr="009D7CF6">
        <w:rPr>
          <w:rFonts w:asciiTheme="minorHAnsi" w:hAnsiTheme="minorHAnsi" w:cstheme="minorHAnsi"/>
          <w:noProof/>
        </w:rPr>
        <w:drawing>
          <wp:inline distT="0" distB="0" distL="0" distR="0" wp14:anchorId="7176FD19" wp14:editId="7CD89E3E">
            <wp:extent cx="1524000" cy="1391920"/>
            <wp:effectExtent l="0" t="0" r="0" b="0"/>
            <wp:docPr id="58867838"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53833" name="Picture 1" descr="A colorful logo with text  Description automatically generated with medium confidence"/>
                    <pic:cNvPicPr>
                      <a:picLocks noChangeAspect="1" noChangeArrowheads="1"/>
                    </pic:cNvPicPr>
                  </pic:nvPicPr>
                  <pic:blipFill>
                    <a:blip r:embed="rId10"/>
                    <a:stretch>
                      <a:fillRect/>
                    </a:stretch>
                  </pic:blipFill>
                  <pic:spPr bwMode="auto">
                    <a:xfrm>
                      <a:off x="0" y="0"/>
                      <a:ext cx="1524000" cy="1391920"/>
                    </a:xfrm>
                    <a:prstGeom prst="rect">
                      <a:avLst/>
                    </a:prstGeom>
                    <a:noFill/>
                    <a:ln>
                      <a:noFill/>
                    </a:ln>
                  </pic:spPr>
                </pic:pic>
              </a:graphicData>
            </a:graphic>
          </wp:inline>
        </w:drawing>
      </w:r>
    </w:p>
    <w:p w14:paraId="5DB95012" w14:textId="77777777" w:rsidR="00FF0E73" w:rsidRPr="009D7CF6" w:rsidRDefault="00FF0E73" w:rsidP="00A562B7">
      <w:pPr>
        <w:jc w:val="center"/>
        <w:rPr>
          <w:rFonts w:asciiTheme="minorHAnsi" w:hAnsiTheme="minorHAnsi" w:cstheme="minorHAnsi"/>
        </w:rPr>
      </w:pPr>
    </w:p>
    <w:tbl>
      <w:tblPr>
        <w:tblW w:w="5000" w:type="pct"/>
        <w:tblLayout w:type="fixed"/>
        <w:tblLook w:val="04A0" w:firstRow="1" w:lastRow="0" w:firstColumn="1" w:lastColumn="0" w:noHBand="0" w:noVBand="1"/>
      </w:tblPr>
      <w:tblGrid>
        <w:gridCol w:w="5133"/>
        <w:gridCol w:w="2109"/>
        <w:gridCol w:w="1425"/>
        <w:gridCol w:w="869"/>
        <w:gridCol w:w="4036"/>
      </w:tblGrid>
      <w:tr w:rsidR="00D06C16" w:rsidRPr="009D7CF6" w14:paraId="4434C368" w14:textId="77777777" w:rsidTr="006852C4">
        <w:trPr>
          <w:trHeight w:val="201"/>
        </w:trPr>
        <w:tc>
          <w:tcPr>
            <w:tcW w:w="1891" w:type="pct"/>
            <w:vMerge w:val="restart"/>
            <w:vAlign w:val="bottom"/>
          </w:tcPr>
          <w:p w14:paraId="2DBB48C2" w14:textId="77777777" w:rsidR="00D06C16" w:rsidRPr="009D7CF6" w:rsidRDefault="00D06C16" w:rsidP="00491600">
            <w:pPr>
              <w:rPr>
                <w:rFonts w:asciiTheme="minorHAnsi" w:hAnsiTheme="minorHAnsi" w:cstheme="minorHAnsi"/>
                <w:sz w:val="20"/>
              </w:rPr>
            </w:pPr>
            <w:r w:rsidRPr="009D7CF6">
              <w:rPr>
                <w:rFonts w:asciiTheme="minorHAnsi" w:hAnsiTheme="minorHAnsi" w:cstheme="minorHAnsi"/>
                <w:sz w:val="20"/>
              </w:rPr>
              <w:t xml:space="preserve">Akcinė bendrovė „Via Lietuva“ </w:t>
            </w:r>
          </w:p>
          <w:p w14:paraId="14E7ADF2" w14:textId="2DC387DA" w:rsidR="00D06C16" w:rsidRPr="009D7CF6" w:rsidRDefault="00D06C16" w:rsidP="00491600">
            <w:pPr>
              <w:rPr>
                <w:rFonts w:asciiTheme="minorHAnsi" w:hAnsiTheme="minorHAnsi" w:cstheme="minorHAnsi"/>
                <w:sz w:val="20"/>
              </w:rPr>
            </w:pPr>
            <w:r w:rsidRPr="009D7CF6">
              <w:rPr>
                <w:rFonts w:asciiTheme="minorHAnsi" w:hAnsiTheme="minorHAnsi" w:cstheme="minorHAnsi"/>
                <w:sz w:val="20"/>
              </w:rPr>
              <w:t>Kauno g. 22</w:t>
            </w:r>
            <w:r w:rsidR="00FE2363">
              <w:rPr>
                <w:rFonts w:asciiTheme="minorHAnsi" w:hAnsiTheme="minorHAnsi" w:cstheme="minorHAnsi"/>
                <w:sz w:val="20"/>
              </w:rPr>
              <w:t xml:space="preserve">, </w:t>
            </w:r>
            <w:r w:rsidRPr="009D7CF6">
              <w:rPr>
                <w:rFonts w:asciiTheme="minorHAnsi" w:hAnsiTheme="minorHAnsi" w:cstheme="minorHAnsi"/>
                <w:sz w:val="20"/>
              </w:rPr>
              <w:t>03212 Vilnius</w:t>
            </w:r>
          </w:p>
          <w:p w14:paraId="35E3BDAC" w14:textId="77777777" w:rsidR="00D06C16" w:rsidRDefault="00D06C16" w:rsidP="00491600">
            <w:pPr>
              <w:rPr>
                <w:rFonts w:asciiTheme="minorHAnsi" w:hAnsiTheme="minorHAnsi" w:cstheme="minorHAnsi"/>
              </w:rPr>
            </w:pPr>
            <w:r w:rsidRPr="009D7CF6">
              <w:rPr>
                <w:rFonts w:asciiTheme="minorHAnsi" w:hAnsiTheme="minorHAnsi" w:cstheme="minorHAnsi"/>
                <w:sz w:val="20"/>
              </w:rPr>
              <w:t xml:space="preserve">El. p.: </w:t>
            </w:r>
            <w:hyperlink r:id="rId11" w:history="1">
              <w:r w:rsidRPr="009D7CF6">
                <w:rPr>
                  <w:rStyle w:val="Hyperlink"/>
                  <w:rFonts w:asciiTheme="minorHAnsi" w:hAnsiTheme="minorHAnsi" w:cstheme="minorHAnsi"/>
                  <w:sz w:val="20"/>
                </w:rPr>
                <w:t>info@vialietuva.lt</w:t>
              </w:r>
            </w:hyperlink>
            <w:r w:rsidRPr="009D7CF6">
              <w:rPr>
                <w:rFonts w:asciiTheme="minorHAnsi" w:hAnsiTheme="minorHAnsi" w:cstheme="minorHAnsi"/>
              </w:rPr>
              <w:t xml:space="preserve"> </w:t>
            </w:r>
          </w:p>
          <w:p w14:paraId="26F82657" w14:textId="77777777" w:rsidR="00961261" w:rsidRDefault="00961261" w:rsidP="00491600">
            <w:pPr>
              <w:rPr>
                <w:rFonts w:asciiTheme="minorHAnsi" w:hAnsiTheme="minorHAnsi" w:cstheme="minorHAnsi"/>
              </w:rPr>
            </w:pPr>
          </w:p>
          <w:p w14:paraId="1573C148" w14:textId="77777777" w:rsidR="00961261" w:rsidRPr="00FB25E4" w:rsidRDefault="00961261" w:rsidP="00491600">
            <w:pPr>
              <w:rPr>
                <w:rFonts w:asciiTheme="minorHAnsi" w:hAnsiTheme="minorHAnsi" w:cstheme="minorHAnsi"/>
                <w:i/>
                <w:iCs/>
                <w:sz w:val="20"/>
              </w:rPr>
            </w:pPr>
            <w:r w:rsidRPr="00FB25E4">
              <w:rPr>
                <w:rFonts w:asciiTheme="minorHAnsi" w:hAnsiTheme="minorHAnsi" w:cstheme="minorHAnsi"/>
                <w:i/>
                <w:iCs/>
                <w:sz w:val="20"/>
              </w:rPr>
              <w:t>Kopija</w:t>
            </w:r>
            <w:r w:rsidR="00335CFA" w:rsidRPr="00FB25E4">
              <w:rPr>
                <w:rFonts w:asciiTheme="minorHAnsi" w:hAnsiTheme="minorHAnsi" w:cstheme="minorHAnsi"/>
                <w:i/>
                <w:iCs/>
                <w:sz w:val="20"/>
              </w:rPr>
              <w:t>:</w:t>
            </w:r>
          </w:p>
          <w:p w14:paraId="541DEFF0" w14:textId="345379DA" w:rsidR="00335CFA" w:rsidRPr="00FF0E73" w:rsidRDefault="00335CFA" w:rsidP="00491600">
            <w:pPr>
              <w:rPr>
                <w:rFonts w:asciiTheme="minorHAnsi" w:hAnsiTheme="minorHAnsi" w:cstheme="minorHAnsi"/>
                <w:sz w:val="20"/>
              </w:rPr>
            </w:pPr>
            <w:r w:rsidRPr="00FF0E73">
              <w:rPr>
                <w:rFonts w:asciiTheme="minorHAnsi" w:hAnsiTheme="minorHAnsi" w:cstheme="minorHAnsi"/>
                <w:sz w:val="20"/>
              </w:rPr>
              <w:t>Lietuvos Respublikos susisiekimo ministerija</w:t>
            </w:r>
          </w:p>
          <w:p w14:paraId="0DC05398" w14:textId="77777777" w:rsidR="00335CFA" w:rsidRPr="00FF0E73" w:rsidRDefault="00FE2363" w:rsidP="00491600">
            <w:pPr>
              <w:rPr>
                <w:rFonts w:asciiTheme="minorHAnsi" w:hAnsiTheme="minorHAnsi" w:cstheme="minorHAnsi"/>
                <w:sz w:val="20"/>
              </w:rPr>
            </w:pPr>
            <w:r w:rsidRPr="00FF0E73">
              <w:rPr>
                <w:rFonts w:asciiTheme="minorHAnsi" w:hAnsiTheme="minorHAnsi" w:cstheme="minorHAnsi"/>
                <w:sz w:val="20"/>
              </w:rPr>
              <w:t>Gedimino pr. 17, 01103 Vilnius</w:t>
            </w:r>
          </w:p>
          <w:p w14:paraId="60EF5573" w14:textId="2BD921A9" w:rsidR="00FE2363" w:rsidRPr="009D7CF6" w:rsidRDefault="00FE2363" w:rsidP="00491600">
            <w:pPr>
              <w:rPr>
                <w:rFonts w:asciiTheme="minorHAnsi" w:hAnsiTheme="minorHAnsi" w:cstheme="minorHAnsi"/>
              </w:rPr>
            </w:pPr>
            <w:r w:rsidRPr="00FF0E73">
              <w:rPr>
                <w:rFonts w:asciiTheme="minorHAnsi" w:hAnsiTheme="minorHAnsi" w:cstheme="minorHAnsi"/>
                <w:sz w:val="20"/>
              </w:rPr>
              <w:t>El.</w:t>
            </w:r>
            <w:r w:rsidR="00E66D77">
              <w:rPr>
                <w:rFonts w:asciiTheme="minorHAnsi" w:hAnsiTheme="minorHAnsi" w:cstheme="minorHAnsi"/>
                <w:sz w:val="20"/>
              </w:rPr>
              <w:t xml:space="preserve"> </w:t>
            </w:r>
            <w:r w:rsidRPr="00FF0E73">
              <w:rPr>
                <w:rFonts w:asciiTheme="minorHAnsi" w:hAnsiTheme="minorHAnsi" w:cstheme="minorHAnsi"/>
                <w:sz w:val="20"/>
              </w:rPr>
              <w:t xml:space="preserve">p.: </w:t>
            </w:r>
            <w:hyperlink r:id="rId12" w:history="1">
              <w:r w:rsidR="00FF0E73" w:rsidRPr="00FF0E73">
                <w:rPr>
                  <w:rStyle w:val="Hyperlink"/>
                  <w:rFonts w:asciiTheme="minorHAnsi" w:hAnsiTheme="minorHAnsi" w:cstheme="minorHAnsi"/>
                  <w:sz w:val="20"/>
                </w:rPr>
                <w:t>sumin@sumin.lt</w:t>
              </w:r>
            </w:hyperlink>
          </w:p>
        </w:tc>
        <w:tc>
          <w:tcPr>
            <w:tcW w:w="777" w:type="pct"/>
            <w:vAlign w:val="bottom"/>
          </w:tcPr>
          <w:p w14:paraId="72978AAB" w14:textId="77777777" w:rsidR="00D06C16" w:rsidRPr="009D7CF6" w:rsidRDefault="00D06C16" w:rsidP="00491600">
            <w:pPr>
              <w:pStyle w:val="Header"/>
              <w:rPr>
                <w:rFonts w:asciiTheme="minorHAnsi" w:hAnsiTheme="minorHAnsi" w:cstheme="minorHAnsi"/>
                <w:sz w:val="20"/>
              </w:rPr>
            </w:pPr>
          </w:p>
        </w:tc>
        <w:tc>
          <w:tcPr>
            <w:tcW w:w="525" w:type="pct"/>
            <w:vAlign w:val="bottom"/>
          </w:tcPr>
          <w:p w14:paraId="3AAFB2AA" w14:textId="578EB58C" w:rsidR="00D06C16" w:rsidRPr="009D7CF6" w:rsidRDefault="00CA4AEE" w:rsidP="00491600">
            <w:pPr>
              <w:pStyle w:val="Header"/>
              <w:rPr>
                <w:rFonts w:asciiTheme="minorHAnsi" w:hAnsiTheme="minorHAnsi" w:cstheme="minorHAnsi"/>
                <w:sz w:val="20"/>
              </w:rPr>
            </w:pPr>
            <w:r w:rsidRPr="009D7CF6">
              <w:rPr>
                <w:rFonts w:asciiTheme="minorHAnsi" w:hAnsiTheme="minorHAnsi" w:cstheme="minorHAnsi"/>
                <w:sz w:val="20"/>
              </w:rPr>
              <w:t>2025-</w:t>
            </w:r>
            <w:r w:rsidR="00C0531F" w:rsidRPr="009D7CF6">
              <w:rPr>
                <w:rFonts w:asciiTheme="minorHAnsi" w:hAnsiTheme="minorHAnsi" w:cstheme="minorHAnsi"/>
                <w:sz w:val="20"/>
              </w:rPr>
              <w:t>1</w:t>
            </w:r>
            <w:r w:rsidR="00C0531F">
              <w:rPr>
                <w:rFonts w:asciiTheme="minorHAnsi" w:hAnsiTheme="minorHAnsi" w:cstheme="minorHAnsi"/>
                <w:sz w:val="20"/>
              </w:rPr>
              <w:t>2</w:t>
            </w:r>
            <w:r w:rsidRPr="009D7CF6">
              <w:rPr>
                <w:rFonts w:asciiTheme="minorHAnsi" w:hAnsiTheme="minorHAnsi" w:cstheme="minorHAnsi"/>
                <w:sz w:val="20"/>
              </w:rPr>
              <w:t>-</w:t>
            </w:r>
            <w:r w:rsidR="00B72F8A">
              <w:rPr>
                <w:rFonts w:asciiTheme="minorHAnsi" w:hAnsiTheme="minorHAnsi" w:cstheme="minorHAnsi"/>
                <w:sz w:val="20"/>
              </w:rPr>
              <w:t>19</w:t>
            </w:r>
          </w:p>
        </w:tc>
        <w:tc>
          <w:tcPr>
            <w:tcW w:w="320" w:type="pct"/>
            <w:vAlign w:val="bottom"/>
          </w:tcPr>
          <w:p w14:paraId="0165F702" w14:textId="74E88097" w:rsidR="00D06C16" w:rsidRPr="009D7CF6" w:rsidRDefault="00CA4AEE" w:rsidP="00491600">
            <w:pPr>
              <w:pStyle w:val="Header"/>
              <w:jc w:val="right"/>
              <w:rPr>
                <w:rFonts w:asciiTheme="minorHAnsi" w:hAnsiTheme="minorHAnsi" w:cstheme="minorHAnsi"/>
                <w:sz w:val="20"/>
              </w:rPr>
            </w:pPr>
            <w:r w:rsidRPr="009D7CF6">
              <w:rPr>
                <w:rFonts w:asciiTheme="minorHAnsi" w:hAnsiTheme="minorHAnsi" w:cstheme="minorHAnsi"/>
                <w:sz w:val="20"/>
              </w:rPr>
              <w:t>Nr.</w:t>
            </w:r>
          </w:p>
        </w:tc>
        <w:tc>
          <w:tcPr>
            <w:tcW w:w="1487" w:type="pct"/>
            <w:vAlign w:val="bottom"/>
          </w:tcPr>
          <w:p w14:paraId="588367DF" w14:textId="3377D0AB" w:rsidR="00D06C16" w:rsidRPr="009D7CF6" w:rsidRDefault="00EB1819" w:rsidP="00491600">
            <w:pPr>
              <w:pStyle w:val="Header"/>
              <w:rPr>
                <w:rFonts w:asciiTheme="minorHAnsi" w:hAnsiTheme="minorHAnsi" w:cstheme="minorHAnsi"/>
                <w:sz w:val="20"/>
              </w:rPr>
            </w:pPr>
            <w:r w:rsidRPr="009D7CF6">
              <w:rPr>
                <w:rFonts w:asciiTheme="minorHAnsi" w:hAnsiTheme="minorHAnsi" w:cstheme="minorHAnsi"/>
                <w:sz w:val="20"/>
              </w:rPr>
              <w:t>4S-</w:t>
            </w:r>
            <w:r w:rsidR="00B72F8A">
              <w:rPr>
                <w:rFonts w:asciiTheme="minorHAnsi" w:hAnsiTheme="minorHAnsi" w:cstheme="minorHAnsi"/>
                <w:sz w:val="20"/>
              </w:rPr>
              <w:t xml:space="preserve">1685 </w:t>
            </w:r>
            <w:r w:rsidRPr="009D7CF6">
              <w:rPr>
                <w:rFonts w:asciiTheme="minorHAnsi" w:hAnsiTheme="minorHAnsi" w:cstheme="minorHAnsi"/>
                <w:sz w:val="20"/>
              </w:rPr>
              <w:t>(7.</w:t>
            </w:r>
            <w:r w:rsidRPr="009D7CF6">
              <w:rPr>
                <w:rFonts w:asciiTheme="minorHAnsi" w:hAnsiTheme="minorHAnsi" w:cstheme="minorHAnsi"/>
                <w:noProof/>
                <w:sz w:val="20"/>
              </w:rPr>
              <w:t>3 Mr.)</w:t>
            </w:r>
          </w:p>
        </w:tc>
      </w:tr>
      <w:tr w:rsidR="00D06C16" w:rsidRPr="009D7CF6" w14:paraId="50EB5DCA" w14:textId="77777777" w:rsidTr="006852C4">
        <w:trPr>
          <w:trHeight w:val="832"/>
        </w:trPr>
        <w:tc>
          <w:tcPr>
            <w:tcW w:w="1891" w:type="pct"/>
            <w:vMerge/>
            <w:vAlign w:val="bottom"/>
          </w:tcPr>
          <w:p w14:paraId="2A16032A" w14:textId="77777777" w:rsidR="00D06C16" w:rsidRPr="009D7CF6" w:rsidRDefault="00D06C16" w:rsidP="00491600">
            <w:pPr>
              <w:rPr>
                <w:rFonts w:asciiTheme="minorHAnsi" w:hAnsiTheme="minorHAnsi" w:cstheme="minorHAnsi"/>
              </w:rPr>
            </w:pPr>
          </w:p>
        </w:tc>
        <w:tc>
          <w:tcPr>
            <w:tcW w:w="777" w:type="pct"/>
          </w:tcPr>
          <w:p w14:paraId="79D85F96" w14:textId="66E40311" w:rsidR="00D06C16" w:rsidRPr="009D7CF6" w:rsidRDefault="00EB1819" w:rsidP="00491600">
            <w:pPr>
              <w:pStyle w:val="Header"/>
              <w:jc w:val="right"/>
              <w:rPr>
                <w:rFonts w:asciiTheme="minorHAnsi" w:hAnsiTheme="minorHAnsi" w:cstheme="minorHAnsi"/>
                <w:sz w:val="20"/>
              </w:rPr>
            </w:pPr>
            <w:r w:rsidRPr="009D7CF6">
              <w:rPr>
                <w:rFonts w:asciiTheme="minorHAnsi" w:hAnsiTheme="minorHAnsi" w:cstheme="minorHAnsi"/>
                <w:sz w:val="20"/>
              </w:rPr>
              <w:t>Į</w:t>
            </w:r>
          </w:p>
        </w:tc>
        <w:tc>
          <w:tcPr>
            <w:tcW w:w="525" w:type="pct"/>
          </w:tcPr>
          <w:p w14:paraId="7CD80542" w14:textId="4F75F294" w:rsidR="00D06C16" w:rsidRPr="009D7CF6" w:rsidRDefault="00F562F0" w:rsidP="00491600">
            <w:pPr>
              <w:pStyle w:val="Header"/>
              <w:rPr>
                <w:rFonts w:asciiTheme="minorHAnsi" w:hAnsiTheme="minorHAnsi" w:cstheme="minorHAnsi"/>
                <w:sz w:val="20"/>
              </w:rPr>
            </w:pPr>
            <w:r w:rsidRPr="00F562F0">
              <w:rPr>
                <w:rFonts w:asciiTheme="minorHAnsi" w:hAnsiTheme="minorHAnsi" w:cstheme="minorHAnsi"/>
                <w:sz w:val="20"/>
              </w:rPr>
              <w:t>2025-09-11</w:t>
            </w:r>
          </w:p>
        </w:tc>
        <w:tc>
          <w:tcPr>
            <w:tcW w:w="320" w:type="pct"/>
          </w:tcPr>
          <w:p w14:paraId="064EBA47" w14:textId="2706D7FE" w:rsidR="00D06C16" w:rsidRPr="009D7CF6" w:rsidRDefault="00EB1819" w:rsidP="00491600">
            <w:pPr>
              <w:pStyle w:val="Header"/>
              <w:jc w:val="right"/>
              <w:rPr>
                <w:rFonts w:asciiTheme="minorHAnsi" w:hAnsiTheme="minorHAnsi" w:cstheme="minorHAnsi"/>
                <w:sz w:val="20"/>
              </w:rPr>
            </w:pPr>
            <w:r w:rsidRPr="009D7CF6">
              <w:rPr>
                <w:rFonts w:asciiTheme="minorHAnsi" w:hAnsiTheme="minorHAnsi" w:cstheme="minorHAnsi"/>
                <w:sz w:val="20"/>
              </w:rPr>
              <w:t>Nr.</w:t>
            </w:r>
          </w:p>
        </w:tc>
        <w:tc>
          <w:tcPr>
            <w:tcW w:w="1487" w:type="pct"/>
          </w:tcPr>
          <w:p w14:paraId="29843B80" w14:textId="77CDBD4A" w:rsidR="00D06C16" w:rsidRPr="009D7CF6" w:rsidRDefault="006852C4" w:rsidP="00491600">
            <w:pPr>
              <w:pStyle w:val="Header"/>
              <w:rPr>
                <w:rFonts w:asciiTheme="minorHAnsi" w:hAnsiTheme="minorHAnsi" w:cstheme="minorHAnsi"/>
                <w:sz w:val="20"/>
              </w:rPr>
            </w:pPr>
            <w:r w:rsidRPr="006852C4">
              <w:rPr>
                <w:rFonts w:asciiTheme="minorHAnsi" w:hAnsiTheme="minorHAnsi" w:cstheme="minorHAnsi"/>
                <w:sz w:val="20"/>
              </w:rPr>
              <w:t>2-25-12431</w:t>
            </w:r>
          </w:p>
        </w:tc>
      </w:tr>
    </w:tbl>
    <w:p w14:paraId="37394E1D" w14:textId="77777777" w:rsidR="004734B5" w:rsidRPr="009D7CF6" w:rsidRDefault="004734B5" w:rsidP="004734B5">
      <w:pPr>
        <w:pStyle w:val="Title"/>
        <w:rPr>
          <w:rFonts w:asciiTheme="minorHAnsi" w:hAnsiTheme="minorHAnsi" w:cstheme="minorHAnsi"/>
        </w:rPr>
      </w:pPr>
      <w:r w:rsidRPr="009D7CF6">
        <w:rPr>
          <w:rFonts w:asciiTheme="minorHAnsi" w:hAnsiTheme="minorHAnsi" w:cstheme="minorHAnsi"/>
        </w:rPr>
        <w:t>TIKRINIMO ataskaita</w:t>
      </w:r>
    </w:p>
    <w:p w14:paraId="2C768681" w14:textId="77777777" w:rsidR="004734B5" w:rsidRPr="009D7CF6" w:rsidRDefault="004734B5" w:rsidP="004734B5">
      <w:pPr>
        <w:pStyle w:val="Heading1"/>
        <w:spacing w:before="240"/>
        <w:ind w:left="142" w:right="142"/>
        <w:rPr>
          <w:rFonts w:asciiTheme="minorHAnsi" w:hAnsiTheme="minorHAnsi" w:cstheme="minorHAnsi"/>
        </w:rPr>
      </w:pPr>
      <w:r w:rsidRPr="009D7CF6">
        <w:rPr>
          <w:rFonts w:asciiTheme="minorHAnsi" w:hAnsiTheme="minorHAnsi" w:cstheme="minorHAns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4933"/>
        <w:gridCol w:w="4937"/>
      </w:tblGrid>
      <w:tr w:rsidR="004734B5" w:rsidRPr="009D7CF6" w14:paraId="34433CD9" w14:textId="77777777" w:rsidTr="00AB235A">
        <w:trPr>
          <w:cnfStyle w:val="100000000000" w:firstRow="1" w:lastRow="0" w:firstColumn="0" w:lastColumn="0" w:oddVBand="0" w:evenVBand="0" w:oddHBand="0" w:evenHBand="0" w:firstRowFirstColumn="0" w:firstRowLastColumn="0" w:lastRowFirstColumn="0" w:lastRowLastColumn="0"/>
        </w:trPr>
        <w:tc>
          <w:tcPr>
            <w:tcW w:w="3630" w:type="dxa"/>
            <w:tcBorders>
              <w:top w:val="nil"/>
              <w:left w:val="nil"/>
              <w:bottom w:val="single" w:sz="4" w:space="0" w:color="auto"/>
              <w:right w:val="nil"/>
            </w:tcBorders>
          </w:tcPr>
          <w:p w14:paraId="5A12BFC7"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TIKrinimo pradžios data</w:t>
            </w:r>
          </w:p>
        </w:tc>
        <w:tc>
          <w:tcPr>
            <w:tcW w:w="4838" w:type="dxa"/>
            <w:tcBorders>
              <w:top w:val="nil"/>
              <w:left w:val="nil"/>
              <w:bottom w:val="single" w:sz="4" w:space="0" w:color="auto"/>
              <w:right w:val="nil"/>
            </w:tcBorders>
          </w:tcPr>
          <w:p w14:paraId="1C5428FC"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TIKrinimo ataskaitos pavadinimas</w:t>
            </w:r>
          </w:p>
        </w:tc>
        <w:tc>
          <w:tcPr>
            <w:tcW w:w="4842" w:type="dxa"/>
            <w:tcBorders>
              <w:top w:val="nil"/>
              <w:left w:val="nil"/>
              <w:bottom w:val="single" w:sz="4" w:space="0" w:color="auto"/>
              <w:right w:val="nil"/>
            </w:tcBorders>
          </w:tcPr>
          <w:p w14:paraId="63B51067"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Parengė:</w:t>
            </w:r>
          </w:p>
        </w:tc>
      </w:tr>
      <w:tr w:rsidR="004734B5" w:rsidRPr="009D7CF6" w14:paraId="0FF517DB" w14:textId="77777777" w:rsidTr="00AB235A">
        <w:sdt>
          <w:sdtPr>
            <w:rPr>
              <w:rFonts w:cstheme="minorHAnsi"/>
            </w:rPr>
            <w:id w:val="1279524753"/>
            <w:placeholder>
              <w:docPart w:val="58F489D32AF041A08DA8718D28085397"/>
            </w:placeholder>
            <w:date w:fullDate="2025-08-11T00:00:00Z">
              <w:dateFormat w:val="yyyy 'm.' MMMM d 'd.'"/>
              <w:lid w:val="lt-LT"/>
              <w:storeMappedDataAs w:val="dateTime"/>
              <w:calendar w:val="gregorian"/>
            </w:date>
          </w:sdtPr>
          <w:sdtEndPr/>
          <w:sdtContent>
            <w:tc>
              <w:tcPr>
                <w:tcW w:w="3630" w:type="dxa"/>
                <w:tcBorders>
                  <w:top w:val="single" w:sz="4" w:space="0" w:color="auto"/>
                </w:tcBorders>
              </w:tcPr>
              <w:p w14:paraId="12822D39" w14:textId="53ED68EE" w:rsidR="004734B5" w:rsidRPr="009D7CF6" w:rsidRDefault="0029747A" w:rsidP="00AB235A">
                <w:pPr>
                  <w:rPr>
                    <w:rFonts w:cstheme="minorHAnsi"/>
                    <w:color w:val="auto"/>
                  </w:rPr>
                </w:pPr>
                <w:r w:rsidRPr="009D7CF6">
                  <w:rPr>
                    <w:rFonts w:cstheme="minorHAnsi"/>
                    <w:color w:val="auto"/>
                  </w:rPr>
                  <w:t>2025 m. rugpjūčio 11 d.</w:t>
                </w:r>
              </w:p>
            </w:tc>
          </w:sdtContent>
        </w:sdt>
        <w:tc>
          <w:tcPr>
            <w:tcW w:w="4838" w:type="dxa"/>
            <w:tcBorders>
              <w:top w:val="single" w:sz="4" w:space="0" w:color="auto"/>
            </w:tcBorders>
          </w:tcPr>
          <w:p w14:paraId="270D95C3" w14:textId="71DD0E76" w:rsidR="004734B5" w:rsidRPr="009D7CF6" w:rsidRDefault="0044225D" w:rsidP="00AB235A">
            <w:pPr>
              <w:rPr>
                <w:rFonts w:cstheme="minorHAnsi"/>
                <w:color w:val="auto"/>
              </w:rPr>
            </w:pPr>
            <w:r w:rsidRPr="009D7CF6">
              <w:rPr>
                <w:rFonts w:cstheme="minorHAnsi"/>
                <w:color w:val="auto"/>
              </w:rPr>
              <w:t xml:space="preserve">Via Lietuva, AB </w:t>
            </w:r>
            <w:r w:rsidR="00DA5EC4" w:rsidRPr="009D7CF6">
              <w:rPr>
                <w:rFonts w:cstheme="minorHAnsi"/>
                <w:color w:val="auto"/>
              </w:rPr>
              <w:t>pirkim</w:t>
            </w:r>
            <w:r w:rsidR="00DA5EC4">
              <w:rPr>
                <w:rFonts w:cstheme="minorHAnsi"/>
                <w:color w:val="auto"/>
              </w:rPr>
              <w:t>o</w:t>
            </w:r>
            <w:r w:rsidR="00DA5EC4" w:rsidRPr="009D7CF6">
              <w:rPr>
                <w:rFonts w:cstheme="minorHAnsi"/>
                <w:color w:val="auto"/>
              </w:rPr>
              <w:t xml:space="preserve"> </w:t>
            </w:r>
            <w:r w:rsidRPr="009D7CF6">
              <w:rPr>
                <w:rFonts w:cstheme="minorHAnsi"/>
                <w:color w:val="auto"/>
              </w:rPr>
              <w:t>sutarčių valdysenos tikrinimas</w:t>
            </w:r>
          </w:p>
        </w:tc>
        <w:tc>
          <w:tcPr>
            <w:tcW w:w="4842" w:type="dxa"/>
            <w:tcBorders>
              <w:top w:val="single" w:sz="4" w:space="0" w:color="auto"/>
            </w:tcBorders>
          </w:tcPr>
          <w:p w14:paraId="4F371A34" w14:textId="2ED92E4C" w:rsidR="004734B5" w:rsidRPr="009D7CF6" w:rsidRDefault="000D7762" w:rsidP="00AB235A">
            <w:pPr>
              <w:rPr>
                <w:rFonts w:cstheme="minorHAnsi"/>
                <w:color w:val="auto"/>
              </w:rPr>
            </w:pPr>
            <w:r w:rsidRPr="009D7CF6">
              <w:rPr>
                <w:rFonts w:eastAsia="Calibri" w:cstheme="minorHAnsi"/>
                <w:color w:val="auto"/>
              </w:rPr>
              <w:t>Pirkimų valdysenos skyriaus patarėja R. K.</w:t>
            </w:r>
          </w:p>
        </w:tc>
      </w:tr>
    </w:tbl>
    <w:p w14:paraId="48A0F3AA" w14:textId="77777777" w:rsidR="004734B5" w:rsidRPr="009D7CF6"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9870"/>
      </w:tblGrid>
      <w:tr w:rsidR="004734B5" w:rsidRPr="009D7CF6" w14:paraId="63DDB8E6" w14:textId="77777777" w:rsidTr="00717BB7">
        <w:trPr>
          <w:cnfStyle w:val="100000000000" w:firstRow="1" w:lastRow="0" w:firstColumn="0" w:lastColumn="0" w:oddVBand="0" w:evenVBand="0" w:oddHBand="0" w:evenHBand="0" w:firstRowFirstColumn="0" w:firstRowLastColumn="0" w:lastRowFirstColumn="0" w:lastRowLastColumn="0"/>
        </w:trPr>
        <w:tc>
          <w:tcPr>
            <w:tcW w:w="3633" w:type="dxa"/>
            <w:tcBorders>
              <w:top w:val="nil"/>
              <w:left w:val="nil"/>
              <w:bottom w:val="single" w:sz="4" w:space="0" w:color="auto"/>
              <w:right w:val="nil"/>
            </w:tcBorders>
          </w:tcPr>
          <w:p w14:paraId="61B0A90E"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TIKrinimo APIMTIS:</w:t>
            </w:r>
          </w:p>
        </w:tc>
        <w:tc>
          <w:tcPr>
            <w:tcW w:w="9687" w:type="dxa"/>
            <w:tcBorders>
              <w:top w:val="nil"/>
              <w:left w:val="nil"/>
              <w:bottom w:val="single" w:sz="4" w:space="0" w:color="auto"/>
              <w:right w:val="nil"/>
            </w:tcBorders>
          </w:tcPr>
          <w:p w14:paraId="5152784B" w14:textId="77777777" w:rsidR="004734B5" w:rsidRPr="009D7CF6" w:rsidRDefault="004734B5" w:rsidP="00AB235A">
            <w:pPr>
              <w:rPr>
                <w:rFonts w:asciiTheme="minorHAnsi" w:hAnsiTheme="minorHAnsi" w:cstheme="minorHAnsi"/>
              </w:rPr>
            </w:pPr>
          </w:p>
        </w:tc>
      </w:tr>
      <w:tr w:rsidR="004734B5" w:rsidRPr="009D7CF6" w14:paraId="1FD973CC" w14:textId="77777777" w:rsidTr="00717BB7">
        <w:tc>
          <w:tcPr>
            <w:tcW w:w="3633" w:type="dxa"/>
          </w:tcPr>
          <w:p w14:paraId="6FE49D59" w14:textId="77777777" w:rsidR="004734B5" w:rsidRPr="009D7CF6" w:rsidRDefault="004734B5" w:rsidP="00AB235A">
            <w:pPr>
              <w:rPr>
                <w:rFonts w:cstheme="minorHAnsi"/>
                <w:color w:val="auto"/>
              </w:rPr>
            </w:pPr>
            <w:r w:rsidRPr="009D7CF6">
              <w:rPr>
                <w:rFonts w:cstheme="minorHAnsi"/>
                <w:color w:val="auto"/>
              </w:rPr>
              <w:t>C dalis</w:t>
            </w:r>
          </w:p>
        </w:tc>
        <w:tc>
          <w:tcPr>
            <w:tcW w:w="9687" w:type="dxa"/>
          </w:tcPr>
          <w:p w14:paraId="3075520C" w14:textId="77777777" w:rsidR="004734B5" w:rsidRPr="009D7CF6" w:rsidRDefault="004734B5" w:rsidP="00AB235A">
            <w:pPr>
              <w:rPr>
                <w:rFonts w:cstheme="minorHAnsi"/>
                <w:color w:val="auto"/>
              </w:rPr>
            </w:pPr>
            <w:r w:rsidRPr="009D7CF6">
              <w:rPr>
                <w:rFonts w:cstheme="minorHAnsi"/>
                <w:color w:val="auto"/>
              </w:rPr>
              <w:t>SUTARTIES VYKDYMO ETAPAS</w:t>
            </w:r>
          </w:p>
        </w:tc>
      </w:tr>
    </w:tbl>
    <w:p w14:paraId="743C1FFD" w14:textId="77777777" w:rsidR="004734B5" w:rsidRDefault="004734B5" w:rsidP="004734B5">
      <w:pPr>
        <w:rPr>
          <w:rFonts w:asciiTheme="minorHAnsi" w:hAnsiTheme="minorHAnsi" w:cstheme="minorHAnsi"/>
        </w:rPr>
      </w:pPr>
    </w:p>
    <w:p w14:paraId="1B3A2152" w14:textId="77777777" w:rsidR="007C5CE4" w:rsidRDefault="007C5CE4" w:rsidP="004734B5">
      <w:pPr>
        <w:rPr>
          <w:rFonts w:asciiTheme="minorHAnsi" w:hAnsiTheme="minorHAnsi" w:cstheme="minorHAnsi"/>
        </w:rPr>
      </w:pPr>
    </w:p>
    <w:p w14:paraId="4AD19D1E" w14:textId="77777777" w:rsidR="007C5CE4" w:rsidRPr="009D7CF6" w:rsidRDefault="007C5CE4" w:rsidP="004734B5">
      <w:pPr>
        <w:rPr>
          <w:rFonts w:asciiTheme="minorHAnsi" w:hAnsiTheme="minorHAnsi" w:cstheme="minorHAnsi"/>
        </w:rPr>
      </w:pPr>
    </w:p>
    <w:p w14:paraId="41A426AB" w14:textId="77777777" w:rsidR="004734B5" w:rsidRPr="009D7CF6" w:rsidRDefault="004734B5" w:rsidP="004734B5">
      <w:pPr>
        <w:pStyle w:val="Heading1"/>
        <w:spacing w:before="240"/>
        <w:ind w:left="142" w:right="142"/>
        <w:rPr>
          <w:rFonts w:asciiTheme="minorHAnsi" w:hAnsiTheme="minorHAnsi" w:cstheme="minorHAnsi"/>
        </w:rPr>
      </w:pPr>
      <w:r w:rsidRPr="009D7CF6">
        <w:rPr>
          <w:rFonts w:asciiTheme="minorHAnsi" w:hAnsiTheme="minorHAnsi" w:cstheme="minorHAnsi"/>
        </w:rPr>
        <w:lastRenderedPageBreak/>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2"/>
        <w:gridCol w:w="9870"/>
      </w:tblGrid>
      <w:tr w:rsidR="004734B5" w:rsidRPr="009D7CF6" w14:paraId="3F2B3D9F" w14:textId="77777777" w:rsidTr="00AB235A">
        <w:trPr>
          <w:cnfStyle w:val="100000000000" w:firstRow="1" w:lastRow="0" w:firstColumn="0" w:lastColumn="0" w:oddVBand="0" w:evenVBand="0" w:oddHBand="0" w:evenHBand="0" w:firstRowFirstColumn="0" w:firstRowLastColumn="0" w:lastRowFirstColumn="0" w:lastRowLastColumn="0"/>
        </w:trPr>
        <w:tc>
          <w:tcPr>
            <w:tcW w:w="3633" w:type="dxa"/>
            <w:tcBorders>
              <w:top w:val="nil"/>
              <w:left w:val="nil"/>
              <w:bottom w:val="single" w:sz="4" w:space="0" w:color="auto"/>
              <w:right w:val="nil"/>
            </w:tcBorders>
          </w:tcPr>
          <w:p w14:paraId="516C4E67"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TRUMPINYS</w:t>
            </w:r>
          </w:p>
        </w:tc>
        <w:tc>
          <w:tcPr>
            <w:tcW w:w="9687" w:type="dxa"/>
            <w:tcBorders>
              <w:top w:val="nil"/>
              <w:left w:val="nil"/>
              <w:bottom w:val="single" w:sz="4" w:space="0" w:color="auto"/>
              <w:right w:val="nil"/>
            </w:tcBorders>
          </w:tcPr>
          <w:p w14:paraId="4308AEEB"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Aprašymas</w:t>
            </w:r>
          </w:p>
        </w:tc>
      </w:tr>
      <w:tr w:rsidR="00C1720D" w:rsidRPr="00C1720D" w14:paraId="48C49F06" w14:textId="77777777" w:rsidTr="002A5ACF">
        <w:tc>
          <w:tcPr>
            <w:tcW w:w="3633" w:type="dxa"/>
            <w:tcBorders>
              <w:top w:val="single" w:sz="4" w:space="0" w:color="auto"/>
              <w:bottom w:val="single" w:sz="4" w:space="0" w:color="auto"/>
            </w:tcBorders>
          </w:tcPr>
          <w:p w14:paraId="00812F5F" w14:textId="404B83D0" w:rsidR="00222701" w:rsidRPr="00C1720D" w:rsidRDefault="003A7E70" w:rsidP="002A5ACF">
            <w:pPr>
              <w:rPr>
                <w:rFonts w:eastAsia="Calibri" w:cstheme="minorHAnsi"/>
                <w:b/>
                <w:bCs/>
                <w:color w:val="auto"/>
              </w:rPr>
            </w:pPr>
            <w:r w:rsidRPr="00C1720D">
              <w:rPr>
                <w:rFonts w:eastAsia="Calibri" w:cstheme="minorHAnsi"/>
                <w:b/>
                <w:bCs/>
                <w:color w:val="auto"/>
              </w:rPr>
              <w:t>Audito komitetas</w:t>
            </w:r>
          </w:p>
        </w:tc>
        <w:tc>
          <w:tcPr>
            <w:tcW w:w="9687" w:type="dxa"/>
            <w:tcBorders>
              <w:top w:val="single" w:sz="4" w:space="0" w:color="auto"/>
              <w:bottom w:val="single" w:sz="4" w:space="0" w:color="auto"/>
            </w:tcBorders>
          </w:tcPr>
          <w:p w14:paraId="7702FD84" w14:textId="2BE91846" w:rsidR="00222701" w:rsidRPr="00C1720D" w:rsidRDefault="003A7E70" w:rsidP="002A5ACF">
            <w:pPr>
              <w:rPr>
                <w:rFonts w:eastAsia="Calibri" w:cstheme="minorHAnsi"/>
                <w:color w:val="auto"/>
              </w:rPr>
            </w:pPr>
            <w:r w:rsidRPr="00C1720D">
              <w:rPr>
                <w:rFonts w:eastAsia="Calibri" w:cstheme="minorHAnsi"/>
                <w:color w:val="auto"/>
              </w:rPr>
              <w:t xml:space="preserve">PV kolegialus organas, veikiantis pagal </w:t>
            </w:r>
            <w:r w:rsidR="007C5CE4" w:rsidRPr="00C1720D">
              <w:rPr>
                <w:rFonts w:eastAsia="Calibri" w:cstheme="minorHAnsi"/>
                <w:color w:val="auto"/>
              </w:rPr>
              <w:t>PV</w:t>
            </w:r>
            <w:r w:rsidRPr="00C1720D">
              <w:rPr>
                <w:rFonts w:eastAsia="Calibri" w:cstheme="minorHAnsi"/>
                <w:color w:val="auto"/>
              </w:rPr>
              <w:t xml:space="preserve"> valdybos patvirtintus audito komiteto veiklos nuostatus. </w:t>
            </w:r>
          </w:p>
        </w:tc>
      </w:tr>
      <w:tr w:rsidR="002A5ACF" w:rsidRPr="009D7CF6" w14:paraId="7501B5C6" w14:textId="77777777" w:rsidTr="002A5ACF">
        <w:tc>
          <w:tcPr>
            <w:tcW w:w="3633" w:type="dxa"/>
            <w:tcBorders>
              <w:top w:val="single" w:sz="4" w:space="0" w:color="auto"/>
              <w:bottom w:val="single" w:sz="4" w:space="0" w:color="auto"/>
            </w:tcBorders>
          </w:tcPr>
          <w:p w14:paraId="78E7C4D7" w14:textId="2B480E1D" w:rsidR="002A5ACF" w:rsidRPr="009D7CF6" w:rsidRDefault="002A5ACF" w:rsidP="002A5ACF">
            <w:pPr>
              <w:rPr>
                <w:rFonts w:cstheme="minorHAnsi"/>
                <w:b/>
                <w:bCs/>
              </w:rPr>
            </w:pPr>
            <w:r w:rsidRPr="009D7CF6">
              <w:rPr>
                <w:rFonts w:eastAsia="Calibri" w:cstheme="minorHAnsi"/>
                <w:b/>
                <w:bCs/>
                <w:color w:val="auto"/>
              </w:rPr>
              <w:t>BVPŽ kodas</w:t>
            </w:r>
          </w:p>
        </w:tc>
        <w:tc>
          <w:tcPr>
            <w:tcW w:w="9687" w:type="dxa"/>
            <w:tcBorders>
              <w:top w:val="single" w:sz="4" w:space="0" w:color="auto"/>
              <w:bottom w:val="single" w:sz="4" w:space="0" w:color="auto"/>
            </w:tcBorders>
          </w:tcPr>
          <w:p w14:paraId="6E776244" w14:textId="1885180A" w:rsidR="002A5ACF" w:rsidRPr="009D7CF6" w:rsidRDefault="002A5ACF" w:rsidP="002A5ACF">
            <w:pPr>
              <w:rPr>
                <w:rFonts w:cstheme="minorHAnsi"/>
                <w:color w:val="auto"/>
              </w:rPr>
            </w:pPr>
            <w:r w:rsidRPr="009D7CF6">
              <w:rPr>
                <w:rFonts w:eastAsia="Calibri" w:cstheme="minorHAnsi"/>
                <w:color w:val="auto"/>
              </w:rPr>
              <w:t>Kodas pagal Bendrąjį viešųjų pirkimų žodyną, patvirtintą 2002 m. lapkričio 5 d. Europos Parlamento ir Tarybos reglamentu (EB) Nr. 2195/2002.</w:t>
            </w:r>
          </w:p>
        </w:tc>
      </w:tr>
      <w:tr w:rsidR="0006416B" w:rsidRPr="009D7CF6" w14:paraId="6D855940" w14:textId="77777777" w:rsidTr="0006416B">
        <w:tc>
          <w:tcPr>
            <w:tcW w:w="3633" w:type="dxa"/>
            <w:tcBorders>
              <w:top w:val="single" w:sz="4" w:space="0" w:color="auto"/>
              <w:bottom w:val="single" w:sz="4" w:space="0" w:color="auto"/>
            </w:tcBorders>
          </w:tcPr>
          <w:p w14:paraId="00386E4C" w14:textId="1B433919" w:rsidR="0006416B" w:rsidRPr="009D7CF6" w:rsidRDefault="0006416B" w:rsidP="0006416B">
            <w:pPr>
              <w:rPr>
                <w:rFonts w:eastAsia="Calibri" w:cstheme="minorHAnsi"/>
                <w:b/>
                <w:bCs/>
              </w:rPr>
            </w:pPr>
            <w:r w:rsidRPr="009D7CF6">
              <w:rPr>
                <w:rFonts w:eastAsia="Calibri" w:cstheme="minorHAnsi"/>
                <w:b/>
                <w:bCs/>
                <w:color w:val="auto"/>
              </w:rPr>
              <w:t>CPO LT</w:t>
            </w:r>
          </w:p>
        </w:tc>
        <w:tc>
          <w:tcPr>
            <w:tcW w:w="9687" w:type="dxa"/>
            <w:tcBorders>
              <w:top w:val="single" w:sz="4" w:space="0" w:color="auto"/>
              <w:bottom w:val="single" w:sz="4" w:space="0" w:color="auto"/>
            </w:tcBorders>
          </w:tcPr>
          <w:p w14:paraId="0FEC0B97" w14:textId="7CF24048" w:rsidR="0006416B" w:rsidRPr="009D7CF6" w:rsidRDefault="0006416B" w:rsidP="0006416B">
            <w:pPr>
              <w:rPr>
                <w:rFonts w:eastAsia="Calibri" w:cstheme="minorHAnsi"/>
                <w:color w:val="auto"/>
              </w:rPr>
            </w:pPr>
            <w:r w:rsidRPr="009D7CF6">
              <w:rPr>
                <w:rFonts w:eastAsia="Calibri" w:cstheme="minorHAnsi"/>
                <w:color w:val="auto"/>
              </w:rPr>
              <w:t>VšĮ CPO LT (juridinio asmens kodas 302913276).</w:t>
            </w:r>
          </w:p>
        </w:tc>
      </w:tr>
      <w:tr w:rsidR="00CD60C2" w:rsidRPr="009D7CF6" w14:paraId="2E597084" w14:textId="77777777" w:rsidTr="00CD60C2">
        <w:tc>
          <w:tcPr>
            <w:tcW w:w="3633" w:type="dxa"/>
            <w:tcBorders>
              <w:top w:val="single" w:sz="4" w:space="0" w:color="auto"/>
              <w:bottom w:val="single" w:sz="4" w:space="0" w:color="auto"/>
            </w:tcBorders>
          </w:tcPr>
          <w:p w14:paraId="61A7E28A" w14:textId="6D445CB1" w:rsidR="00CD60C2" w:rsidRPr="009D7CF6" w:rsidRDefault="00CD60C2" w:rsidP="00CD60C2">
            <w:pPr>
              <w:rPr>
                <w:rFonts w:eastAsia="Calibri" w:cstheme="minorHAnsi"/>
                <w:b/>
                <w:bCs/>
              </w:rPr>
            </w:pPr>
            <w:r w:rsidRPr="009D7CF6">
              <w:rPr>
                <w:rFonts w:eastAsia="Calibri" w:cstheme="minorHAnsi"/>
                <w:b/>
                <w:bCs/>
                <w:color w:val="auto"/>
              </w:rPr>
              <w:t>CVP IS</w:t>
            </w:r>
          </w:p>
        </w:tc>
        <w:tc>
          <w:tcPr>
            <w:tcW w:w="9687" w:type="dxa"/>
            <w:tcBorders>
              <w:top w:val="single" w:sz="4" w:space="0" w:color="auto"/>
              <w:bottom w:val="single" w:sz="4" w:space="0" w:color="auto"/>
            </w:tcBorders>
          </w:tcPr>
          <w:p w14:paraId="00AAAA71" w14:textId="72A4F5F2" w:rsidR="00CD60C2" w:rsidRPr="009D7CF6" w:rsidRDefault="00CD60C2" w:rsidP="00CD60C2">
            <w:pPr>
              <w:rPr>
                <w:rFonts w:eastAsia="Calibri" w:cstheme="minorHAnsi"/>
                <w:color w:val="auto"/>
              </w:rPr>
            </w:pPr>
            <w:r w:rsidRPr="009D7CF6">
              <w:rPr>
                <w:rFonts w:eastAsia="Calibri" w:cstheme="minorHAnsi"/>
                <w:color w:val="auto"/>
              </w:rPr>
              <w:t>Centrinė viešųjų pirkimų informacinė sistema.</w:t>
            </w:r>
          </w:p>
        </w:tc>
      </w:tr>
      <w:tr w:rsidR="00220C68" w:rsidRPr="009D7CF6" w14:paraId="7EBAA524" w14:textId="77777777" w:rsidTr="00220C68">
        <w:tc>
          <w:tcPr>
            <w:tcW w:w="3633" w:type="dxa"/>
            <w:tcBorders>
              <w:top w:val="single" w:sz="4" w:space="0" w:color="auto"/>
              <w:bottom w:val="single" w:sz="4" w:space="0" w:color="auto"/>
            </w:tcBorders>
          </w:tcPr>
          <w:p w14:paraId="72DBA640" w14:textId="10A14EB8" w:rsidR="00220C68" w:rsidRPr="009D7CF6" w:rsidRDefault="00220C68" w:rsidP="00220C68">
            <w:pPr>
              <w:rPr>
                <w:rFonts w:eastAsia="Calibri" w:cstheme="minorHAnsi"/>
                <w:b/>
                <w:bCs/>
              </w:rPr>
            </w:pPr>
            <w:r w:rsidRPr="009D7CF6">
              <w:rPr>
                <w:rFonts w:eastAsia="Calibri" w:cstheme="minorHAnsi"/>
                <w:b/>
                <w:bCs/>
                <w:color w:val="auto"/>
              </w:rPr>
              <w:t>DPS</w:t>
            </w:r>
          </w:p>
        </w:tc>
        <w:tc>
          <w:tcPr>
            <w:tcW w:w="9687" w:type="dxa"/>
            <w:tcBorders>
              <w:top w:val="single" w:sz="4" w:space="0" w:color="auto"/>
              <w:bottom w:val="single" w:sz="4" w:space="0" w:color="auto"/>
            </w:tcBorders>
          </w:tcPr>
          <w:p w14:paraId="6F85E54D" w14:textId="175591AF" w:rsidR="00220C68" w:rsidRPr="009D7CF6" w:rsidRDefault="00220C68" w:rsidP="00220C68">
            <w:pPr>
              <w:rPr>
                <w:rFonts w:eastAsia="Calibri" w:cstheme="minorHAnsi"/>
                <w:color w:val="auto"/>
              </w:rPr>
            </w:pPr>
            <w:r w:rsidRPr="009D7CF6">
              <w:rPr>
                <w:rFonts w:eastAsia="Calibri" w:cstheme="minorHAnsi"/>
                <w:color w:val="auto"/>
              </w:rPr>
              <w:t>Dinaminė pirkimų sistema.</w:t>
            </w:r>
          </w:p>
        </w:tc>
      </w:tr>
      <w:tr w:rsidR="00C1720D" w:rsidRPr="00C1720D" w14:paraId="3E554587" w14:textId="77777777" w:rsidTr="00220C68">
        <w:tc>
          <w:tcPr>
            <w:tcW w:w="3633" w:type="dxa"/>
            <w:tcBorders>
              <w:top w:val="single" w:sz="4" w:space="0" w:color="auto"/>
              <w:bottom w:val="single" w:sz="4" w:space="0" w:color="auto"/>
            </w:tcBorders>
          </w:tcPr>
          <w:p w14:paraId="41231014" w14:textId="5CAE4CB5" w:rsidR="00B9544D" w:rsidRPr="00C1720D" w:rsidRDefault="007E48B8" w:rsidP="00220C68">
            <w:pPr>
              <w:rPr>
                <w:rFonts w:eastAsia="Calibri" w:cstheme="minorHAnsi"/>
                <w:b/>
                <w:bCs/>
                <w:color w:val="auto"/>
              </w:rPr>
            </w:pPr>
            <w:r w:rsidRPr="00C1720D">
              <w:rPr>
                <w:rFonts w:eastAsia="Calibri" w:cstheme="minorHAnsi"/>
                <w:b/>
                <w:bCs/>
                <w:color w:val="auto"/>
              </w:rPr>
              <w:t>Grupės vadovas</w:t>
            </w:r>
          </w:p>
        </w:tc>
        <w:tc>
          <w:tcPr>
            <w:tcW w:w="9687" w:type="dxa"/>
            <w:tcBorders>
              <w:top w:val="single" w:sz="4" w:space="0" w:color="auto"/>
              <w:bottom w:val="single" w:sz="4" w:space="0" w:color="auto"/>
            </w:tcBorders>
          </w:tcPr>
          <w:p w14:paraId="792C94CC" w14:textId="7F65BCF7" w:rsidR="00B9544D" w:rsidRPr="00C1720D" w:rsidRDefault="00AD48CD" w:rsidP="00220C68">
            <w:pPr>
              <w:rPr>
                <w:rFonts w:eastAsia="Calibri" w:cstheme="minorHAnsi"/>
                <w:color w:val="auto"/>
              </w:rPr>
            </w:pPr>
            <w:r w:rsidRPr="00C1720D">
              <w:rPr>
                <w:rFonts w:eastAsia="Calibri" w:cstheme="minorHAnsi"/>
                <w:color w:val="auto"/>
              </w:rPr>
              <w:t>PV struktūrinės grupės vadovas arba PV generaliniam direktoriui tiesiogiai pavaldaus skyriaus vadovas</w:t>
            </w:r>
            <w:r w:rsidR="00455C99" w:rsidRPr="00C1720D">
              <w:rPr>
                <w:rFonts w:eastAsia="Calibri" w:cstheme="minorHAnsi"/>
                <w:color w:val="auto"/>
              </w:rPr>
              <w:t>.</w:t>
            </w:r>
          </w:p>
        </w:tc>
      </w:tr>
      <w:tr w:rsidR="000E4F56" w:rsidRPr="009D7CF6" w14:paraId="000A69A6" w14:textId="77777777" w:rsidTr="00220C68">
        <w:tc>
          <w:tcPr>
            <w:tcW w:w="3633" w:type="dxa"/>
            <w:tcBorders>
              <w:top w:val="single" w:sz="4" w:space="0" w:color="auto"/>
              <w:bottom w:val="single" w:sz="4" w:space="0" w:color="auto"/>
            </w:tcBorders>
          </w:tcPr>
          <w:p w14:paraId="25438E04" w14:textId="2A089B3E" w:rsidR="000E4F56" w:rsidRPr="009D7CF6" w:rsidRDefault="00FF762A" w:rsidP="00220C68">
            <w:pPr>
              <w:rPr>
                <w:rFonts w:eastAsia="Calibri" w:cstheme="minorHAnsi"/>
                <w:b/>
                <w:bCs/>
                <w:noProof/>
              </w:rPr>
            </w:pPr>
            <w:r w:rsidRPr="00FF762A">
              <w:rPr>
                <w:rFonts w:eastAsia="Calibri" w:cstheme="minorHAnsi"/>
                <w:b/>
                <w:bCs/>
                <w:noProof/>
                <w:color w:val="auto"/>
              </w:rPr>
              <w:t>Ivanti</w:t>
            </w:r>
          </w:p>
        </w:tc>
        <w:tc>
          <w:tcPr>
            <w:tcW w:w="9687" w:type="dxa"/>
            <w:tcBorders>
              <w:top w:val="single" w:sz="4" w:space="0" w:color="auto"/>
              <w:bottom w:val="single" w:sz="4" w:space="0" w:color="auto"/>
            </w:tcBorders>
          </w:tcPr>
          <w:p w14:paraId="2BABFCB5" w14:textId="5756BB5C" w:rsidR="000E4F56" w:rsidRPr="009D7CF6" w:rsidRDefault="00C23939" w:rsidP="00220C68">
            <w:pPr>
              <w:rPr>
                <w:rFonts w:eastAsia="Calibri" w:cstheme="minorHAnsi"/>
              </w:rPr>
            </w:pPr>
            <w:r w:rsidRPr="00C23939">
              <w:rPr>
                <w:rFonts w:eastAsia="Calibri" w:cstheme="minorHAnsi"/>
                <w:color w:val="auto"/>
              </w:rPr>
              <w:t xml:space="preserve">PV </w:t>
            </w:r>
            <w:r w:rsidR="00DA5EC4" w:rsidRPr="00C23939">
              <w:rPr>
                <w:rFonts w:eastAsia="Calibri" w:cstheme="minorHAnsi"/>
                <w:color w:val="auto"/>
              </w:rPr>
              <w:t>naudojam</w:t>
            </w:r>
            <w:r w:rsidR="00DA5EC4">
              <w:rPr>
                <w:rFonts w:eastAsia="Calibri" w:cstheme="minorHAnsi"/>
                <w:color w:val="auto"/>
              </w:rPr>
              <w:t>a</w:t>
            </w:r>
            <w:r w:rsidR="00DA5EC4" w:rsidRPr="00C23939">
              <w:rPr>
                <w:rFonts w:eastAsia="Calibri" w:cstheme="minorHAnsi"/>
                <w:color w:val="auto"/>
              </w:rPr>
              <w:t xml:space="preserve"> </w:t>
            </w:r>
            <w:r w:rsidRPr="00C23939">
              <w:rPr>
                <w:rFonts w:eastAsia="Calibri" w:cstheme="minorHAnsi"/>
                <w:color w:val="auto"/>
              </w:rPr>
              <w:t>dokumentų derinimo sistema.</w:t>
            </w:r>
          </w:p>
        </w:tc>
      </w:tr>
      <w:tr w:rsidR="00B60A8C" w:rsidRPr="009D7CF6" w14:paraId="51323F11" w14:textId="77777777" w:rsidTr="00B60A8C">
        <w:tc>
          <w:tcPr>
            <w:tcW w:w="3633" w:type="dxa"/>
            <w:tcBorders>
              <w:top w:val="single" w:sz="4" w:space="0" w:color="auto"/>
              <w:bottom w:val="single" w:sz="4" w:space="0" w:color="auto"/>
            </w:tcBorders>
          </w:tcPr>
          <w:p w14:paraId="025E6104" w14:textId="41888A08" w:rsidR="00B60A8C" w:rsidRPr="009D7CF6" w:rsidRDefault="00B60A8C" w:rsidP="00B60A8C">
            <w:pPr>
              <w:rPr>
                <w:rFonts w:eastAsia="Calibri" w:cstheme="minorHAnsi"/>
                <w:b/>
                <w:bCs/>
              </w:rPr>
            </w:pPr>
            <w:r w:rsidRPr="009D7CF6">
              <w:rPr>
                <w:rFonts w:eastAsia="Calibri" w:cstheme="minorHAnsi"/>
                <w:b/>
                <w:bCs/>
                <w:color w:val="auto"/>
              </w:rPr>
              <w:t>Nepatikimų tiekėjų sąrašas</w:t>
            </w:r>
          </w:p>
        </w:tc>
        <w:tc>
          <w:tcPr>
            <w:tcW w:w="9687" w:type="dxa"/>
            <w:tcBorders>
              <w:top w:val="single" w:sz="4" w:space="0" w:color="auto"/>
              <w:bottom w:val="single" w:sz="4" w:space="0" w:color="auto"/>
            </w:tcBorders>
          </w:tcPr>
          <w:p w14:paraId="79BC8B20" w14:textId="2D4A7C76" w:rsidR="00B60A8C" w:rsidRPr="009D7CF6" w:rsidRDefault="00755275" w:rsidP="00B60A8C">
            <w:pPr>
              <w:rPr>
                <w:rFonts w:eastAsia="Calibri" w:cstheme="minorHAnsi"/>
                <w:color w:val="auto"/>
              </w:rPr>
            </w:pPr>
            <w:r>
              <w:rPr>
                <w:rFonts w:eastAsia="Calibri" w:cstheme="minorHAnsi"/>
                <w:color w:val="auto"/>
              </w:rPr>
              <w:t>N</w:t>
            </w:r>
            <w:r w:rsidR="00B60A8C" w:rsidRPr="009D7CF6">
              <w:rPr>
                <w:rFonts w:eastAsia="Calibri" w:cstheme="minorHAnsi"/>
                <w:color w:val="auto"/>
              </w:rPr>
              <w:t>etinkamai pirkimo sutartį įvykdžiusių (ar jos neįvykdžiusių) tiekėjų sąrašas, kai toks neįvykdymas yra esminis sutarties pažeidimas.</w:t>
            </w:r>
          </w:p>
        </w:tc>
      </w:tr>
      <w:tr w:rsidR="00836B9E" w:rsidRPr="00836B9E" w14:paraId="486E6C29" w14:textId="77777777" w:rsidTr="005F23DF">
        <w:tc>
          <w:tcPr>
            <w:tcW w:w="3633" w:type="dxa"/>
            <w:tcBorders>
              <w:top w:val="single" w:sz="4" w:space="0" w:color="auto"/>
            </w:tcBorders>
          </w:tcPr>
          <w:p w14:paraId="727C861C" w14:textId="77777777" w:rsidR="00836B9E" w:rsidRPr="00836B9E" w:rsidRDefault="00836B9E" w:rsidP="005F23DF">
            <w:pPr>
              <w:rPr>
                <w:rFonts w:eastAsia="Calibri" w:cstheme="minorHAnsi"/>
                <w:b/>
                <w:bCs/>
                <w:color w:val="auto"/>
              </w:rPr>
            </w:pPr>
            <w:r w:rsidRPr="00836B9E">
              <w:rPr>
                <w:rFonts w:eastAsia="Calibri" w:cstheme="minorHAnsi"/>
                <w:b/>
                <w:bCs/>
                <w:color w:val="auto"/>
              </w:rPr>
              <w:t xml:space="preserve">Netesybų ir sankcijų taikymo </w:t>
            </w:r>
            <w:r w:rsidRPr="00836B9E">
              <w:rPr>
                <w:rFonts w:eastAsia="Calibri" w:cstheme="minorHAnsi"/>
                <w:b/>
                <w:bCs/>
                <w:noProof/>
                <w:color w:val="auto"/>
              </w:rPr>
              <w:t>subproceso</w:t>
            </w:r>
            <w:r w:rsidRPr="00836B9E">
              <w:rPr>
                <w:rFonts w:eastAsia="Calibri" w:cstheme="minorHAnsi"/>
                <w:b/>
                <w:bCs/>
                <w:color w:val="auto"/>
              </w:rPr>
              <w:t xml:space="preserve"> standartas</w:t>
            </w:r>
          </w:p>
        </w:tc>
        <w:tc>
          <w:tcPr>
            <w:tcW w:w="9687" w:type="dxa"/>
            <w:tcBorders>
              <w:top w:val="single" w:sz="4" w:space="0" w:color="auto"/>
            </w:tcBorders>
          </w:tcPr>
          <w:p w14:paraId="2E31D2BD" w14:textId="77777777" w:rsidR="00836B9E" w:rsidRPr="00836B9E" w:rsidRDefault="00836B9E" w:rsidP="005F23DF">
            <w:pPr>
              <w:rPr>
                <w:rFonts w:eastAsia="Calibri" w:cstheme="minorHAnsi"/>
                <w:color w:val="auto"/>
              </w:rPr>
            </w:pPr>
            <w:r w:rsidRPr="00836B9E">
              <w:rPr>
                <w:rFonts w:eastAsia="Calibri" w:cstheme="minorHAnsi"/>
                <w:color w:val="auto"/>
              </w:rPr>
              <w:t xml:space="preserve">Netesybų ir sankcijų taikymo </w:t>
            </w:r>
            <w:r w:rsidRPr="00836B9E">
              <w:rPr>
                <w:rFonts w:eastAsia="Calibri" w:cstheme="minorHAnsi"/>
                <w:noProof/>
                <w:color w:val="auto"/>
              </w:rPr>
              <w:t>subproceso</w:t>
            </w:r>
            <w:r w:rsidRPr="00836B9E">
              <w:rPr>
                <w:rFonts w:eastAsia="Calibri" w:cstheme="minorHAnsi"/>
                <w:color w:val="auto"/>
              </w:rPr>
              <w:t xml:space="preserve"> standartas, patvirtintas 2025 spalio 19 d.  PV Teisės skyriaus vadovo  sprendimu Nr. 6-25-4334.</w:t>
            </w:r>
          </w:p>
        </w:tc>
      </w:tr>
      <w:tr w:rsidR="000C2ADB" w:rsidRPr="009D7CF6" w14:paraId="09B86DC5" w14:textId="77777777" w:rsidTr="00B60A8C">
        <w:tc>
          <w:tcPr>
            <w:tcW w:w="3633" w:type="dxa"/>
            <w:tcBorders>
              <w:top w:val="single" w:sz="4" w:space="0" w:color="auto"/>
              <w:bottom w:val="single" w:sz="4" w:space="0" w:color="auto"/>
            </w:tcBorders>
          </w:tcPr>
          <w:p w14:paraId="5DF696B0" w14:textId="20846E75" w:rsidR="000C2ADB" w:rsidRPr="009D7CF6" w:rsidRDefault="000C2ADB" w:rsidP="00B60A8C">
            <w:pPr>
              <w:rPr>
                <w:rFonts w:eastAsia="Calibri" w:cstheme="minorHAnsi"/>
                <w:b/>
                <w:bCs/>
              </w:rPr>
            </w:pPr>
            <w:r w:rsidRPr="009D7CF6">
              <w:rPr>
                <w:rFonts w:eastAsia="Calibri" w:cstheme="minorHAnsi"/>
                <w:b/>
                <w:bCs/>
                <w:color w:val="auto"/>
              </w:rPr>
              <w:t>PV</w:t>
            </w:r>
            <w:r w:rsidR="00DF399F">
              <w:rPr>
                <w:rFonts w:eastAsia="Calibri" w:cstheme="minorHAnsi"/>
                <w:b/>
                <w:bCs/>
                <w:color w:val="auto"/>
              </w:rPr>
              <w:t>/Bendrovė</w:t>
            </w:r>
          </w:p>
        </w:tc>
        <w:tc>
          <w:tcPr>
            <w:tcW w:w="9687" w:type="dxa"/>
            <w:tcBorders>
              <w:top w:val="single" w:sz="4" w:space="0" w:color="auto"/>
              <w:bottom w:val="single" w:sz="4" w:space="0" w:color="auto"/>
            </w:tcBorders>
          </w:tcPr>
          <w:p w14:paraId="57FFC1BE" w14:textId="0D4CD521" w:rsidR="000C2ADB" w:rsidRPr="009D7CF6" w:rsidRDefault="00A8797D" w:rsidP="00B60A8C">
            <w:pPr>
              <w:rPr>
                <w:rFonts w:eastAsia="Calibri" w:cstheme="minorHAnsi"/>
              </w:rPr>
            </w:pPr>
            <w:r w:rsidRPr="009D7CF6">
              <w:rPr>
                <w:rFonts w:cstheme="minorHAnsi"/>
                <w:color w:val="auto"/>
              </w:rPr>
              <w:t xml:space="preserve">Via Lietuva, AB </w:t>
            </w:r>
            <w:r w:rsidR="00755275">
              <w:rPr>
                <w:rFonts w:cstheme="minorHAnsi"/>
                <w:color w:val="auto"/>
              </w:rPr>
              <w:t>(</w:t>
            </w:r>
            <w:r w:rsidRPr="009D7CF6">
              <w:rPr>
                <w:rFonts w:cstheme="minorHAnsi"/>
                <w:color w:val="auto"/>
              </w:rPr>
              <w:t xml:space="preserve">juridinio asmens kodas </w:t>
            </w:r>
            <w:r w:rsidR="005E0DAC" w:rsidRPr="009D7CF6">
              <w:rPr>
                <w:rFonts w:cstheme="minorHAnsi"/>
                <w:color w:val="auto"/>
              </w:rPr>
              <w:t>188710638</w:t>
            </w:r>
            <w:r w:rsidR="00755275">
              <w:rPr>
                <w:rFonts w:cstheme="minorHAnsi"/>
                <w:color w:val="auto"/>
              </w:rPr>
              <w:t>)</w:t>
            </w:r>
            <w:r w:rsidR="005E0DAC" w:rsidRPr="009D7CF6">
              <w:rPr>
                <w:rFonts w:cstheme="minorHAnsi"/>
                <w:color w:val="auto"/>
              </w:rPr>
              <w:t>.</w:t>
            </w:r>
          </w:p>
        </w:tc>
      </w:tr>
      <w:tr w:rsidR="00D13B63" w:rsidRPr="009D7CF6" w14:paraId="75FDE0FD" w14:textId="77777777" w:rsidTr="00D13B63">
        <w:tc>
          <w:tcPr>
            <w:tcW w:w="3633" w:type="dxa"/>
            <w:tcBorders>
              <w:top w:val="single" w:sz="4" w:space="0" w:color="auto"/>
              <w:bottom w:val="single" w:sz="4" w:space="0" w:color="auto"/>
            </w:tcBorders>
          </w:tcPr>
          <w:p w14:paraId="31837C77" w14:textId="66288E76" w:rsidR="00D13B63" w:rsidRPr="009D7CF6" w:rsidRDefault="00D13B63" w:rsidP="00D13B63">
            <w:pPr>
              <w:rPr>
                <w:rFonts w:eastAsia="Calibri" w:cstheme="minorHAnsi"/>
                <w:b/>
                <w:bCs/>
              </w:rPr>
            </w:pPr>
            <w:r w:rsidRPr="009D7CF6">
              <w:rPr>
                <w:rFonts w:eastAsia="Calibri" w:cstheme="minorHAnsi"/>
                <w:b/>
                <w:bCs/>
                <w:color w:val="auto"/>
              </w:rPr>
              <w:t>PVS</w:t>
            </w:r>
          </w:p>
        </w:tc>
        <w:tc>
          <w:tcPr>
            <w:tcW w:w="9687" w:type="dxa"/>
            <w:tcBorders>
              <w:top w:val="single" w:sz="4" w:space="0" w:color="auto"/>
              <w:bottom w:val="single" w:sz="4" w:space="0" w:color="auto"/>
            </w:tcBorders>
          </w:tcPr>
          <w:p w14:paraId="1C4AA08C" w14:textId="3CEE2513" w:rsidR="00D13B63" w:rsidRPr="009D7CF6" w:rsidRDefault="00D13B63" w:rsidP="00D13B63">
            <w:pPr>
              <w:rPr>
                <w:rFonts w:eastAsia="Calibri" w:cstheme="minorHAnsi"/>
                <w:color w:val="auto"/>
              </w:rPr>
            </w:pPr>
            <w:r w:rsidRPr="009D7CF6">
              <w:rPr>
                <w:rFonts w:eastAsia="Calibri" w:cstheme="minorHAnsi"/>
                <w:color w:val="auto"/>
              </w:rPr>
              <w:t>PV naudojama pirkimų valdymo sistema.</w:t>
            </w:r>
          </w:p>
        </w:tc>
      </w:tr>
      <w:tr w:rsidR="00977B1B" w:rsidRPr="00977B1B" w14:paraId="0448E7C4" w14:textId="77777777" w:rsidTr="005F23DF">
        <w:tc>
          <w:tcPr>
            <w:tcW w:w="3633" w:type="dxa"/>
            <w:tcBorders>
              <w:top w:val="single" w:sz="4" w:space="0" w:color="auto"/>
              <w:bottom w:val="single" w:sz="4" w:space="0" w:color="auto"/>
            </w:tcBorders>
          </w:tcPr>
          <w:p w14:paraId="330081E0" w14:textId="77777777" w:rsidR="00977B1B" w:rsidRPr="00977B1B" w:rsidRDefault="00977B1B" w:rsidP="005F23DF">
            <w:pPr>
              <w:rPr>
                <w:rFonts w:eastAsia="Calibri" w:cstheme="minorHAnsi"/>
                <w:b/>
                <w:bCs/>
                <w:color w:val="auto"/>
              </w:rPr>
            </w:pPr>
            <w:r w:rsidRPr="00977B1B">
              <w:rPr>
                <w:rFonts w:eastAsia="Calibri" w:cstheme="minorHAnsi"/>
                <w:b/>
                <w:bCs/>
                <w:color w:val="auto"/>
              </w:rPr>
              <w:t>Subtiekėjų ir specialistų pasitelkimo ir/ar keitimo taisyklės</w:t>
            </w:r>
          </w:p>
        </w:tc>
        <w:tc>
          <w:tcPr>
            <w:tcW w:w="9687" w:type="dxa"/>
            <w:tcBorders>
              <w:top w:val="single" w:sz="4" w:space="0" w:color="auto"/>
              <w:bottom w:val="single" w:sz="4" w:space="0" w:color="auto"/>
            </w:tcBorders>
          </w:tcPr>
          <w:p w14:paraId="35832C57" w14:textId="77777777" w:rsidR="00977B1B" w:rsidRPr="00977B1B" w:rsidRDefault="00977B1B" w:rsidP="005F23DF">
            <w:pPr>
              <w:rPr>
                <w:rFonts w:eastAsia="Calibri" w:cstheme="minorHAnsi"/>
                <w:color w:val="auto"/>
              </w:rPr>
            </w:pPr>
            <w:r w:rsidRPr="00977B1B">
              <w:rPr>
                <w:rFonts w:eastAsia="Calibri" w:cstheme="minorHAnsi"/>
                <w:color w:val="auto"/>
              </w:rPr>
              <w:t>Subtiekėjų ir specialistų pasitelkimo ir/ar keitimo taisyklės, patvirtintos 2025 gruodžio 3 d.  PV Teisės skyriaus vadovo  sprendimu Nr. 6-25-5001.</w:t>
            </w:r>
          </w:p>
        </w:tc>
      </w:tr>
      <w:tr w:rsidR="00836B9E" w:rsidRPr="00836B9E" w14:paraId="574ACD4B" w14:textId="77777777" w:rsidTr="005F23DF">
        <w:tc>
          <w:tcPr>
            <w:tcW w:w="3633" w:type="dxa"/>
            <w:tcBorders>
              <w:top w:val="single" w:sz="4" w:space="0" w:color="auto"/>
            </w:tcBorders>
          </w:tcPr>
          <w:p w14:paraId="306BBD2A" w14:textId="77777777" w:rsidR="00836B9E" w:rsidRPr="00836B9E" w:rsidRDefault="00836B9E" w:rsidP="005F23DF">
            <w:pPr>
              <w:rPr>
                <w:rFonts w:eastAsia="Calibri" w:cstheme="minorHAnsi"/>
                <w:b/>
                <w:bCs/>
                <w:color w:val="auto"/>
              </w:rPr>
            </w:pPr>
            <w:r w:rsidRPr="00836B9E">
              <w:rPr>
                <w:rFonts w:eastAsia="Calibri" w:cstheme="minorHAnsi"/>
                <w:b/>
                <w:bCs/>
                <w:color w:val="auto"/>
              </w:rPr>
              <w:t xml:space="preserve">Sutarčių keitimo </w:t>
            </w:r>
            <w:r w:rsidRPr="00836B9E">
              <w:rPr>
                <w:rFonts w:eastAsia="Calibri" w:cstheme="minorHAnsi"/>
                <w:b/>
                <w:bCs/>
                <w:noProof/>
                <w:color w:val="auto"/>
              </w:rPr>
              <w:t>subproceso</w:t>
            </w:r>
            <w:r w:rsidRPr="00836B9E">
              <w:rPr>
                <w:rFonts w:eastAsia="Calibri" w:cstheme="minorHAnsi"/>
                <w:b/>
                <w:bCs/>
                <w:color w:val="auto"/>
              </w:rPr>
              <w:t xml:space="preserve"> standartas</w:t>
            </w:r>
          </w:p>
        </w:tc>
        <w:tc>
          <w:tcPr>
            <w:tcW w:w="9687" w:type="dxa"/>
            <w:tcBorders>
              <w:top w:val="single" w:sz="4" w:space="0" w:color="auto"/>
            </w:tcBorders>
          </w:tcPr>
          <w:p w14:paraId="3044B7C5" w14:textId="77777777" w:rsidR="00836B9E" w:rsidRPr="00836B9E" w:rsidRDefault="00836B9E" w:rsidP="005F23DF">
            <w:pPr>
              <w:rPr>
                <w:rFonts w:eastAsia="Calibri" w:cstheme="minorHAnsi"/>
                <w:color w:val="auto"/>
              </w:rPr>
            </w:pPr>
            <w:r w:rsidRPr="00836B9E">
              <w:rPr>
                <w:rFonts w:eastAsia="Calibri" w:cstheme="minorHAnsi"/>
                <w:color w:val="auto"/>
              </w:rPr>
              <w:t xml:space="preserve">Sutarčių keitimo </w:t>
            </w:r>
            <w:r w:rsidRPr="00836B9E">
              <w:rPr>
                <w:rFonts w:eastAsia="Calibri" w:cstheme="minorHAnsi"/>
                <w:noProof/>
                <w:color w:val="auto"/>
              </w:rPr>
              <w:t>subproceso</w:t>
            </w:r>
            <w:r w:rsidRPr="00836B9E">
              <w:rPr>
                <w:rFonts w:eastAsia="Calibri" w:cstheme="minorHAnsi"/>
                <w:color w:val="auto"/>
              </w:rPr>
              <w:t xml:space="preserve"> standartas, patvirtintas 2025 gruodžio 10 d.  PV Teisės skyriaus vadovo  sprendimu Nr. 6-25-5148.</w:t>
            </w:r>
          </w:p>
        </w:tc>
      </w:tr>
      <w:tr w:rsidR="007B29AF" w:rsidRPr="007B29AF" w14:paraId="76C0B06A" w14:textId="77777777" w:rsidTr="005F23DF">
        <w:tc>
          <w:tcPr>
            <w:tcW w:w="3633" w:type="dxa"/>
            <w:tcBorders>
              <w:top w:val="single" w:sz="4" w:space="0" w:color="auto"/>
            </w:tcBorders>
          </w:tcPr>
          <w:p w14:paraId="0FA90289" w14:textId="77777777" w:rsidR="007B29AF" w:rsidRPr="007B29AF" w:rsidRDefault="007B29AF" w:rsidP="005F23DF">
            <w:pPr>
              <w:rPr>
                <w:rFonts w:eastAsia="Calibri" w:cstheme="minorHAnsi"/>
                <w:b/>
                <w:bCs/>
                <w:color w:val="auto"/>
              </w:rPr>
            </w:pPr>
            <w:r w:rsidRPr="007B29AF">
              <w:rPr>
                <w:rFonts w:eastAsia="Calibri" w:cstheme="minorHAnsi"/>
                <w:b/>
                <w:bCs/>
                <w:color w:val="auto"/>
              </w:rPr>
              <w:t xml:space="preserve">Sutarčių nutraukimo </w:t>
            </w:r>
            <w:r w:rsidRPr="007B29AF">
              <w:rPr>
                <w:rFonts w:eastAsia="Calibri" w:cstheme="minorHAnsi"/>
                <w:b/>
                <w:bCs/>
                <w:noProof/>
                <w:color w:val="auto"/>
              </w:rPr>
              <w:t>subproceso</w:t>
            </w:r>
            <w:r w:rsidRPr="007B29AF">
              <w:rPr>
                <w:rFonts w:eastAsia="Calibri" w:cstheme="minorHAnsi"/>
                <w:b/>
                <w:bCs/>
                <w:color w:val="auto"/>
              </w:rPr>
              <w:t xml:space="preserve"> standartas</w:t>
            </w:r>
          </w:p>
        </w:tc>
        <w:tc>
          <w:tcPr>
            <w:tcW w:w="9687" w:type="dxa"/>
            <w:tcBorders>
              <w:top w:val="single" w:sz="4" w:space="0" w:color="auto"/>
            </w:tcBorders>
          </w:tcPr>
          <w:p w14:paraId="61D30055" w14:textId="77777777" w:rsidR="007B29AF" w:rsidRPr="007B29AF" w:rsidRDefault="007B29AF" w:rsidP="005F23DF">
            <w:pPr>
              <w:rPr>
                <w:rFonts w:eastAsia="Calibri" w:cstheme="minorHAnsi"/>
                <w:color w:val="auto"/>
              </w:rPr>
            </w:pPr>
            <w:r w:rsidRPr="007B29AF">
              <w:rPr>
                <w:rFonts w:eastAsia="Calibri" w:cstheme="minorHAnsi"/>
                <w:color w:val="auto"/>
              </w:rPr>
              <w:t xml:space="preserve">Sutarčių nutraukimo </w:t>
            </w:r>
            <w:r w:rsidRPr="007B29AF">
              <w:rPr>
                <w:rFonts w:eastAsia="Calibri" w:cstheme="minorHAnsi"/>
                <w:noProof/>
                <w:color w:val="auto"/>
              </w:rPr>
              <w:t>subproceso</w:t>
            </w:r>
            <w:r w:rsidRPr="007B29AF">
              <w:rPr>
                <w:rFonts w:eastAsia="Calibri" w:cstheme="minorHAnsi"/>
                <w:color w:val="auto"/>
              </w:rPr>
              <w:t xml:space="preserve"> standartas, patvirtintas 2025 rugsėjo 23 d.  PV Teisės skyriaus vadovo  sprendimu Nr. 6-25-3937.</w:t>
            </w:r>
          </w:p>
        </w:tc>
      </w:tr>
      <w:tr w:rsidR="00C23939" w:rsidRPr="009D7CF6" w14:paraId="20AF8EEF" w14:textId="77777777" w:rsidTr="00D13B63">
        <w:tc>
          <w:tcPr>
            <w:tcW w:w="3633" w:type="dxa"/>
            <w:tcBorders>
              <w:top w:val="single" w:sz="4" w:space="0" w:color="auto"/>
              <w:bottom w:val="single" w:sz="4" w:space="0" w:color="auto"/>
            </w:tcBorders>
          </w:tcPr>
          <w:p w14:paraId="4B44D96D" w14:textId="71EBCB5F" w:rsidR="00C23939" w:rsidRPr="00A30D4E" w:rsidRDefault="00943870" w:rsidP="00D13B63">
            <w:pPr>
              <w:rPr>
                <w:rFonts w:eastAsia="Calibri" w:cstheme="minorHAnsi"/>
                <w:b/>
                <w:bCs/>
                <w:color w:val="auto"/>
              </w:rPr>
            </w:pPr>
            <w:r w:rsidRPr="00A30D4E">
              <w:rPr>
                <w:rFonts w:eastAsia="Calibri" w:cstheme="minorHAnsi"/>
                <w:b/>
                <w:bCs/>
                <w:color w:val="auto"/>
              </w:rPr>
              <w:t>Sutarties savininkas</w:t>
            </w:r>
          </w:p>
        </w:tc>
        <w:tc>
          <w:tcPr>
            <w:tcW w:w="9687" w:type="dxa"/>
            <w:tcBorders>
              <w:top w:val="single" w:sz="4" w:space="0" w:color="auto"/>
              <w:bottom w:val="single" w:sz="4" w:space="0" w:color="auto"/>
            </w:tcBorders>
          </w:tcPr>
          <w:p w14:paraId="2B5616A5" w14:textId="3C58B865" w:rsidR="00C23939" w:rsidRPr="00A30D4E" w:rsidRDefault="00A30D4E" w:rsidP="00A30D4E">
            <w:pPr>
              <w:rPr>
                <w:rFonts w:eastAsia="Calibri" w:cstheme="minorHAnsi"/>
                <w:color w:val="auto"/>
              </w:rPr>
            </w:pPr>
            <w:r w:rsidRPr="00A30D4E">
              <w:rPr>
                <w:rFonts w:eastAsia="Calibri" w:cstheme="minorHAnsi"/>
                <w:color w:val="auto"/>
              </w:rPr>
              <w:t xml:space="preserve">PV darbuotojas, kuriam pagal priskirtas atsakomybės sritis ir vykdomas funkcijas </w:t>
            </w:r>
            <w:r w:rsidR="003A56DB" w:rsidRPr="00A30D4E">
              <w:rPr>
                <w:rFonts w:eastAsia="Calibri" w:cstheme="minorHAnsi"/>
                <w:color w:val="auto"/>
              </w:rPr>
              <w:t>priskirt</w:t>
            </w:r>
            <w:r w:rsidR="003A56DB">
              <w:rPr>
                <w:rFonts w:eastAsia="Calibri" w:cstheme="minorHAnsi"/>
                <w:color w:val="auto"/>
              </w:rPr>
              <w:t>a</w:t>
            </w:r>
            <w:r w:rsidR="003A56DB" w:rsidRPr="00A30D4E">
              <w:rPr>
                <w:rFonts w:eastAsia="Calibri" w:cstheme="minorHAnsi"/>
                <w:color w:val="auto"/>
              </w:rPr>
              <w:t xml:space="preserve"> </w:t>
            </w:r>
            <w:r w:rsidRPr="00A30D4E">
              <w:rPr>
                <w:rFonts w:eastAsia="Calibri" w:cstheme="minorHAnsi"/>
                <w:color w:val="auto"/>
              </w:rPr>
              <w:t xml:space="preserve">tinkamai vykdyti sudaroma </w:t>
            </w:r>
            <w:r w:rsidR="00414AFB">
              <w:rPr>
                <w:rFonts w:eastAsia="Calibri" w:cstheme="minorHAnsi"/>
                <w:color w:val="auto"/>
              </w:rPr>
              <w:t>s</w:t>
            </w:r>
            <w:r w:rsidR="00414AFB" w:rsidRPr="00A30D4E">
              <w:rPr>
                <w:rFonts w:eastAsia="Calibri" w:cstheme="minorHAnsi"/>
                <w:color w:val="auto"/>
              </w:rPr>
              <w:t xml:space="preserve">utartis </w:t>
            </w:r>
            <w:r w:rsidRPr="00A30D4E">
              <w:rPr>
                <w:rFonts w:eastAsia="Calibri" w:cstheme="minorHAnsi"/>
                <w:color w:val="auto"/>
              </w:rPr>
              <w:t xml:space="preserve">ir / arba kuris nurodo poreikį sudaryti </w:t>
            </w:r>
            <w:r w:rsidR="00AC4BAC">
              <w:rPr>
                <w:rFonts w:eastAsia="Calibri" w:cstheme="minorHAnsi"/>
                <w:color w:val="auto"/>
              </w:rPr>
              <w:t>s</w:t>
            </w:r>
            <w:r w:rsidR="00AC4BAC" w:rsidRPr="00A30D4E">
              <w:rPr>
                <w:rFonts w:eastAsia="Calibri" w:cstheme="minorHAnsi"/>
                <w:color w:val="auto"/>
              </w:rPr>
              <w:t>utartį</w:t>
            </w:r>
            <w:r w:rsidRPr="00A30D4E">
              <w:rPr>
                <w:rFonts w:eastAsia="Calibri" w:cstheme="minorHAnsi"/>
                <w:color w:val="auto"/>
              </w:rPr>
              <w:t xml:space="preserve">. </w:t>
            </w:r>
          </w:p>
        </w:tc>
      </w:tr>
      <w:tr w:rsidR="00192697" w:rsidRPr="009D7CF6" w14:paraId="39A96928" w14:textId="77777777" w:rsidTr="00D13B63">
        <w:tc>
          <w:tcPr>
            <w:tcW w:w="3633" w:type="dxa"/>
            <w:tcBorders>
              <w:top w:val="single" w:sz="4" w:space="0" w:color="auto"/>
              <w:bottom w:val="single" w:sz="4" w:space="0" w:color="auto"/>
            </w:tcBorders>
          </w:tcPr>
          <w:p w14:paraId="6045AD7B" w14:textId="6DC31756" w:rsidR="00192697" w:rsidRPr="00A30D4E" w:rsidRDefault="00192697" w:rsidP="00192697">
            <w:pPr>
              <w:rPr>
                <w:rFonts w:eastAsia="Calibri" w:cstheme="minorHAnsi"/>
                <w:b/>
                <w:bCs/>
              </w:rPr>
            </w:pPr>
            <w:r w:rsidRPr="00A30D4E">
              <w:rPr>
                <w:rFonts w:eastAsia="Calibri" w:cstheme="minorHAnsi"/>
                <w:b/>
                <w:bCs/>
                <w:color w:val="auto"/>
              </w:rPr>
              <w:t>Sutarties savinink</w:t>
            </w:r>
            <w:r>
              <w:rPr>
                <w:rFonts w:eastAsia="Calibri" w:cstheme="minorHAnsi"/>
                <w:b/>
                <w:bCs/>
                <w:color w:val="auto"/>
              </w:rPr>
              <w:t>o vadovas</w:t>
            </w:r>
          </w:p>
        </w:tc>
        <w:tc>
          <w:tcPr>
            <w:tcW w:w="9687" w:type="dxa"/>
            <w:tcBorders>
              <w:top w:val="single" w:sz="4" w:space="0" w:color="auto"/>
              <w:bottom w:val="single" w:sz="4" w:space="0" w:color="auto"/>
            </w:tcBorders>
          </w:tcPr>
          <w:p w14:paraId="6C1D433D" w14:textId="7F81EF7C" w:rsidR="00192697" w:rsidRPr="00080301" w:rsidRDefault="00192697" w:rsidP="00192697">
            <w:pPr>
              <w:rPr>
                <w:rFonts w:eastAsia="Calibri" w:cstheme="minorHAnsi"/>
                <w:color w:val="auto"/>
              </w:rPr>
            </w:pPr>
            <w:r w:rsidRPr="00080301">
              <w:rPr>
                <w:rFonts w:eastAsia="Calibri" w:cstheme="minorHAnsi"/>
                <w:color w:val="auto"/>
              </w:rPr>
              <w:t xml:space="preserve">PV Grupės vadovo paskirtas darbuotojas, kuriam pagal priskirtas atsakomybės sritis ir vykdomas funkcijas priskirtina kuruoti </w:t>
            </w:r>
            <w:r w:rsidR="009C1BCB">
              <w:rPr>
                <w:rFonts w:eastAsia="Calibri" w:cstheme="minorHAnsi"/>
                <w:color w:val="auto"/>
              </w:rPr>
              <w:t>S</w:t>
            </w:r>
            <w:r w:rsidR="009C1BCB" w:rsidRPr="00080301">
              <w:rPr>
                <w:rFonts w:eastAsia="Calibri" w:cstheme="minorHAnsi"/>
                <w:color w:val="auto"/>
              </w:rPr>
              <w:t>utarti</w:t>
            </w:r>
            <w:r w:rsidR="009C1BCB">
              <w:rPr>
                <w:rFonts w:eastAsia="Calibri" w:cstheme="minorHAnsi"/>
                <w:color w:val="auto"/>
              </w:rPr>
              <w:t>es savininko veiklą</w:t>
            </w:r>
            <w:r w:rsidRPr="00080301">
              <w:rPr>
                <w:rFonts w:eastAsia="Calibri" w:cstheme="minorHAnsi"/>
                <w:color w:val="auto"/>
              </w:rPr>
              <w:t>.</w:t>
            </w:r>
            <w:r w:rsidR="00080301" w:rsidRPr="00080301">
              <w:rPr>
                <w:rFonts w:eastAsia="Calibri" w:cstheme="minorHAnsi"/>
                <w:color w:val="auto"/>
              </w:rPr>
              <w:t xml:space="preserve"> </w:t>
            </w:r>
          </w:p>
        </w:tc>
      </w:tr>
      <w:tr w:rsidR="00C1720D" w:rsidRPr="00C1720D" w14:paraId="7D55AFF0" w14:textId="77777777" w:rsidTr="00D13B63">
        <w:tc>
          <w:tcPr>
            <w:tcW w:w="3633" w:type="dxa"/>
            <w:tcBorders>
              <w:top w:val="single" w:sz="4" w:space="0" w:color="auto"/>
              <w:bottom w:val="single" w:sz="4" w:space="0" w:color="auto"/>
            </w:tcBorders>
          </w:tcPr>
          <w:p w14:paraId="41B3DAA2" w14:textId="04889A1E" w:rsidR="00AF5968" w:rsidRPr="00C1720D" w:rsidRDefault="00AF5968" w:rsidP="00192697">
            <w:pPr>
              <w:rPr>
                <w:rFonts w:eastAsia="Calibri" w:cstheme="minorHAnsi"/>
                <w:b/>
                <w:bCs/>
                <w:color w:val="auto"/>
              </w:rPr>
            </w:pPr>
            <w:r w:rsidRPr="00C1720D">
              <w:rPr>
                <w:rFonts w:cstheme="minorHAnsi"/>
                <w:b/>
                <w:bCs/>
                <w:color w:val="auto"/>
              </w:rPr>
              <w:t>Sutartinių įsipareigojimų priežiūros komisija</w:t>
            </w:r>
          </w:p>
        </w:tc>
        <w:tc>
          <w:tcPr>
            <w:tcW w:w="9687" w:type="dxa"/>
            <w:tcBorders>
              <w:top w:val="single" w:sz="4" w:space="0" w:color="auto"/>
              <w:bottom w:val="single" w:sz="4" w:space="0" w:color="auto"/>
            </w:tcBorders>
          </w:tcPr>
          <w:p w14:paraId="2BD74A9A" w14:textId="152A4D8D" w:rsidR="00AF5968" w:rsidRPr="00C1720D" w:rsidRDefault="00F75952" w:rsidP="00192697">
            <w:pPr>
              <w:rPr>
                <w:rFonts w:eastAsia="Calibri" w:cstheme="minorHAnsi"/>
                <w:color w:val="auto"/>
              </w:rPr>
            </w:pPr>
            <w:r w:rsidRPr="00C1720D">
              <w:rPr>
                <w:rFonts w:eastAsia="Calibri" w:cstheme="minorHAnsi"/>
                <w:color w:val="auto"/>
              </w:rPr>
              <w:t>K</w:t>
            </w:r>
            <w:r w:rsidR="00397243" w:rsidRPr="00C1720D">
              <w:rPr>
                <w:rFonts w:eastAsia="Calibri" w:cstheme="minorHAnsi"/>
                <w:color w:val="auto"/>
              </w:rPr>
              <w:t xml:space="preserve">olegialus PV  </w:t>
            </w:r>
            <w:r w:rsidR="00D63494" w:rsidRPr="00C1720D">
              <w:rPr>
                <w:rFonts w:eastAsia="Calibri" w:cstheme="minorHAnsi"/>
                <w:color w:val="auto"/>
              </w:rPr>
              <w:t>subjektas</w:t>
            </w:r>
            <w:r w:rsidR="00397243" w:rsidRPr="00C1720D">
              <w:rPr>
                <w:rFonts w:eastAsia="Calibri" w:cstheme="minorHAnsi"/>
                <w:color w:val="auto"/>
              </w:rPr>
              <w:t xml:space="preserve">, sprendžiantis klausimus, susijusius su sutartinių įsipareigojimų vykdymu, kai sprendžiamo klausimo finansinė išraiška viršija 10 000 Eur. </w:t>
            </w:r>
          </w:p>
        </w:tc>
      </w:tr>
      <w:tr w:rsidR="00192697" w:rsidRPr="009D7CF6" w14:paraId="5A30D0BA" w14:textId="77777777" w:rsidTr="0065472C">
        <w:tc>
          <w:tcPr>
            <w:tcW w:w="3633" w:type="dxa"/>
            <w:tcBorders>
              <w:top w:val="single" w:sz="4" w:space="0" w:color="auto"/>
              <w:bottom w:val="single" w:sz="4" w:space="0" w:color="auto"/>
            </w:tcBorders>
          </w:tcPr>
          <w:p w14:paraId="629327C3" w14:textId="2FD234C0" w:rsidR="00192697" w:rsidRPr="009D7CF6" w:rsidRDefault="00192697" w:rsidP="00192697">
            <w:pPr>
              <w:rPr>
                <w:rFonts w:eastAsia="Calibri" w:cstheme="minorHAnsi"/>
                <w:b/>
                <w:bCs/>
              </w:rPr>
            </w:pPr>
            <w:r w:rsidRPr="009D7CF6">
              <w:rPr>
                <w:rFonts w:eastAsia="Calibri" w:cstheme="minorHAnsi"/>
                <w:b/>
                <w:bCs/>
                <w:color w:val="auto"/>
              </w:rPr>
              <w:t>Švieslentė</w:t>
            </w:r>
          </w:p>
        </w:tc>
        <w:tc>
          <w:tcPr>
            <w:tcW w:w="9687" w:type="dxa"/>
            <w:tcBorders>
              <w:top w:val="single" w:sz="4" w:space="0" w:color="auto"/>
              <w:bottom w:val="single" w:sz="4" w:space="0" w:color="auto"/>
            </w:tcBorders>
          </w:tcPr>
          <w:p w14:paraId="42693C08" w14:textId="2E3E720F" w:rsidR="00192697" w:rsidRPr="009D7CF6" w:rsidRDefault="00192697" w:rsidP="00192697">
            <w:pPr>
              <w:rPr>
                <w:rFonts w:eastAsia="Calibri" w:cstheme="minorHAnsi"/>
              </w:rPr>
            </w:pPr>
            <w:r w:rsidRPr="009D7CF6">
              <w:rPr>
                <w:rFonts w:eastAsia="Calibri" w:cstheme="minorHAnsi"/>
                <w:color w:val="auto"/>
              </w:rPr>
              <w:t xml:space="preserve">Tarnybos administruojamas pirkimų vykdytojų žemėlapis </w:t>
            </w:r>
            <w:r w:rsidRPr="009D7CF6">
              <w:rPr>
                <w:rFonts w:eastAsia="Calibri" w:cstheme="minorHAnsi"/>
                <w:color w:val="595959"/>
              </w:rPr>
              <w:t>(</w:t>
            </w:r>
            <w:hyperlink r:id="rId13" w:history="1">
              <w:r w:rsidRPr="009D7CF6">
                <w:rPr>
                  <w:rStyle w:val="Hyperlink"/>
                  <w:rFonts w:eastAsia="Calibri" w:cstheme="minorHAnsi"/>
                </w:rPr>
                <w:t>https://vpt.lrv.lt/lt/statistika-ir-analize/pirkimu-vykdytoju-zemelapis-svieslente-1/</w:t>
              </w:r>
            </w:hyperlink>
            <w:r w:rsidRPr="009D7CF6">
              <w:rPr>
                <w:rFonts w:eastAsia="Calibri" w:cstheme="minorHAnsi"/>
                <w:color w:val="595959"/>
              </w:rPr>
              <w:t xml:space="preserve">). </w:t>
            </w:r>
          </w:p>
        </w:tc>
      </w:tr>
      <w:tr w:rsidR="00192697" w:rsidRPr="009D7CF6" w14:paraId="186CFE1A" w14:textId="77777777" w:rsidTr="00A61C2D">
        <w:tc>
          <w:tcPr>
            <w:tcW w:w="3633" w:type="dxa"/>
            <w:tcBorders>
              <w:top w:val="single" w:sz="4" w:space="0" w:color="auto"/>
              <w:bottom w:val="single" w:sz="4" w:space="0" w:color="auto"/>
            </w:tcBorders>
          </w:tcPr>
          <w:p w14:paraId="10701A09" w14:textId="3BB19265" w:rsidR="00192697" w:rsidRPr="009D7CF6" w:rsidRDefault="00192697" w:rsidP="00192697">
            <w:pPr>
              <w:rPr>
                <w:rFonts w:eastAsia="Calibri" w:cstheme="minorHAnsi"/>
                <w:b/>
                <w:bCs/>
              </w:rPr>
            </w:pPr>
            <w:r w:rsidRPr="009D7CF6">
              <w:rPr>
                <w:rFonts w:eastAsia="Calibri" w:cstheme="minorHAnsi"/>
                <w:b/>
                <w:bCs/>
                <w:color w:val="auto"/>
              </w:rPr>
              <w:t>Tarnyba</w:t>
            </w:r>
          </w:p>
        </w:tc>
        <w:tc>
          <w:tcPr>
            <w:tcW w:w="9687" w:type="dxa"/>
            <w:tcBorders>
              <w:top w:val="single" w:sz="4" w:space="0" w:color="auto"/>
              <w:bottom w:val="single" w:sz="4" w:space="0" w:color="auto"/>
            </w:tcBorders>
          </w:tcPr>
          <w:p w14:paraId="37A38D35" w14:textId="264A0E06" w:rsidR="00192697" w:rsidRPr="009D7CF6" w:rsidRDefault="00192697" w:rsidP="00192697">
            <w:pPr>
              <w:rPr>
                <w:rFonts w:eastAsia="Calibri" w:cstheme="minorHAnsi"/>
                <w:color w:val="auto"/>
              </w:rPr>
            </w:pPr>
            <w:r w:rsidRPr="009D7CF6">
              <w:rPr>
                <w:rFonts w:eastAsia="Calibri" w:cstheme="minorHAnsi"/>
                <w:color w:val="auto"/>
              </w:rPr>
              <w:t>Viešųjų pirkimų tarnyba (juridinio asmens kodas 188656261).</w:t>
            </w:r>
          </w:p>
        </w:tc>
      </w:tr>
      <w:tr w:rsidR="00192697" w:rsidRPr="009D7CF6" w14:paraId="61D73D9B" w14:textId="77777777" w:rsidTr="00A83C42">
        <w:tc>
          <w:tcPr>
            <w:tcW w:w="3633" w:type="dxa"/>
            <w:tcBorders>
              <w:top w:val="single" w:sz="4" w:space="0" w:color="auto"/>
              <w:bottom w:val="single" w:sz="4" w:space="0" w:color="auto"/>
            </w:tcBorders>
          </w:tcPr>
          <w:p w14:paraId="1F2F03B8" w14:textId="6BCC2E5A" w:rsidR="00192697" w:rsidRPr="009D7CF6" w:rsidRDefault="00192697" w:rsidP="00192697">
            <w:pPr>
              <w:rPr>
                <w:rFonts w:eastAsia="Calibri" w:cstheme="minorHAnsi"/>
                <w:b/>
                <w:bCs/>
              </w:rPr>
            </w:pPr>
            <w:r w:rsidRPr="009D7CF6">
              <w:rPr>
                <w:rFonts w:eastAsia="Calibri" w:cstheme="minorHAnsi"/>
                <w:b/>
                <w:bCs/>
                <w:color w:val="auto"/>
              </w:rPr>
              <w:lastRenderedPageBreak/>
              <w:t>Tikrinimo ataskaita</w:t>
            </w:r>
          </w:p>
        </w:tc>
        <w:tc>
          <w:tcPr>
            <w:tcW w:w="9687" w:type="dxa"/>
            <w:tcBorders>
              <w:top w:val="single" w:sz="4" w:space="0" w:color="auto"/>
              <w:bottom w:val="single" w:sz="4" w:space="0" w:color="auto"/>
            </w:tcBorders>
          </w:tcPr>
          <w:p w14:paraId="69AE614A" w14:textId="131B31DA" w:rsidR="00192697" w:rsidRPr="009D7CF6" w:rsidRDefault="00192697" w:rsidP="00192697">
            <w:pPr>
              <w:rPr>
                <w:rFonts w:eastAsia="Calibri" w:cstheme="minorHAnsi"/>
                <w:color w:val="auto"/>
              </w:rPr>
            </w:pPr>
            <w:r w:rsidRPr="009D7CF6">
              <w:rPr>
                <w:rFonts w:eastAsia="Calibri" w:cstheme="minorHAnsi"/>
                <w:color w:val="auto"/>
              </w:rPr>
              <w:t>Šis tikrinimo rezultatų įforminimo dokumentas.</w:t>
            </w:r>
          </w:p>
        </w:tc>
      </w:tr>
      <w:tr w:rsidR="00977B1B" w:rsidRPr="009D7CF6" w14:paraId="751E584A" w14:textId="77777777" w:rsidTr="005F23DF">
        <w:tc>
          <w:tcPr>
            <w:tcW w:w="3633" w:type="dxa"/>
            <w:tcBorders>
              <w:top w:val="single" w:sz="4" w:space="0" w:color="auto"/>
              <w:bottom w:val="single" w:sz="4" w:space="0" w:color="auto"/>
            </w:tcBorders>
          </w:tcPr>
          <w:p w14:paraId="1A544AB3" w14:textId="77777777" w:rsidR="00977B1B" w:rsidRPr="009D7CF6" w:rsidRDefault="00977B1B" w:rsidP="005F23DF">
            <w:pPr>
              <w:rPr>
                <w:rFonts w:eastAsia="Calibri" w:cstheme="minorHAnsi"/>
                <w:b/>
                <w:bCs/>
              </w:rPr>
            </w:pPr>
            <w:r w:rsidRPr="009D7CF6">
              <w:rPr>
                <w:rFonts w:eastAsia="Calibri" w:cstheme="minorHAnsi"/>
                <w:b/>
                <w:bCs/>
                <w:color w:val="auto"/>
              </w:rPr>
              <w:t>Vadovas</w:t>
            </w:r>
          </w:p>
        </w:tc>
        <w:tc>
          <w:tcPr>
            <w:tcW w:w="9687" w:type="dxa"/>
            <w:tcBorders>
              <w:top w:val="single" w:sz="4" w:space="0" w:color="auto"/>
              <w:bottom w:val="single" w:sz="4" w:space="0" w:color="auto"/>
            </w:tcBorders>
          </w:tcPr>
          <w:p w14:paraId="2EC27564" w14:textId="77777777" w:rsidR="00977B1B" w:rsidRPr="009D7CF6" w:rsidRDefault="00977B1B" w:rsidP="005F23DF">
            <w:pPr>
              <w:rPr>
                <w:rFonts w:eastAsia="Calibri" w:cstheme="minorHAnsi"/>
                <w:color w:val="auto"/>
              </w:rPr>
            </w:pPr>
            <w:r w:rsidRPr="009D7CF6">
              <w:rPr>
                <w:rFonts w:eastAsia="Calibri" w:cstheme="minorHAnsi"/>
                <w:color w:val="auto"/>
              </w:rPr>
              <w:t>Sutarčių rengimo, vykdymo ir kontrolės veiklos vadovas, patvirtintas 202</w:t>
            </w:r>
            <w:r>
              <w:rPr>
                <w:rFonts w:eastAsia="Calibri" w:cstheme="minorHAnsi"/>
                <w:color w:val="auto"/>
              </w:rPr>
              <w:t>5</w:t>
            </w:r>
            <w:r w:rsidRPr="009D7CF6">
              <w:rPr>
                <w:rFonts w:eastAsia="Calibri" w:cstheme="minorHAnsi"/>
                <w:color w:val="auto"/>
              </w:rPr>
              <w:t xml:space="preserve"> gruodžio </w:t>
            </w:r>
            <w:r>
              <w:rPr>
                <w:rFonts w:eastAsia="Calibri" w:cstheme="minorHAnsi"/>
                <w:color w:val="auto"/>
              </w:rPr>
              <w:t>10</w:t>
            </w:r>
            <w:r w:rsidRPr="009D7CF6">
              <w:rPr>
                <w:rFonts w:eastAsia="Calibri" w:cstheme="minorHAnsi"/>
                <w:color w:val="auto"/>
              </w:rPr>
              <w:t xml:space="preserve"> d. </w:t>
            </w:r>
            <w:r>
              <w:rPr>
                <w:rFonts w:eastAsia="Calibri" w:cstheme="minorHAnsi"/>
                <w:color w:val="auto"/>
              </w:rPr>
              <w:t xml:space="preserve"> </w:t>
            </w:r>
            <w:r w:rsidRPr="009D7CF6">
              <w:rPr>
                <w:rFonts w:eastAsia="Calibri" w:cstheme="minorHAnsi"/>
                <w:color w:val="auto"/>
              </w:rPr>
              <w:t xml:space="preserve">PV </w:t>
            </w:r>
            <w:r w:rsidRPr="009A0B3A">
              <w:rPr>
                <w:rFonts w:eastAsia="Calibri" w:cstheme="minorHAnsi"/>
                <w:color w:val="auto"/>
              </w:rPr>
              <w:t>Teisės skyriaus vadov</w:t>
            </w:r>
            <w:r>
              <w:rPr>
                <w:rFonts w:eastAsia="Calibri" w:cstheme="minorHAnsi"/>
                <w:color w:val="auto"/>
              </w:rPr>
              <w:t xml:space="preserve">o </w:t>
            </w:r>
            <w:r w:rsidRPr="009D7CF6">
              <w:rPr>
                <w:rFonts w:eastAsia="Calibri" w:cstheme="minorHAnsi"/>
                <w:color w:val="auto"/>
              </w:rPr>
              <w:t xml:space="preserve"> sprendimu Nr. 6-</w:t>
            </w:r>
            <w:r>
              <w:rPr>
                <w:rFonts w:eastAsia="Calibri" w:cstheme="minorHAnsi"/>
                <w:color w:val="auto"/>
              </w:rPr>
              <w:t>25-5140</w:t>
            </w:r>
            <w:r w:rsidRPr="009D7CF6">
              <w:rPr>
                <w:rFonts w:eastAsia="Calibri" w:cstheme="minorHAnsi"/>
                <w:color w:val="auto"/>
              </w:rPr>
              <w:t>.</w:t>
            </w:r>
          </w:p>
        </w:tc>
      </w:tr>
      <w:tr w:rsidR="00192697" w:rsidRPr="009D7CF6" w14:paraId="0F376C90" w14:textId="77777777" w:rsidTr="00AB235A">
        <w:tc>
          <w:tcPr>
            <w:tcW w:w="3633" w:type="dxa"/>
            <w:tcBorders>
              <w:top w:val="single" w:sz="4" w:space="0" w:color="auto"/>
            </w:tcBorders>
          </w:tcPr>
          <w:p w14:paraId="5023AB3D" w14:textId="3FD33C6B" w:rsidR="00192697" w:rsidRPr="009D7CF6" w:rsidRDefault="00192697" w:rsidP="00192697">
            <w:pPr>
              <w:rPr>
                <w:rFonts w:eastAsia="Calibri" w:cstheme="minorHAnsi"/>
                <w:b/>
                <w:bCs/>
              </w:rPr>
            </w:pPr>
            <w:r w:rsidRPr="009D7CF6">
              <w:rPr>
                <w:rFonts w:eastAsia="Calibri" w:cstheme="minorHAnsi"/>
                <w:b/>
                <w:bCs/>
                <w:color w:val="auto"/>
              </w:rPr>
              <w:t>VPĮ</w:t>
            </w:r>
          </w:p>
        </w:tc>
        <w:tc>
          <w:tcPr>
            <w:tcW w:w="9687" w:type="dxa"/>
            <w:tcBorders>
              <w:top w:val="single" w:sz="4" w:space="0" w:color="auto"/>
            </w:tcBorders>
          </w:tcPr>
          <w:p w14:paraId="036D3283" w14:textId="761B532E" w:rsidR="00192697" w:rsidRPr="009D7CF6" w:rsidRDefault="00192697" w:rsidP="00192697">
            <w:pPr>
              <w:rPr>
                <w:rFonts w:eastAsia="Calibri" w:cstheme="minorHAnsi"/>
                <w:color w:val="auto"/>
              </w:rPr>
            </w:pPr>
            <w:r w:rsidRPr="009D7CF6">
              <w:rPr>
                <w:rFonts w:eastAsia="Calibri" w:cstheme="minorHAnsi"/>
                <w:color w:val="auto"/>
              </w:rPr>
              <w:t>Tikrinimo laikotarpiui</w:t>
            </w:r>
            <w:r w:rsidR="00490288">
              <w:rPr>
                <w:rStyle w:val="FootnoteReference"/>
                <w:rFonts w:eastAsia="Calibri" w:cstheme="minorHAnsi"/>
                <w:color w:val="auto"/>
              </w:rPr>
              <w:footnoteReference w:id="1"/>
            </w:r>
            <w:r w:rsidRPr="009D7CF6">
              <w:rPr>
                <w:rFonts w:eastAsia="Calibri" w:cstheme="minorHAnsi"/>
                <w:color w:val="auto"/>
              </w:rPr>
              <w:t xml:space="preserve"> aktualios redakcijos Lietuvos Respublikos viešųjų pirkimų įstatymas.</w:t>
            </w:r>
          </w:p>
        </w:tc>
      </w:tr>
    </w:tbl>
    <w:p w14:paraId="5DA75C7F" w14:textId="77777777" w:rsidR="004734B5" w:rsidRPr="009D7CF6" w:rsidRDefault="004734B5" w:rsidP="004734B5">
      <w:pPr>
        <w:pStyle w:val="Heading1"/>
        <w:spacing w:before="240"/>
        <w:ind w:left="142" w:right="142"/>
        <w:rPr>
          <w:rFonts w:asciiTheme="minorHAnsi" w:hAnsiTheme="minorHAnsi" w:cstheme="minorHAnsi"/>
        </w:rPr>
      </w:pPr>
      <w:r w:rsidRPr="009D7CF6">
        <w:rPr>
          <w:rFonts w:asciiTheme="minorHAnsi" w:hAnsiTheme="minorHAnsi" w:cstheme="minorHAns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3959"/>
        <w:gridCol w:w="4937"/>
      </w:tblGrid>
      <w:tr w:rsidR="004734B5" w:rsidRPr="009D7CF6" w14:paraId="1BFEA1D2" w14:textId="77777777" w:rsidTr="00AB235A">
        <w:trPr>
          <w:cnfStyle w:val="100000000000" w:firstRow="1" w:lastRow="0" w:firstColumn="0" w:lastColumn="0" w:oddVBand="0" w:evenVBand="0" w:oddHBand="0" w:evenHBand="0" w:firstRowFirstColumn="0" w:firstRowLastColumn="0" w:lastRowFirstColumn="0" w:lastRowLastColumn="0"/>
        </w:trPr>
        <w:tc>
          <w:tcPr>
            <w:tcW w:w="4585" w:type="dxa"/>
            <w:tcBorders>
              <w:top w:val="nil"/>
              <w:left w:val="nil"/>
              <w:bottom w:val="single" w:sz="4" w:space="0" w:color="auto"/>
              <w:right w:val="nil"/>
            </w:tcBorders>
          </w:tcPr>
          <w:p w14:paraId="78945FCE"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PIRKIMŲ VYKDYTOJO PAVADINIMAS</w:t>
            </w:r>
          </w:p>
        </w:tc>
        <w:tc>
          <w:tcPr>
            <w:tcW w:w="3883" w:type="dxa"/>
            <w:tcBorders>
              <w:top w:val="nil"/>
              <w:left w:val="nil"/>
              <w:bottom w:val="single" w:sz="4" w:space="0" w:color="auto"/>
              <w:right w:val="nil"/>
            </w:tcBorders>
          </w:tcPr>
          <w:p w14:paraId="6F2C62B6"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juridinio asmens kodas</w:t>
            </w:r>
          </w:p>
        </w:tc>
        <w:tc>
          <w:tcPr>
            <w:tcW w:w="4842" w:type="dxa"/>
            <w:tcBorders>
              <w:top w:val="nil"/>
              <w:left w:val="nil"/>
              <w:bottom w:val="single" w:sz="4" w:space="0" w:color="auto"/>
              <w:right w:val="nil"/>
            </w:tcBorders>
          </w:tcPr>
          <w:p w14:paraId="14D3CA25"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buveinės adresas</w:t>
            </w:r>
          </w:p>
        </w:tc>
      </w:tr>
      <w:tr w:rsidR="004734B5" w:rsidRPr="009D7CF6" w14:paraId="585E53FB" w14:textId="77777777" w:rsidTr="00AB235A">
        <w:tc>
          <w:tcPr>
            <w:tcW w:w="4585" w:type="dxa"/>
            <w:tcBorders>
              <w:top w:val="single" w:sz="4" w:space="0" w:color="auto"/>
            </w:tcBorders>
          </w:tcPr>
          <w:p w14:paraId="1292A77E" w14:textId="6ADFC203" w:rsidR="004734B5" w:rsidRPr="009D7CF6" w:rsidRDefault="005D1466" w:rsidP="005D1466">
            <w:pPr>
              <w:rPr>
                <w:rFonts w:cstheme="minorHAnsi"/>
                <w:color w:val="auto"/>
              </w:rPr>
            </w:pPr>
            <w:r w:rsidRPr="009D7CF6">
              <w:rPr>
                <w:rFonts w:cstheme="minorHAnsi"/>
                <w:color w:val="auto"/>
              </w:rPr>
              <w:t>Via Lietuva, AB</w:t>
            </w:r>
          </w:p>
        </w:tc>
        <w:tc>
          <w:tcPr>
            <w:tcW w:w="3883" w:type="dxa"/>
            <w:tcBorders>
              <w:top w:val="single" w:sz="4" w:space="0" w:color="auto"/>
            </w:tcBorders>
          </w:tcPr>
          <w:p w14:paraId="1F305B13" w14:textId="4EE7B7A9" w:rsidR="004734B5" w:rsidRPr="009D7CF6" w:rsidRDefault="00E40396" w:rsidP="00AB235A">
            <w:pPr>
              <w:rPr>
                <w:rFonts w:cstheme="minorHAnsi"/>
                <w:color w:val="auto"/>
              </w:rPr>
            </w:pPr>
            <w:r w:rsidRPr="009D7CF6">
              <w:rPr>
                <w:rFonts w:cstheme="minorHAnsi"/>
                <w:color w:val="auto"/>
              </w:rPr>
              <w:t>188710638</w:t>
            </w:r>
          </w:p>
        </w:tc>
        <w:tc>
          <w:tcPr>
            <w:tcW w:w="4842" w:type="dxa"/>
            <w:tcBorders>
              <w:top w:val="single" w:sz="4" w:space="0" w:color="auto"/>
            </w:tcBorders>
          </w:tcPr>
          <w:p w14:paraId="1D22BAA0" w14:textId="7120B551" w:rsidR="004734B5" w:rsidRPr="009D7CF6" w:rsidRDefault="00532FB0" w:rsidP="00532FB0">
            <w:pPr>
              <w:rPr>
                <w:rFonts w:cstheme="minorHAnsi"/>
                <w:color w:val="auto"/>
              </w:rPr>
            </w:pPr>
            <w:r w:rsidRPr="009D7CF6">
              <w:rPr>
                <w:rFonts w:cstheme="minorHAnsi"/>
                <w:color w:val="auto"/>
              </w:rPr>
              <w:t>Kauno g. 22-202, LT-03212 Vilnius</w:t>
            </w:r>
          </w:p>
        </w:tc>
      </w:tr>
    </w:tbl>
    <w:p w14:paraId="35C8A571" w14:textId="77777777" w:rsidR="004734B5" w:rsidRPr="009D7CF6"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3960"/>
        <w:gridCol w:w="4938"/>
      </w:tblGrid>
      <w:tr w:rsidR="004734B5" w:rsidRPr="009D7CF6" w14:paraId="24A50521" w14:textId="77777777" w:rsidTr="00BC438E">
        <w:trPr>
          <w:cnfStyle w:val="100000000000" w:firstRow="1" w:lastRow="0" w:firstColumn="0" w:lastColumn="0" w:oddVBand="0" w:evenVBand="0" w:oddHBand="0" w:evenHBand="0" w:firstRowFirstColumn="0" w:firstRowLastColumn="0" w:lastRowFirstColumn="0" w:lastRowLastColumn="0"/>
        </w:trPr>
        <w:tc>
          <w:tcPr>
            <w:tcW w:w="4588" w:type="dxa"/>
            <w:tcBorders>
              <w:top w:val="nil"/>
              <w:left w:val="nil"/>
              <w:bottom w:val="single" w:sz="4" w:space="0" w:color="auto"/>
              <w:right w:val="nil"/>
            </w:tcBorders>
          </w:tcPr>
          <w:p w14:paraId="6D7FB10C"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ATSAKINGI Asmenys</w:t>
            </w:r>
          </w:p>
        </w:tc>
        <w:tc>
          <w:tcPr>
            <w:tcW w:w="3886" w:type="dxa"/>
            <w:tcBorders>
              <w:top w:val="nil"/>
              <w:left w:val="nil"/>
              <w:bottom w:val="single" w:sz="4" w:space="0" w:color="auto"/>
              <w:right w:val="nil"/>
            </w:tcBorders>
          </w:tcPr>
          <w:p w14:paraId="56B800C2" w14:textId="77777777" w:rsidR="004734B5" w:rsidRPr="009D7CF6" w:rsidRDefault="004734B5" w:rsidP="00AB235A">
            <w:pPr>
              <w:rPr>
                <w:rFonts w:asciiTheme="minorHAnsi" w:hAnsiTheme="minorHAnsi" w:cstheme="minorHAnsi"/>
              </w:rPr>
            </w:pPr>
          </w:p>
        </w:tc>
        <w:tc>
          <w:tcPr>
            <w:tcW w:w="4846" w:type="dxa"/>
            <w:tcBorders>
              <w:top w:val="nil"/>
              <w:left w:val="nil"/>
              <w:bottom w:val="single" w:sz="4" w:space="0" w:color="auto"/>
              <w:right w:val="nil"/>
            </w:tcBorders>
          </w:tcPr>
          <w:p w14:paraId="6C0205CA" w14:textId="77777777" w:rsidR="004734B5" w:rsidRPr="009D7CF6" w:rsidRDefault="004734B5" w:rsidP="00AB235A">
            <w:pPr>
              <w:rPr>
                <w:rFonts w:asciiTheme="minorHAnsi" w:hAnsiTheme="minorHAnsi" w:cstheme="minorHAnsi"/>
              </w:rPr>
            </w:pPr>
          </w:p>
        </w:tc>
      </w:tr>
      <w:tr w:rsidR="00BC438E" w:rsidRPr="009D7CF6" w14:paraId="2326B497" w14:textId="77777777" w:rsidTr="000C0717">
        <w:tc>
          <w:tcPr>
            <w:tcW w:w="0" w:type="dxa"/>
            <w:gridSpan w:val="3"/>
            <w:tcBorders>
              <w:top w:val="single" w:sz="4" w:space="0" w:color="auto"/>
              <w:bottom w:val="single" w:sz="4" w:space="0" w:color="auto"/>
              <w:right w:val="single" w:sz="4" w:space="0" w:color="auto"/>
            </w:tcBorders>
          </w:tcPr>
          <w:p w14:paraId="08C5B112" w14:textId="5E13D3D2" w:rsidR="00BC438E" w:rsidRPr="009D7CF6" w:rsidRDefault="00BC438E" w:rsidP="00AB235A">
            <w:pPr>
              <w:rPr>
                <w:rFonts w:cstheme="minorHAnsi"/>
                <w:color w:val="auto"/>
              </w:rPr>
            </w:pPr>
            <w:r w:rsidRPr="009D7CF6">
              <w:rPr>
                <w:rFonts w:cstheme="minorHAnsi"/>
                <w:color w:val="auto"/>
              </w:rPr>
              <w:t xml:space="preserve">Teisės skyriaus vadovė V. S. </w:t>
            </w:r>
          </w:p>
        </w:tc>
      </w:tr>
      <w:tr w:rsidR="00BC438E" w:rsidRPr="009D7CF6" w14:paraId="05117830" w14:textId="77777777" w:rsidTr="00AB7C46">
        <w:tc>
          <w:tcPr>
            <w:tcW w:w="13320" w:type="dxa"/>
            <w:gridSpan w:val="3"/>
            <w:tcBorders>
              <w:top w:val="single" w:sz="4" w:space="0" w:color="auto"/>
              <w:right w:val="single" w:sz="4" w:space="0" w:color="auto"/>
            </w:tcBorders>
          </w:tcPr>
          <w:p w14:paraId="0CF744A7" w14:textId="6A6E6F80" w:rsidR="00BC438E" w:rsidRPr="009D7CF6" w:rsidRDefault="00BC438E" w:rsidP="00AB235A">
            <w:pPr>
              <w:rPr>
                <w:rFonts w:cstheme="minorHAnsi"/>
              </w:rPr>
            </w:pPr>
            <w:r>
              <w:rPr>
                <w:rFonts w:cstheme="minorHAnsi"/>
                <w:color w:val="auto"/>
              </w:rPr>
              <w:t>V</w:t>
            </w:r>
            <w:r w:rsidRPr="009D7CF6">
              <w:rPr>
                <w:rFonts w:cstheme="minorHAnsi"/>
                <w:color w:val="auto"/>
              </w:rPr>
              <w:t>yr. teisininkas D. B.</w:t>
            </w:r>
          </w:p>
        </w:tc>
      </w:tr>
    </w:tbl>
    <w:p w14:paraId="3123BEB8" w14:textId="77777777" w:rsidR="004734B5" w:rsidRPr="009D7CF6" w:rsidRDefault="004734B5" w:rsidP="004734B5">
      <w:pPr>
        <w:pStyle w:val="Heading1"/>
        <w:spacing w:before="240"/>
        <w:ind w:left="142" w:right="142"/>
        <w:rPr>
          <w:rFonts w:asciiTheme="minorHAnsi" w:hAnsiTheme="minorHAnsi" w:cstheme="minorHAnsi"/>
        </w:rPr>
      </w:pPr>
      <w:r w:rsidRPr="009D7CF6">
        <w:rPr>
          <w:rFonts w:asciiTheme="minorHAnsi" w:hAnsiTheme="minorHAnsi" w:cstheme="minorHAnsi"/>
        </w:rPr>
        <w:t>Atrinkimo tikrinimui pagrindai</w:t>
      </w:r>
    </w:p>
    <w:p w14:paraId="32A4BBB7" w14:textId="79EEB318" w:rsidR="004734B5" w:rsidRPr="009D7CF6" w:rsidRDefault="00BD76F7" w:rsidP="004734B5">
      <w:pPr>
        <w:rPr>
          <w:rFonts w:asciiTheme="minorHAnsi" w:hAnsiTheme="minorHAnsi" w:cstheme="minorHAnsi"/>
          <w:sz w:val="20"/>
        </w:rPr>
      </w:pPr>
      <w:r w:rsidRPr="009D7CF6">
        <w:rPr>
          <w:rFonts w:asciiTheme="minorHAnsi" w:hAnsiTheme="minorHAnsi" w:cstheme="minorHAnsi"/>
          <w:sz w:val="20"/>
        </w:rPr>
        <w:t>Pirkimo vykdytojas atrinktas tikrinimui vadovaujantis 2025-03-05 Tarnybos Pirkimų valdysenos skyriaus vedėjo tarnybiniu pranešimu Nr. T-17.</w:t>
      </w:r>
    </w:p>
    <w:p w14:paraId="74C21CBD" w14:textId="77777777" w:rsidR="004734B5" w:rsidRPr="009D7CF6" w:rsidRDefault="004734B5" w:rsidP="004734B5">
      <w:pPr>
        <w:pStyle w:val="Heading1"/>
        <w:spacing w:before="240"/>
        <w:ind w:left="142" w:right="142"/>
        <w:rPr>
          <w:rFonts w:asciiTheme="minorHAnsi" w:hAnsiTheme="minorHAnsi" w:cstheme="minorHAnsi"/>
        </w:rPr>
      </w:pPr>
      <w:r w:rsidRPr="009D7CF6">
        <w:rPr>
          <w:rFonts w:asciiTheme="minorHAnsi" w:hAnsiTheme="minorHAnsi" w:cstheme="minorHAnsi"/>
        </w:rPr>
        <w:t>STATISTINIAI duomenys ir rodikliai. švieslentės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5102"/>
        <w:gridCol w:w="1776"/>
        <w:gridCol w:w="3851"/>
      </w:tblGrid>
      <w:tr w:rsidR="001E015A" w:rsidRPr="009D7CF6" w14:paraId="4796880E" w14:textId="77777777" w:rsidTr="00084047">
        <w:tc>
          <w:tcPr>
            <w:tcW w:w="9695" w:type="dxa"/>
            <w:gridSpan w:val="3"/>
            <w:tcBorders>
              <w:top w:val="nil"/>
              <w:left w:val="nil"/>
              <w:bottom w:val="nil"/>
              <w:right w:val="nil"/>
            </w:tcBorders>
            <w:vAlign w:val="bottom"/>
          </w:tcPr>
          <w:p w14:paraId="164A3611" w14:textId="77777777" w:rsidR="001E015A" w:rsidRPr="009D7CF6" w:rsidRDefault="001E015A" w:rsidP="00084047">
            <w:pPr>
              <w:spacing w:before="40" w:after="40"/>
              <w:rPr>
                <w:rFonts w:asciiTheme="minorHAnsi" w:eastAsia="Calibri" w:hAnsiTheme="minorHAnsi" w:cstheme="minorHAnsi"/>
                <w:caps/>
                <w:color w:val="2F5496"/>
                <w:sz w:val="20"/>
                <w:lang w:eastAsia="lt-LT"/>
              </w:rPr>
            </w:pPr>
            <w:r w:rsidRPr="009D7CF6">
              <w:rPr>
                <w:rFonts w:asciiTheme="minorHAnsi" w:eastAsia="Calibri" w:hAnsiTheme="minorHAnsi" w:cstheme="minorHAnsi"/>
                <w:caps/>
                <w:color w:val="2F5496"/>
                <w:sz w:val="20"/>
                <w:lang w:eastAsia="lt-LT"/>
              </w:rPr>
              <w:t>1. lentelė. Rodiklis: žalieji pirkimai</w:t>
            </w:r>
            <w:r w:rsidRPr="009D7CF6">
              <w:rPr>
                <w:rFonts w:asciiTheme="minorHAnsi" w:eastAsia="Calibri" w:hAnsiTheme="minorHAnsi" w:cstheme="minorHAnsi"/>
                <w:caps/>
                <w:color w:val="2F5496"/>
                <w:sz w:val="20"/>
                <w:vertAlign w:val="superscript"/>
                <w:lang w:eastAsia="lt-LT"/>
              </w:rPr>
              <w:t>1</w:t>
            </w:r>
          </w:p>
        </w:tc>
        <w:tc>
          <w:tcPr>
            <w:tcW w:w="3841" w:type="dxa"/>
            <w:tcBorders>
              <w:top w:val="nil"/>
              <w:left w:val="nil"/>
              <w:bottom w:val="nil"/>
              <w:right w:val="nil"/>
            </w:tcBorders>
            <w:vAlign w:val="bottom"/>
          </w:tcPr>
          <w:p w14:paraId="3808E06D" w14:textId="77777777" w:rsidR="001E015A" w:rsidRPr="009D7CF6" w:rsidRDefault="001E015A" w:rsidP="00084047">
            <w:pPr>
              <w:spacing w:before="40" w:after="40"/>
              <w:rPr>
                <w:rFonts w:asciiTheme="minorHAnsi" w:eastAsia="Calibri" w:hAnsiTheme="minorHAnsi" w:cstheme="minorHAnsi"/>
                <w:caps/>
                <w:color w:val="2F5496"/>
                <w:sz w:val="20"/>
                <w:lang w:eastAsia="lt-LT"/>
              </w:rPr>
            </w:pPr>
          </w:p>
        </w:tc>
      </w:tr>
      <w:tr w:rsidR="006A27F5" w:rsidRPr="009D7CF6" w14:paraId="00BBA357" w14:textId="77777777" w:rsidTr="00084047">
        <w:tc>
          <w:tcPr>
            <w:tcW w:w="2836" w:type="dxa"/>
            <w:tcBorders>
              <w:top w:val="single" w:sz="4" w:space="0" w:color="auto"/>
            </w:tcBorders>
          </w:tcPr>
          <w:p w14:paraId="74EE6A22" w14:textId="77777777" w:rsidR="001E015A" w:rsidRPr="009D7CF6" w:rsidRDefault="001E015A" w:rsidP="00084047">
            <w:pPr>
              <w:spacing w:before="40" w:after="40"/>
              <w:rPr>
                <w:rFonts w:asciiTheme="minorHAnsi" w:eastAsia="Calibri" w:hAnsiTheme="minorHAnsi" w:cstheme="minorHAnsi"/>
                <w:b/>
                <w:bCs/>
                <w:sz w:val="20"/>
                <w:lang w:eastAsia="lt-LT"/>
              </w:rPr>
            </w:pPr>
            <w:r w:rsidRPr="009D7CF6">
              <w:rPr>
                <w:rFonts w:asciiTheme="minorHAnsi" w:eastAsia="Calibri" w:hAnsiTheme="minorHAnsi" w:cstheme="minorHAnsi"/>
                <w:b/>
                <w:bCs/>
                <w:sz w:val="20"/>
                <w:lang w:eastAsia="lt-LT"/>
              </w:rPr>
              <w:t>Rodiklio pavadinimas</w:t>
            </w:r>
          </w:p>
        </w:tc>
        <w:tc>
          <w:tcPr>
            <w:tcW w:w="5088" w:type="dxa"/>
            <w:tcBorders>
              <w:top w:val="single" w:sz="4" w:space="0" w:color="auto"/>
              <w:bottom w:val="single" w:sz="4" w:space="0" w:color="auto"/>
            </w:tcBorders>
          </w:tcPr>
          <w:p w14:paraId="796A8D83" w14:textId="77777777" w:rsidR="001E015A" w:rsidRPr="009D7CF6" w:rsidRDefault="001E015A" w:rsidP="00084047">
            <w:pPr>
              <w:spacing w:before="40" w:after="40"/>
              <w:rPr>
                <w:rFonts w:asciiTheme="minorHAnsi" w:eastAsia="Calibri" w:hAnsiTheme="minorHAnsi" w:cstheme="minorHAnsi"/>
                <w:b/>
                <w:bCs/>
                <w:sz w:val="20"/>
                <w:lang w:eastAsia="lt-LT"/>
              </w:rPr>
            </w:pPr>
            <w:r w:rsidRPr="009D7CF6">
              <w:rPr>
                <w:rFonts w:asciiTheme="minorHAnsi" w:eastAsia="Calibri" w:hAnsiTheme="minorHAnsi" w:cstheme="minorHAnsi"/>
                <w:b/>
                <w:bCs/>
                <w:sz w:val="20"/>
                <w:lang w:eastAsia="lt-LT"/>
              </w:rPr>
              <w:t>PV rodiklio reikšmė, proc.</w:t>
            </w:r>
          </w:p>
        </w:tc>
        <w:tc>
          <w:tcPr>
            <w:tcW w:w="5612" w:type="dxa"/>
            <w:gridSpan w:val="2"/>
            <w:tcBorders>
              <w:top w:val="single" w:sz="4" w:space="0" w:color="auto"/>
              <w:bottom w:val="single" w:sz="4" w:space="0" w:color="auto"/>
              <w:right w:val="single" w:sz="4" w:space="0" w:color="auto"/>
            </w:tcBorders>
          </w:tcPr>
          <w:p w14:paraId="07C3E1D7" w14:textId="77777777" w:rsidR="001E015A" w:rsidRPr="009D7CF6" w:rsidRDefault="001E015A" w:rsidP="00084047">
            <w:pPr>
              <w:spacing w:before="40" w:after="40"/>
              <w:rPr>
                <w:rFonts w:asciiTheme="minorHAnsi" w:eastAsia="Calibri" w:hAnsiTheme="minorHAnsi" w:cstheme="minorHAnsi"/>
                <w:sz w:val="20"/>
                <w:lang w:eastAsia="lt-LT"/>
              </w:rPr>
            </w:pPr>
            <w:r w:rsidRPr="009D7CF6">
              <w:rPr>
                <w:rFonts w:asciiTheme="minorHAnsi" w:eastAsia="Calibri" w:hAnsiTheme="minorHAnsi" w:cstheme="minorHAnsi"/>
                <w:b/>
                <w:bCs/>
                <w:sz w:val="20"/>
                <w:lang w:eastAsia="lt-LT"/>
              </w:rPr>
              <w:t>LR vidutinė rodiklio reikšmė / pagal teisės aktus privalomas rodiklis, proc.</w:t>
            </w:r>
          </w:p>
        </w:tc>
      </w:tr>
      <w:tr w:rsidR="006A27F5" w:rsidRPr="009D7CF6" w14:paraId="4139CBCD" w14:textId="77777777" w:rsidTr="00084047">
        <w:tc>
          <w:tcPr>
            <w:tcW w:w="2836" w:type="dxa"/>
          </w:tcPr>
          <w:p w14:paraId="3975F6DB" w14:textId="77777777" w:rsidR="001E015A" w:rsidRPr="009D7CF6" w:rsidRDefault="001E015A" w:rsidP="00084047">
            <w:pPr>
              <w:spacing w:before="40" w:after="40"/>
              <w:rPr>
                <w:rFonts w:asciiTheme="minorHAnsi" w:eastAsia="Calibri" w:hAnsiTheme="minorHAnsi" w:cstheme="minorHAnsi"/>
                <w:sz w:val="20"/>
                <w:lang w:eastAsia="lt-LT"/>
              </w:rPr>
            </w:pPr>
            <w:r w:rsidRPr="009D7CF6">
              <w:rPr>
                <w:rFonts w:asciiTheme="minorHAnsi" w:eastAsia="Calibri" w:hAnsiTheme="minorHAnsi" w:cstheme="minorHAnsi"/>
                <w:sz w:val="20"/>
                <w:lang w:eastAsia="lt-LT"/>
              </w:rPr>
              <w:t>Žaliųjų pirkimų vertė, proc.</w:t>
            </w:r>
          </w:p>
        </w:tc>
        <w:tc>
          <w:tcPr>
            <w:tcW w:w="5088" w:type="dxa"/>
            <w:tcBorders>
              <w:top w:val="single" w:sz="4" w:space="0" w:color="auto"/>
              <w:bottom w:val="single" w:sz="4" w:space="0" w:color="auto"/>
            </w:tcBorders>
          </w:tcPr>
          <w:p w14:paraId="7D8BF683" w14:textId="23E486AA" w:rsidR="001E015A" w:rsidRPr="009D7CF6" w:rsidRDefault="001E015A" w:rsidP="00084047">
            <w:pPr>
              <w:spacing w:before="40" w:after="40"/>
              <w:rPr>
                <w:rFonts w:asciiTheme="minorHAnsi" w:eastAsia="Calibri" w:hAnsiTheme="minorHAnsi" w:cstheme="minorHAnsi"/>
                <w:sz w:val="20"/>
                <w:lang w:eastAsia="lt-LT"/>
              </w:rPr>
            </w:pPr>
            <w:r w:rsidRPr="009D7CF6">
              <w:rPr>
                <w:rFonts w:asciiTheme="minorHAnsi" w:eastAsia="Calibri" w:hAnsiTheme="minorHAnsi" w:cstheme="minorHAnsi"/>
                <w:sz w:val="20"/>
                <w:lang w:eastAsia="lt-LT"/>
              </w:rPr>
              <w:t>9</w:t>
            </w:r>
            <w:r w:rsidR="00D67873" w:rsidRPr="009D7CF6">
              <w:rPr>
                <w:rFonts w:asciiTheme="minorHAnsi" w:eastAsia="Calibri" w:hAnsiTheme="minorHAnsi" w:cstheme="minorHAnsi"/>
                <w:sz w:val="20"/>
                <w:lang w:eastAsia="lt-LT"/>
              </w:rPr>
              <w:t>9</w:t>
            </w:r>
            <w:r w:rsidR="000341FE">
              <w:rPr>
                <w:rFonts w:asciiTheme="minorHAnsi" w:eastAsia="Calibri" w:hAnsiTheme="minorHAnsi" w:cstheme="minorHAnsi"/>
                <w:sz w:val="20"/>
                <w:lang w:eastAsia="lt-LT"/>
              </w:rPr>
              <w:t>,</w:t>
            </w:r>
            <w:r w:rsidR="00D67873" w:rsidRPr="009D7CF6">
              <w:rPr>
                <w:rFonts w:asciiTheme="minorHAnsi" w:eastAsia="Calibri" w:hAnsiTheme="minorHAnsi" w:cstheme="minorHAnsi"/>
                <w:sz w:val="20"/>
                <w:lang w:eastAsia="lt-LT"/>
              </w:rPr>
              <w:t>3</w:t>
            </w:r>
          </w:p>
        </w:tc>
        <w:tc>
          <w:tcPr>
            <w:tcW w:w="5612" w:type="dxa"/>
            <w:gridSpan w:val="2"/>
            <w:tcBorders>
              <w:top w:val="single" w:sz="4" w:space="0" w:color="auto"/>
              <w:bottom w:val="single" w:sz="4" w:space="0" w:color="auto"/>
              <w:right w:val="single" w:sz="4" w:space="0" w:color="auto"/>
            </w:tcBorders>
          </w:tcPr>
          <w:p w14:paraId="7D7D0BC7" w14:textId="21B8B410" w:rsidR="001E015A" w:rsidRPr="009D7CF6" w:rsidRDefault="001E015A" w:rsidP="00084047">
            <w:pPr>
              <w:spacing w:before="40" w:after="40"/>
              <w:rPr>
                <w:rFonts w:asciiTheme="minorHAnsi" w:eastAsia="Calibri" w:hAnsiTheme="minorHAnsi" w:cstheme="minorHAnsi"/>
                <w:sz w:val="20"/>
                <w:lang w:val="en-US" w:eastAsia="lt-LT"/>
              </w:rPr>
            </w:pPr>
            <w:r w:rsidRPr="009D7CF6">
              <w:rPr>
                <w:rFonts w:asciiTheme="minorHAnsi" w:eastAsia="Calibri" w:hAnsiTheme="minorHAnsi" w:cstheme="minorHAnsi"/>
                <w:sz w:val="20"/>
                <w:lang w:eastAsia="lt-LT"/>
              </w:rPr>
              <w:t>100</w:t>
            </w:r>
            <w:r w:rsidR="000341FE">
              <w:rPr>
                <w:rFonts w:asciiTheme="minorHAnsi" w:eastAsia="Calibri" w:hAnsiTheme="minorHAnsi" w:cstheme="minorHAnsi"/>
                <w:sz w:val="20"/>
                <w:lang w:eastAsia="lt-LT"/>
              </w:rPr>
              <w:t>,0</w:t>
            </w:r>
            <w:r w:rsidRPr="009D7CF6">
              <w:rPr>
                <w:rFonts w:asciiTheme="minorHAnsi" w:eastAsia="Calibri" w:hAnsiTheme="minorHAnsi" w:cstheme="minorHAnsi"/>
                <w:sz w:val="20"/>
                <w:lang w:eastAsia="lt-LT"/>
              </w:rPr>
              <w:t xml:space="preserve"> (pagal teisės aktus privalomas rodiklis)</w:t>
            </w:r>
          </w:p>
        </w:tc>
      </w:tr>
      <w:tr w:rsidR="006A27F5" w:rsidRPr="009D7CF6" w14:paraId="06BED08B" w14:textId="77777777" w:rsidTr="00084047">
        <w:tc>
          <w:tcPr>
            <w:tcW w:w="2836" w:type="dxa"/>
          </w:tcPr>
          <w:p w14:paraId="614C50B6" w14:textId="77777777" w:rsidR="001E015A" w:rsidRPr="009D7CF6" w:rsidRDefault="001E015A" w:rsidP="00084047">
            <w:pPr>
              <w:spacing w:before="40" w:after="40"/>
              <w:rPr>
                <w:rFonts w:asciiTheme="minorHAnsi" w:eastAsia="Calibri" w:hAnsiTheme="minorHAnsi" w:cstheme="minorHAnsi"/>
                <w:sz w:val="20"/>
                <w:lang w:eastAsia="lt-LT"/>
              </w:rPr>
            </w:pPr>
            <w:r w:rsidRPr="009D7CF6">
              <w:rPr>
                <w:rFonts w:asciiTheme="minorHAnsi" w:eastAsia="Calibri" w:hAnsiTheme="minorHAnsi" w:cstheme="minorHAnsi"/>
                <w:sz w:val="20"/>
                <w:lang w:eastAsia="lt-LT"/>
              </w:rPr>
              <w:t>Žaliųjų pirkimų skaičius, proc.</w:t>
            </w:r>
          </w:p>
        </w:tc>
        <w:tc>
          <w:tcPr>
            <w:tcW w:w="5088" w:type="dxa"/>
            <w:tcBorders>
              <w:top w:val="single" w:sz="4" w:space="0" w:color="auto"/>
              <w:bottom w:val="single" w:sz="4" w:space="0" w:color="auto"/>
            </w:tcBorders>
          </w:tcPr>
          <w:p w14:paraId="47C13CC5" w14:textId="3B4000A0" w:rsidR="001E015A" w:rsidRPr="009D7CF6" w:rsidRDefault="00D67873" w:rsidP="00084047">
            <w:pPr>
              <w:spacing w:before="40" w:after="40"/>
              <w:rPr>
                <w:rFonts w:asciiTheme="minorHAnsi" w:eastAsia="Calibri" w:hAnsiTheme="minorHAnsi" w:cstheme="minorHAnsi"/>
                <w:sz w:val="20"/>
                <w:lang w:eastAsia="lt-LT"/>
              </w:rPr>
            </w:pPr>
            <w:r w:rsidRPr="009D7CF6">
              <w:rPr>
                <w:rFonts w:asciiTheme="minorHAnsi" w:eastAsia="Calibri" w:hAnsiTheme="minorHAnsi" w:cstheme="minorHAnsi"/>
                <w:sz w:val="20"/>
                <w:lang w:eastAsia="lt-LT"/>
              </w:rPr>
              <w:t>100</w:t>
            </w:r>
            <w:r w:rsidR="000341FE">
              <w:rPr>
                <w:rFonts w:asciiTheme="minorHAnsi" w:eastAsia="Calibri" w:hAnsiTheme="minorHAnsi" w:cstheme="minorHAnsi"/>
                <w:sz w:val="20"/>
                <w:lang w:eastAsia="lt-LT"/>
              </w:rPr>
              <w:t>,</w:t>
            </w:r>
            <w:r w:rsidR="001E015A" w:rsidRPr="009D7CF6">
              <w:rPr>
                <w:rFonts w:asciiTheme="minorHAnsi" w:eastAsia="Calibri" w:hAnsiTheme="minorHAnsi" w:cstheme="minorHAnsi"/>
                <w:sz w:val="20"/>
                <w:lang w:eastAsia="lt-LT"/>
              </w:rPr>
              <w:t>0</w:t>
            </w:r>
          </w:p>
        </w:tc>
        <w:tc>
          <w:tcPr>
            <w:tcW w:w="5612" w:type="dxa"/>
            <w:gridSpan w:val="2"/>
            <w:tcBorders>
              <w:top w:val="single" w:sz="4" w:space="0" w:color="auto"/>
              <w:bottom w:val="single" w:sz="4" w:space="0" w:color="auto"/>
              <w:right w:val="single" w:sz="4" w:space="0" w:color="auto"/>
            </w:tcBorders>
          </w:tcPr>
          <w:p w14:paraId="5B45258F" w14:textId="5962ED45" w:rsidR="001E015A" w:rsidRPr="009D7CF6" w:rsidRDefault="001E015A" w:rsidP="00084047">
            <w:pPr>
              <w:spacing w:before="40" w:after="40"/>
              <w:rPr>
                <w:rFonts w:asciiTheme="minorHAnsi" w:eastAsia="Calibri" w:hAnsiTheme="minorHAnsi" w:cstheme="minorHAnsi"/>
                <w:sz w:val="20"/>
                <w:lang w:eastAsia="lt-LT"/>
              </w:rPr>
            </w:pPr>
            <w:r w:rsidRPr="009D7CF6">
              <w:rPr>
                <w:rFonts w:asciiTheme="minorHAnsi" w:eastAsia="Calibri" w:hAnsiTheme="minorHAnsi" w:cstheme="minorHAnsi"/>
                <w:sz w:val="20"/>
                <w:lang w:eastAsia="lt-LT"/>
              </w:rPr>
              <w:t>7</w:t>
            </w:r>
            <w:r w:rsidR="0022389F" w:rsidRPr="009D7CF6">
              <w:rPr>
                <w:rFonts w:asciiTheme="minorHAnsi" w:eastAsia="Calibri" w:hAnsiTheme="minorHAnsi" w:cstheme="minorHAnsi"/>
                <w:sz w:val="20"/>
                <w:lang w:eastAsia="lt-LT"/>
              </w:rPr>
              <w:t>8</w:t>
            </w:r>
            <w:r w:rsidRPr="009D7CF6">
              <w:rPr>
                <w:rFonts w:asciiTheme="minorHAnsi" w:eastAsia="Calibri" w:hAnsiTheme="minorHAnsi" w:cstheme="minorHAnsi"/>
                <w:sz w:val="20"/>
                <w:lang w:eastAsia="lt-LT"/>
              </w:rPr>
              <w:t>,</w:t>
            </w:r>
            <w:r w:rsidR="0022389F" w:rsidRPr="009D7CF6">
              <w:rPr>
                <w:rFonts w:asciiTheme="minorHAnsi" w:eastAsia="Calibri" w:hAnsiTheme="minorHAnsi" w:cstheme="minorHAnsi"/>
                <w:sz w:val="20"/>
                <w:lang w:eastAsia="lt-LT"/>
              </w:rPr>
              <w:t>9</w:t>
            </w:r>
            <w:r w:rsidRPr="009D7CF6">
              <w:rPr>
                <w:rFonts w:asciiTheme="minorHAnsi" w:eastAsia="Calibri" w:hAnsiTheme="minorHAnsi" w:cstheme="minorHAnsi"/>
                <w:sz w:val="20"/>
                <w:lang w:eastAsia="lt-LT"/>
              </w:rPr>
              <w:t xml:space="preserve"> (LR vidutinė rodiklio reikšmė)</w:t>
            </w:r>
          </w:p>
        </w:tc>
      </w:tr>
    </w:tbl>
    <w:p w14:paraId="6153260F" w14:textId="77777777" w:rsidR="001E015A" w:rsidRPr="009D7CF6" w:rsidRDefault="001E015A" w:rsidP="001E015A">
      <w:pPr>
        <w:rPr>
          <w:rFonts w:asciiTheme="minorHAnsi" w:eastAsia="Calibri" w:hAnsiTheme="minorHAnsi" w:cstheme="minorHAnsi"/>
          <w:b/>
          <w:bCs/>
          <w:sz w:val="20"/>
          <w:lang w:eastAsia="lt-LT"/>
        </w:rPr>
      </w:pPr>
      <w:r w:rsidRPr="009D7CF6">
        <w:rPr>
          <w:rFonts w:asciiTheme="minorHAnsi" w:eastAsia="Calibri" w:hAnsiTheme="minorHAnsi" w:cstheme="minorHAnsi"/>
          <w:b/>
          <w:bCs/>
          <w:sz w:val="20"/>
          <w:lang w:eastAsia="lt-LT"/>
        </w:rPr>
        <w:t>PASTABOS:</w:t>
      </w:r>
    </w:p>
    <w:p w14:paraId="4DE7E4D1" w14:textId="77777777" w:rsidR="001E015A" w:rsidRPr="009D7CF6" w:rsidRDefault="001E015A" w:rsidP="001E015A">
      <w:pPr>
        <w:rPr>
          <w:rFonts w:asciiTheme="minorHAnsi" w:hAnsiTheme="minorHAnsi" w:cstheme="minorHAnsi"/>
          <w:sz w:val="20"/>
        </w:rPr>
      </w:pPr>
      <w:r w:rsidRPr="009D7CF6">
        <w:rPr>
          <w:rStyle w:val="FootnoteReference"/>
          <w:rFonts w:asciiTheme="minorHAnsi" w:hAnsiTheme="minorHAnsi" w:cstheme="minorHAnsi"/>
          <w:sz w:val="20"/>
        </w:rPr>
        <w:footnoteRef/>
      </w:r>
      <w:r w:rsidRPr="009D7CF6">
        <w:rPr>
          <w:rFonts w:asciiTheme="minorHAnsi" w:hAnsiTheme="minorHAnsi" w:cstheme="minorHAnsi"/>
          <w:sz w:val="20"/>
        </w:rPr>
        <w:t xml:space="preserve"> </w:t>
      </w:r>
      <w:r w:rsidRPr="009D7CF6">
        <w:rPr>
          <w:rFonts w:asciiTheme="minorHAnsi" w:eastAsia="Calibri" w:hAnsiTheme="minorHAnsi" w:cstheme="minorHAnsi"/>
          <w:sz w:val="20"/>
          <w:lang w:eastAsia="lt-LT"/>
        </w:rPr>
        <w:t>Į žaliųjų pirkimų rodiklių skaičiavimus įtraukti tik įvykę tarptautiniai ir supaprastinti, įskaitant ir mažos vertės pirkimus, pirkimų duomenys. Pirkimai priskiriami ataskaitiniam laikotarpiui pagal sutarties sudarymo datą.</w:t>
      </w:r>
    </w:p>
    <w:p w14:paraId="546D68B7" w14:textId="77777777" w:rsidR="004734B5" w:rsidRDefault="004734B5" w:rsidP="004734B5">
      <w:pPr>
        <w:rPr>
          <w:rFonts w:asciiTheme="minorHAnsi" w:hAnsiTheme="minorHAnsi" w:cstheme="minorHAnsi"/>
        </w:rPr>
      </w:pPr>
    </w:p>
    <w:p w14:paraId="7C712AA0" w14:textId="77777777" w:rsidR="007B29AF" w:rsidRDefault="007B29AF" w:rsidP="004734B5">
      <w:pPr>
        <w:rPr>
          <w:rFonts w:asciiTheme="minorHAnsi" w:hAnsiTheme="minorHAnsi" w:cstheme="minorHAnsi"/>
        </w:rPr>
      </w:pPr>
    </w:p>
    <w:p w14:paraId="2155C0D9" w14:textId="77777777" w:rsidR="007B29AF" w:rsidRPr="009D7CF6" w:rsidRDefault="007B29AF"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4957"/>
        <w:gridCol w:w="1921"/>
        <w:gridCol w:w="3852"/>
      </w:tblGrid>
      <w:tr w:rsidR="004734B5" w:rsidRPr="009D7CF6" w14:paraId="7FB8BF17"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4571EE2" w14:textId="6EB6D4A4" w:rsidR="004734B5" w:rsidRPr="009D7CF6" w:rsidRDefault="001E015A" w:rsidP="00AB235A">
            <w:pPr>
              <w:rPr>
                <w:rFonts w:asciiTheme="minorHAnsi" w:hAnsiTheme="minorHAnsi" w:cstheme="minorHAnsi"/>
              </w:rPr>
            </w:pPr>
            <w:r w:rsidRPr="009D7CF6">
              <w:rPr>
                <w:rFonts w:asciiTheme="minorHAnsi" w:hAnsiTheme="minorHAnsi" w:cstheme="minorHAnsi"/>
              </w:rPr>
              <w:lastRenderedPageBreak/>
              <w:t>2</w:t>
            </w:r>
            <w:r w:rsidR="004734B5" w:rsidRPr="009D7CF6">
              <w:rPr>
                <w:rFonts w:asciiTheme="minorHAnsi" w:hAnsiTheme="minorHAnsi" w:cstheme="minorHAnsi"/>
              </w:rPr>
              <w:t>. lentelė. Rodiklis: kainos ar sąnaudų ir kokybės ekonominio naudingumo vertinimas</w:t>
            </w:r>
            <w:r w:rsidR="007C55B9" w:rsidRPr="009D7CF6">
              <w:rPr>
                <w:rFonts w:asciiTheme="minorHAnsi" w:hAnsiTheme="minorHAnsi" w:cstheme="minorHAnsi"/>
                <w:vertAlign w:val="superscript"/>
              </w:rPr>
              <w:t>1</w:t>
            </w:r>
          </w:p>
        </w:tc>
        <w:tc>
          <w:tcPr>
            <w:tcW w:w="3780" w:type="dxa"/>
            <w:tcBorders>
              <w:top w:val="nil"/>
              <w:left w:val="nil"/>
              <w:bottom w:val="nil"/>
              <w:right w:val="nil"/>
            </w:tcBorders>
          </w:tcPr>
          <w:p w14:paraId="1D4874E2" w14:textId="77777777" w:rsidR="004734B5" w:rsidRPr="009D7CF6" w:rsidRDefault="004734B5" w:rsidP="00AB235A">
            <w:pPr>
              <w:rPr>
                <w:rFonts w:asciiTheme="minorHAnsi" w:hAnsiTheme="minorHAnsi" w:cstheme="minorHAnsi"/>
              </w:rPr>
            </w:pPr>
          </w:p>
        </w:tc>
      </w:tr>
      <w:tr w:rsidR="006A27F5" w:rsidRPr="009D7CF6" w14:paraId="4BC33A26" w14:textId="77777777" w:rsidTr="00AB235A">
        <w:tc>
          <w:tcPr>
            <w:tcW w:w="2790" w:type="dxa"/>
            <w:tcBorders>
              <w:top w:val="single" w:sz="4" w:space="0" w:color="auto"/>
            </w:tcBorders>
          </w:tcPr>
          <w:p w14:paraId="6D87D003" w14:textId="77777777" w:rsidR="004734B5" w:rsidRPr="009D7CF6" w:rsidRDefault="004734B5" w:rsidP="00AB235A">
            <w:pPr>
              <w:rPr>
                <w:rFonts w:cstheme="minorHAnsi"/>
                <w:b/>
                <w:bCs/>
                <w:color w:val="auto"/>
              </w:rPr>
            </w:pPr>
            <w:r w:rsidRPr="009D7CF6">
              <w:rPr>
                <w:rFonts w:cstheme="minorHAnsi"/>
                <w:b/>
                <w:bCs/>
                <w:color w:val="auto"/>
              </w:rPr>
              <w:t>Rodiklio pavadinimas</w:t>
            </w:r>
          </w:p>
        </w:tc>
        <w:tc>
          <w:tcPr>
            <w:tcW w:w="4865" w:type="dxa"/>
            <w:tcBorders>
              <w:top w:val="single" w:sz="4" w:space="0" w:color="auto"/>
              <w:bottom w:val="single" w:sz="4" w:space="0" w:color="auto"/>
            </w:tcBorders>
          </w:tcPr>
          <w:p w14:paraId="0E43EA45" w14:textId="39DEF3ED" w:rsidR="004734B5" w:rsidRPr="009D7CF6" w:rsidRDefault="004734B5" w:rsidP="00AB235A">
            <w:pPr>
              <w:rPr>
                <w:rFonts w:cstheme="minorHAnsi"/>
                <w:b/>
                <w:bCs/>
                <w:color w:val="auto"/>
              </w:rPr>
            </w:pPr>
            <w:r w:rsidRPr="009D7CF6">
              <w:rPr>
                <w:rFonts w:cstheme="minorHAnsi"/>
                <w:b/>
                <w:bCs/>
                <w:color w:val="auto"/>
              </w:rPr>
              <w:t>PV rodiklio reikšmė</w:t>
            </w:r>
          </w:p>
        </w:tc>
        <w:tc>
          <w:tcPr>
            <w:tcW w:w="5665" w:type="dxa"/>
            <w:gridSpan w:val="2"/>
            <w:tcBorders>
              <w:top w:val="single" w:sz="4" w:space="0" w:color="auto"/>
              <w:bottom w:val="single" w:sz="4" w:space="0" w:color="auto"/>
              <w:right w:val="single" w:sz="4" w:space="0" w:color="auto"/>
            </w:tcBorders>
          </w:tcPr>
          <w:p w14:paraId="5E7F1130" w14:textId="77777777" w:rsidR="004734B5" w:rsidRPr="009D7CF6" w:rsidRDefault="004734B5" w:rsidP="00AB235A">
            <w:pPr>
              <w:rPr>
                <w:rFonts w:cstheme="minorHAnsi"/>
                <w:color w:val="auto"/>
              </w:rPr>
            </w:pPr>
            <w:r w:rsidRPr="009D7CF6">
              <w:rPr>
                <w:rFonts w:cstheme="minorHAnsi"/>
                <w:b/>
                <w:bCs/>
                <w:color w:val="auto"/>
              </w:rPr>
              <w:t>LR vidutinė rodiklio reikšmė / pagal teisės aktus privalomas rodiklis</w:t>
            </w:r>
          </w:p>
        </w:tc>
      </w:tr>
      <w:tr w:rsidR="006A27F5" w:rsidRPr="009D7CF6" w14:paraId="006ED9E4" w14:textId="77777777" w:rsidTr="00AB235A">
        <w:tc>
          <w:tcPr>
            <w:tcW w:w="2790" w:type="dxa"/>
          </w:tcPr>
          <w:p w14:paraId="1B9AAA3C" w14:textId="77777777" w:rsidR="005464AF" w:rsidRPr="009D7CF6" w:rsidRDefault="005464AF" w:rsidP="005464AF">
            <w:pPr>
              <w:rPr>
                <w:rFonts w:cstheme="minorHAnsi"/>
                <w:color w:val="auto"/>
              </w:rPr>
            </w:pPr>
            <w:r w:rsidRPr="009D7CF6">
              <w:rPr>
                <w:rFonts w:cstheme="minorHAnsi"/>
                <w:color w:val="auto"/>
              </w:rPr>
              <w:t>Kainos ar sąnaudų ir kokybės ekonominio naudingumo vertinimas pirkimuose pagal vertę, proc.</w:t>
            </w:r>
          </w:p>
        </w:tc>
        <w:tc>
          <w:tcPr>
            <w:tcW w:w="4865" w:type="dxa"/>
            <w:tcBorders>
              <w:top w:val="single" w:sz="4" w:space="0" w:color="auto"/>
              <w:bottom w:val="single" w:sz="4" w:space="0" w:color="auto"/>
            </w:tcBorders>
          </w:tcPr>
          <w:p w14:paraId="17817EE4" w14:textId="7143D73A" w:rsidR="005464AF" w:rsidRPr="009D7CF6" w:rsidRDefault="005464AF" w:rsidP="005464AF">
            <w:pPr>
              <w:rPr>
                <w:rFonts w:cstheme="minorHAnsi"/>
                <w:color w:val="auto"/>
              </w:rPr>
            </w:pPr>
            <w:r w:rsidRPr="009D7CF6">
              <w:rPr>
                <w:rFonts w:eastAsia="Calibri" w:cstheme="minorHAnsi"/>
                <w:color w:val="auto"/>
              </w:rPr>
              <w:t>83</w:t>
            </w:r>
            <w:r w:rsidR="000341FE">
              <w:rPr>
                <w:rFonts w:eastAsia="Calibri" w:cstheme="minorHAnsi"/>
                <w:color w:val="auto"/>
              </w:rPr>
              <w:t>,</w:t>
            </w:r>
            <w:r w:rsidRPr="009D7CF6">
              <w:rPr>
                <w:rFonts w:eastAsia="Calibri" w:cstheme="minorHAnsi"/>
                <w:color w:val="auto"/>
              </w:rPr>
              <w:t>9</w:t>
            </w:r>
          </w:p>
        </w:tc>
        <w:tc>
          <w:tcPr>
            <w:tcW w:w="5665" w:type="dxa"/>
            <w:gridSpan w:val="2"/>
            <w:tcBorders>
              <w:top w:val="single" w:sz="4" w:space="0" w:color="auto"/>
              <w:bottom w:val="single" w:sz="4" w:space="0" w:color="auto"/>
              <w:right w:val="single" w:sz="4" w:space="0" w:color="auto"/>
            </w:tcBorders>
          </w:tcPr>
          <w:p w14:paraId="5DEDA20E" w14:textId="0C0CE527" w:rsidR="005464AF" w:rsidRPr="009D7CF6" w:rsidRDefault="005464AF" w:rsidP="005464AF">
            <w:pPr>
              <w:rPr>
                <w:rFonts w:cstheme="minorHAnsi"/>
                <w:color w:val="auto"/>
              </w:rPr>
            </w:pPr>
            <w:r w:rsidRPr="009D7CF6">
              <w:rPr>
                <w:rFonts w:eastAsia="Calibri" w:cstheme="minorHAnsi"/>
                <w:color w:val="auto"/>
              </w:rPr>
              <w:t>≥ 50</w:t>
            </w:r>
            <w:r w:rsidR="000341FE">
              <w:rPr>
                <w:rFonts w:eastAsia="Calibri" w:cstheme="minorHAnsi"/>
                <w:color w:val="auto"/>
              </w:rPr>
              <w:t>,0</w:t>
            </w:r>
            <w:r w:rsidRPr="009D7CF6">
              <w:rPr>
                <w:rFonts w:eastAsia="Calibri" w:cstheme="minorHAnsi"/>
                <w:color w:val="auto"/>
              </w:rPr>
              <w:t xml:space="preserve">  (pagal teisės aktus privalomas rodiklis)</w:t>
            </w:r>
          </w:p>
        </w:tc>
      </w:tr>
      <w:tr w:rsidR="006A27F5" w:rsidRPr="009D7CF6" w14:paraId="57C64E3C" w14:textId="77777777" w:rsidTr="00AB235A">
        <w:tc>
          <w:tcPr>
            <w:tcW w:w="2790" w:type="dxa"/>
          </w:tcPr>
          <w:p w14:paraId="37A9BB66" w14:textId="77777777" w:rsidR="005464AF" w:rsidRPr="009D7CF6" w:rsidRDefault="005464AF" w:rsidP="005464AF">
            <w:pPr>
              <w:rPr>
                <w:rFonts w:cstheme="minorHAnsi"/>
                <w:color w:val="auto"/>
              </w:rPr>
            </w:pPr>
            <w:r w:rsidRPr="009D7CF6">
              <w:rPr>
                <w:rFonts w:cstheme="minorHAnsi"/>
                <w:color w:val="auto"/>
              </w:rPr>
              <w:t>Kainos ar sąnaudų ir kokybės ekonominio naudingumo vertinimas pirkimuose pagal skaičių, proc.</w:t>
            </w:r>
          </w:p>
        </w:tc>
        <w:tc>
          <w:tcPr>
            <w:tcW w:w="4865" w:type="dxa"/>
            <w:tcBorders>
              <w:top w:val="single" w:sz="4" w:space="0" w:color="auto"/>
              <w:bottom w:val="single" w:sz="4" w:space="0" w:color="auto"/>
            </w:tcBorders>
          </w:tcPr>
          <w:p w14:paraId="0586FB0C" w14:textId="37942626" w:rsidR="005464AF" w:rsidRPr="009D7CF6" w:rsidRDefault="005464AF" w:rsidP="005464AF">
            <w:pPr>
              <w:rPr>
                <w:rFonts w:cstheme="minorHAnsi"/>
                <w:color w:val="auto"/>
              </w:rPr>
            </w:pPr>
            <w:r w:rsidRPr="009D7CF6">
              <w:rPr>
                <w:rFonts w:eastAsia="Calibri" w:cstheme="minorHAnsi"/>
                <w:color w:val="auto"/>
              </w:rPr>
              <w:t>37</w:t>
            </w:r>
            <w:r w:rsidR="000341FE">
              <w:rPr>
                <w:rFonts w:eastAsia="Calibri" w:cstheme="minorHAnsi"/>
                <w:color w:val="auto"/>
              </w:rPr>
              <w:t>,</w:t>
            </w:r>
            <w:r w:rsidRPr="009D7CF6">
              <w:rPr>
                <w:rFonts w:eastAsia="Calibri" w:cstheme="minorHAnsi"/>
                <w:color w:val="auto"/>
              </w:rPr>
              <w:t>9</w:t>
            </w:r>
          </w:p>
        </w:tc>
        <w:tc>
          <w:tcPr>
            <w:tcW w:w="5665" w:type="dxa"/>
            <w:gridSpan w:val="2"/>
            <w:tcBorders>
              <w:top w:val="single" w:sz="4" w:space="0" w:color="auto"/>
              <w:bottom w:val="single" w:sz="4" w:space="0" w:color="auto"/>
              <w:right w:val="single" w:sz="4" w:space="0" w:color="auto"/>
            </w:tcBorders>
          </w:tcPr>
          <w:p w14:paraId="2659A2C6" w14:textId="73198A86" w:rsidR="005464AF" w:rsidRPr="009D7CF6" w:rsidRDefault="005464AF" w:rsidP="005464AF">
            <w:pPr>
              <w:rPr>
                <w:rFonts w:cstheme="minorHAnsi"/>
                <w:color w:val="auto"/>
              </w:rPr>
            </w:pPr>
            <w:r w:rsidRPr="009D7CF6">
              <w:rPr>
                <w:rFonts w:eastAsia="Calibri" w:cstheme="minorHAnsi"/>
                <w:color w:val="auto"/>
              </w:rPr>
              <w:t>26,</w:t>
            </w:r>
            <w:r w:rsidR="000A1567" w:rsidRPr="009D7CF6">
              <w:rPr>
                <w:rFonts w:eastAsia="Calibri" w:cstheme="minorHAnsi"/>
                <w:color w:val="auto"/>
              </w:rPr>
              <w:t>8</w:t>
            </w:r>
            <w:r w:rsidRPr="009D7CF6">
              <w:rPr>
                <w:rFonts w:eastAsia="Calibri" w:cstheme="minorHAnsi"/>
                <w:color w:val="auto"/>
              </w:rPr>
              <w:t xml:space="preserve"> (LR vidutinė rodiklio reikšmė)</w:t>
            </w:r>
          </w:p>
        </w:tc>
      </w:tr>
    </w:tbl>
    <w:p w14:paraId="6DB4387F" w14:textId="2297EF4D" w:rsidR="004734B5" w:rsidRPr="009D7CF6" w:rsidRDefault="00F710CF" w:rsidP="004734B5">
      <w:pPr>
        <w:rPr>
          <w:rFonts w:asciiTheme="minorHAnsi" w:hAnsiTheme="minorHAnsi" w:cstheme="minorHAnsi"/>
          <w:sz w:val="20"/>
        </w:rPr>
      </w:pPr>
      <w:r w:rsidRPr="009D7CF6">
        <w:rPr>
          <w:rFonts w:asciiTheme="minorHAnsi" w:hAnsiTheme="minorHAnsi" w:cstheme="minorHAnsi"/>
          <w:b/>
          <w:bCs/>
          <w:sz w:val="20"/>
        </w:rPr>
        <w:t>PASTABOS:</w:t>
      </w:r>
      <w:r w:rsidRPr="009D7CF6">
        <w:rPr>
          <w:rFonts w:asciiTheme="minorHAnsi" w:hAnsiTheme="minorHAnsi" w:cstheme="minorHAnsi"/>
          <w:b/>
          <w:bCs/>
          <w:sz w:val="20"/>
        </w:rPr>
        <w:br/>
      </w:r>
      <w:r w:rsidRPr="009D7CF6">
        <w:rPr>
          <w:rStyle w:val="FootnoteReference"/>
          <w:rFonts w:asciiTheme="minorHAnsi" w:hAnsiTheme="minorHAnsi" w:cstheme="minorHAnsi"/>
          <w:sz w:val="20"/>
        </w:rPr>
        <w:footnoteRef/>
      </w:r>
      <w:r w:rsidRPr="009D7CF6">
        <w:rPr>
          <w:rFonts w:asciiTheme="minorHAnsi" w:hAnsiTheme="minorHAnsi" w:cstheme="minorHAnsi"/>
          <w:sz w:val="20"/>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26CB5207" w14:textId="77777777" w:rsidR="004734B5" w:rsidRPr="009D7CF6" w:rsidRDefault="004734B5"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102"/>
        <w:gridCol w:w="1776"/>
        <w:gridCol w:w="3852"/>
      </w:tblGrid>
      <w:tr w:rsidR="004734B5" w:rsidRPr="009D7CF6" w14:paraId="6488C481"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61169063" w14:textId="1DE4DA4D" w:rsidR="004734B5" w:rsidRPr="009D7CF6" w:rsidRDefault="001E015A" w:rsidP="00AB235A">
            <w:pPr>
              <w:rPr>
                <w:rFonts w:asciiTheme="minorHAnsi" w:hAnsiTheme="minorHAnsi" w:cstheme="minorHAnsi"/>
              </w:rPr>
            </w:pPr>
            <w:r w:rsidRPr="009D7CF6">
              <w:rPr>
                <w:rFonts w:asciiTheme="minorHAnsi" w:hAnsiTheme="minorHAnsi" w:cstheme="minorHAnsi"/>
              </w:rPr>
              <w:t>3</w:t>
            </w:r>
            <w:r w:rsidR="004734B5" w:rsidRPr="009D7CF6">
              <w:rPr>
                <w:rFonts w:asciiTheme="minorHAnsi" w:hAnsiTheme="minorHAnsi" w:cstheme="minorHAnsi"/>
              </w:rPr>
              <w:t>. lentelė. Rodiklis: vieno tiekėjo pirkimų skaičius, proc</w:t>
            </w:r>
            <w:r w:rsidR="00280818" w:rsidRPr="009D7CF6">
              <w:rPr>
                <w:rFonts w:asciiTheme="minorHAnsi" w:hAnsiTheme="minorHAnsi" w:cstheme="minorHAnsi"/>
                <w:vertAlign w:val="superscript"/>
              </w:rPr>
              <w:t>1</w:t>
            </w:r>
          </w:p>
        </w:tc>
        <w:tc>
          <w:tcPr>
            <w:tcW w:w="3780" w:type="dxa"/>
            <w:tcBorders>
              <w:top w:val="nil"/>
              <w:left w:val="nil"/>
              <w:bottom w:val="nil"/>
              <w:right w:val="nil"/>
            </w:tcBorders>
          </w:tcPr>
          <w:p w14:paraId="39AE087F" w14:textId="77777777" w:rsidR="004734B5" w:rsidRPr="009D7CF6" w:rsidRDefault="004734B5" w:rsidP="00AB235A">
            <w:pPr>
              <w:rPr>
                <w:rFonts w:asciiTheme="minorHAnsi" w:hAnsiTheme="minorHAnsi" w:cstheme="minorHAnsi"/>
              </w:rPr>
            </w:pPr>
          </w:p>
        </w:tc>
      </w:tr>
      <w:tr w:rsidR="006A27F5" w:rsidRPr="009D7CF6" w14:paraId="05A75FDE" w14:textId="77777777" w:rsidTr="00AB235A">
        <w:tc>
          <w:tcPr>
            <w:tcW w:w="2790" w:type="dxa"/>
            <w:tcBorders>
              <w:top w:val="single" w:sz="4" w:space="0" w:color="auto"/>
            </w:tcBorders>
          </w:tcPr>
          <w:p w14:paraId="6DE776EE" w14:textId="77777777" w:rsidR="004734B5" w:rsidRPr="009D7CF6" w:rsidRDefault="004734B5" w:rsidP="00AB235A">
            <w:pPr>
              <w:rPr>
                <w:rFonts w:cstheme="minorHAnsi"/>
                <w:b/>
                <w:bCs/>
                <w:color w:val="auto"/>
              </w:rPr>
            </w:pPr>
            <w:r w:rsidRPr="009D7CF6">
              <w:rPr>
                <w:rFonts w:cstheme="minorHAnsi"/>
                <w:b/>
                <w:bCs/>
                <w:color w:val="auto"/>
              </w:rPr>
              <w:t>Rodiklio pavadinimas</w:t>
            </w:r>
          </w:p>
        </w:tc>
        <w:tc>
          <w:tcPr>
            <w:tcW w:w="5007" w:type="dxa"/>
            <w:tcBorders>
              <w:top w:val="single" w:sz="4" w:space="0" w:color="auto"/>
              <w:bottom w:val="single" w:sz="4" w:space="0" w:color="auto"/>
            </w:tcBorders>
          </w:tcPr>
          <w:p w14:paraId="63CA8225" w14:textId="77777777" w:rsidR="004734B5" w:rsidRPr="009D7CF6" w:rsidRDefault="004734B5" w:rsidP="00AB235A">
            <w:pPr>
              <w:rPr>
                <w:rFonts w:cstheme="minorHAnsi"/>
                <w:b/>
                <w:bCs/>
                <w:color w:val="auto"/>
              </w:rPr>
            </w:pPr>
            <w:r w:rsidRPr="009D7CF6">
              <w:rPr>
                <w:rFonts w:cstheme="minorHAns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6AEF9EAE" w14:textId="77777777" w:rsidR="004734B5" w:rsidRPr="009D7CF6" w:rsidRDefault="004734B5" w:rsidP="00AB235A">
            <w:pPr>
              <w:rPr>
                <w:rFonts w:cstheme="minorHAnsi"/>
                <w:color w:val="auto"/>
              </w:rPr>
            </w:pPr>
            <w:r w:rsidRPr="009D7CF6">
              <w:rPr>
                <w:rFonts w:cstheme="minorHAnsi"/>
                <w:b/>
                <w:bCs/>
                <w:color w:val="auto"/>
              </w:rPr>
              <w:t>LR vidutinė rodiklio reikšmė</w:t>
            </w:r>
          </w:p>
        </w:tc>
      </w:tr>
      <w:tr w:rsidR="006A27F5" w:rsidRPr="009D7CF6" w14:paraId="2481DF52" w14:textId="77777777" w:rsidTr="00AB235A">
        <w:tc>
          <w:tcPr>
            <w:tcW w:w="2790" w:type="dxa"/>
          </w:tcPr>
          <w:p w14:paraId="0115756F" w14:textId="3FD29DAB" w:rsidR="00064ABA" w:rsidRPr="009D7CF6" w:rsidRDefault="00064ABA" w:rsidP="00064ABA">
            <w:pPr>
              <w:rPr>
                <w:rFonts w:cstheme="minorHAnsi"/>
                <w:color w:val="auto"/>
              </w:rPr>
            </w:pPr>
            <w:r w:rsidRPr="009D7CF6">
              <w:rPr>
                <w:rFonts w:cstheme="minorHAnsi"/>
                <w:color w:val="auto"/>
              </w:rPr>
              <w:t>Vieno tiekėjo pirkimų (be centralizuotų pirkimų) skaičius</w:t>
            </w:r>
            <w:r w:rsidRPr="009D7CF6">
              <w:rPr>
                <w:rFonts w:cstheme="minorHAnsi"/>
                <w:color w:val="auto"/>
                <w:vertAlign w:val="superscript"/>
              </w:rPr>
              <w:t>1</w:t>
            </w:r>
            <w:r w:rsidRPr="009D7CF6">
              <w:rPr>
                <w:rFonts w:cstheme="minorHAnsi"/>
                <w:color w:val="auto"/>
              </w:rPr>
              <w:t>, proc.</w:t>
            </w:r>
          </w:p>
        </w:tc>
        <w:tc>
          <w:tcPr>
            <w:tcW w:w="5007" w:type="dxa"/>
            <w:tcBorders>
              <w:top w:val="single" w:sz="4" w:space="0" w:color="auto"/>
              <w:bottom w:val="single" w:sz="4" w:space="0" w:color="auto"/>
            </w:tcBorders>
          </w:tcPr>
          <w:p w14:paraId="2F46D620" w14:textId="761F503F" w:rsidR="00064ABA" w:rsidRPr="009D7CF6" w:rsidRDefault="00064ABA" w:rsidP="00064ABA">
            <w:pPr>
              <w:rPr>
                <w:rFonts w:cstheme="minorHAnsi"/>
                <w:color w:val="auto"/>
              </w:rPr>
            </w:pPr>
            <w:r w:rsidRPr="009D7CF6">
              <w:rPr>
                <w:rFonts w:eastAsia="Calibri" w:cstheme="minorHAnsi"/>
                <w:color w:val="auto"/>
              </w:rPr>
              <w:t>29</w:t>
            </w:r>
            <w:r w:rsidR="000341FE">
              <w:rPr>
                <w:rFonts w:eastAsia="Calibri" w:cstheme="minorHAnsi"/>
                <w:color w:val="auto"/>
              </w:rPr>
              <w:t>,</w:t>
            </w:r>
            <w:r w:rsidRPr="009D7CF6">
              <w:rPr>
                <w:rFonts w:eastAsia="Calibri" w:cstheme="minorHAnsi"/>
                <w:color w:val="auto"/>
              </w:rPr>
              <w:t>0</w:t>
            </w:r>
          </w:p>
        </w:tc>
        <w:tc>
          <w:tcPr>
            <w:tcW w:w="5523" w:type="dxa"/>
            <w:gridSpan w:val="2"/>
            <w:tcBorders>
              <w:top w:val="single" w:sz="4" w:space="0" w:color="auto"/>
              <w:bottom w:val="single" w:sz="4" w:space="0" w:color="auto"/>
              <w:right w:val="single" w:sz="4" w:space="0" w:color="auto"/>
            </w:tcBorders>
          </w:tcPr>
          <w:p w14:paraId="4B91694F" w14:textId="71A59551" w:rsidR="00064ABA" w:rsidRPr="009D7CF6" w:rsidRDefault="00064ABA" w:rsidP="00064ABA">
            <w:pPr>
              <w:rPr>
                <w:rFonts w:cstheme="minorHAnsi"/>
                <w:color w:val="auto"/>
              </w:rPr>
            </w:pPr>
            <w:r w:rsidRPr="009D7CF6">
              <w:rPr>
                <w:rFonts w:eastAsia="Calibri" w:cstheme="minorHAnsi"/>
                <w:color w:val="auto"/>
              </w:rPr>
              <w:t>44,</w:t>
            </w:r>
            <w:r w:rsidR="0022389F" w:rsidRPr="009D7CF6">
              <w:rPr>
                <w:rFonts w:eastAsia="Calibri" w:cstheme="minorHAnsi"/>
                <w:color w:val="auto"/>
              </w:rPr>
              <w:t>5</w:t>
            </w:r>
            <w:r w:rsidRPr="009D7CF6">
              <w:rPr>
                <w:rFonts w:eastAsia="Calibri" w:cstheme="minorHAnsi"/>
                <w:color w:val="auto"/>
              </w:rPr>
              <w:t xml:space="preserve"> </w:t>
            </w:r>
          </w:p>
        </w:tc>
      </w:tr>
      <w:tr w:rsidR="006A27F5" w:rsidRPr="009D7CF6" w14:paraId="30D5CBEA" w14:textId="77777777" w:rsidTr="00AB235A">
        <w:tc>
          <w:tcPr>
            <w:tcW w:w="2790" w:type="dxa"/>
          </w:tcPr>
          <w:p w14:paraId="2560FFE4" w14:textId="563AEDE5" w:rsidR="00064ABA" w:rsidRPr="009D7CF6" w:rsidRDefault="00064ABA" w:rsidP="00064ABA">
            <w:pPr>
              <w:rPr>
                <w:rFonts w:cstheme="minorHAnsi"/>
                <w:color w:val="auto"/>
              </w:rPr>
            </w:pPr>
            <w:r w:rsidRPr="009D7CF6">
              <w:rPr>
                <w:rFonts w:cstheme="minorHAnsi"/>
                <w:color w:val="auto"/>
              </w:rPr>
              <w:t>Vieno tiekėjo pirkimų (su centralizuotais pirkimais</w:t>
            </w:r>
            <w:r w:rsidRPr="009D7CF6">
              <w:rPr>
                <w:rFonts w:cstheme="minorHAnsi"/>
                <w:color w:val="auto"/>
                <w:vertAlign w:val="superscript"/>
              </w:rPr>
              <w:t>3</w:t>
            </w:r>
            <w:r w:rsidRPr="009D7CF6">
              <w:rPr>
                <w:rFonts w:cstheme="minorHAnsi"/>
                <w:color w:val="auto"/>
              </w:rPr>
              <w:t>) skaičius</w:t>
            </w:r>
            <w:r w:rsidRPr="009D7CF6">
              <w:rPr>
                <w:rFonts w:cstheme="minorHAnsi"/>
                <w:color w:val="auto"/>
                <w:vertAlign w:val="superscript"/>
              </w:rPr>
              <w:t>4</w:t>
            </w:r>
            <w:r w:rsidRPr="009D7CF6">
              <w:rPr>
                <w:rFonts w:cstheme="minorHAnsi"/>
                <w:color w:val="auto"/>
              </w:rPr>
              <w:t>, proc.</w:t>
            </w:r>
          </w:p>
        </w:tc>
        <w:tc>
          <w:tcPr>
            <w:tcW w:w="5007" w:type="dxa"/>
            <w:tcBorders>
              <w:top w:val="single" w:sz="4" w:space="0" w:color="auto"/>
              <w:bottom w:val="single" w:sz="4" w:space="0" w:color="auto"/>
            </w:tcBorders>
          </w:tcPr>
          <w:p w14:paraId="1545A306" w14:textId="6B06E4AF" w:rsidR="00064ABA" w:rsidRPr="009D7CF6" w:rsidRDefault="00064ABA" w:rsidP="00064ABA">
            <w:pPr>
              <w:rPr>
                <w:rFonts w:cstheme="minorHAnsi"/>
                <w:color w:val="auto"/>
              </w:rPr>
            </w:pPr>
            <w:r w:rsidRPr="009D7CF6">
              <w:rPr>
                <w:rFonts w:eastAsia="Calibri" w:cstheme="minorHAnsi"/>
                <w:color w:val="auto"/>
              </w:rPr>
              <w:t>27</w:t>
            </w:r>
            <w:r w:rsidR="000341FE">
              <w:rPr>
                <w:rFonts w:eastAsia="Calibri" w:cstheme="minorHAnsi"/>
                <w:color w:val="auto"/>
              </w:rPr>
              <w:t>,</w:t>
            </w:r>
            <w:r w:rsidRPr="009D7CF6">
              <w:rPr>
                <w:rFonts w:eastAsia="Calibri" w:cstheme="minorHAnsi"/>
                <w:color w:val="auto"/>
              </w:rPr>
              <w:t>1</w:t>
            </w:r>
          </w:p>
        </w:tc>
        <w:tc>
          <w:tcPr>
            <w:tcW w:w="5523" w:type="dxa"/>
            <w:gridSpan w:val="2"/>
            <w:tcBorders>
              <w:top w:val="single" w:sz="4" w:space="0" w:color="auto"/>
              <w:bottom w:val="single" w:sz="4" w:space="0" w:color="auto"/>
              <w:right w:val="single" w:sz="4" w:space="0" w:color="auto"/>
            </w:tcBorders>
          </w:tcPr>
          <w:p w14:paraId="2B8BE4D0" w14:textId="413BB643" w:rsidR="00064ABA" w:rsidRPr="009D7CF6" w:rsidRDefault="0022389F" w:rsidP="00064ABA">
            <w:pPr>
              <w:rPr>
                <w:rFonts w:cstheme="minorHAnsi"/>
                <w:color w:val="auto"/>
              </w:rPr>
            </w:pPr>
            <w:r w:rsidRPr="009D7CF6">
              <w:rPr>
                <w:rFonts w:eastAsia="Calibri" w:cstheme="minorHAnsi"/>
                <w:color w:val="auto"/>
              </w:rPr>
              <w:t>20</w:t>
            </w:r>
            <w:r w:rsidR="00064ABA" w:rsidRPr="009D7CF6">
              <w:rPr>
                <w:rFonts w:eastAsia="Calibri" w:cstheme="minorHAnsi"/>
                <w:color w:val="auto"/>
              </w:rPr>
              <w:t>,</w:t>
            </w:r>
            <w:r w:rsidRPr="009D7CF6">
              <w:rPr>
                <w:rFonts w:eastAsia="Calibri" w:cstheme="minorHAnsi"/>
                <w:color w:val="auto"/>
              </w:rPr>
              <w:t>0</w:t>
            </w:r>
          </w:p>
        </w:tc>
      </w:tr>
    </w:tbl>
    <w:p w14:paraId="14FCAD5F" w14:textId="2AE637F2" w:rsidR="004734B5" w:rsidRPr="00976A57" w:rsidRDefault="004661D4" w:rsidP="004734B5">
      <w:pPr>
        <w:rPr>
          <w:rFonts w:asciiTheme="minorHAnsi" w:hAnsiTheme="minorHAnsi" w:cstheme="minorHAnsi"/>
          <w:b/>
          <w:bCs/>
          <w:sz w:val="20"/>
        </w:rPr>
      </w:pPr>
      <w:r w:rsidRPr="00976A57">
        <w:rPr>
          <w:rFonts w:asciiTheme="minorHAnsi" w:hAnsiTheme="minorHAnsi" w:cstheme="minorHAnsi"/>
          <w:b/>
          <w:bCs/>
          <w:sz w:val="20"/>
        </w:rPr>
        <w:t>PASTABOS:</w:t>
      </w:r>
    </w:p>
    <w:p w14:paraId="749196F2" w14:textId="34E398F2" w:rsidR="004661D4" w:rsidRPr="009D7CF6" w:rsidRDefault="004661D4" w:rsidP="004734B5">
      <w:pPr>
        <w:rPr>
          <w:rFonts w:asciiTheme="minorHAnsi" w:hAnsiTheme="minorHAnsi" w:cstheme="minorHAnsi"/>
          <w:sz w:val="20"/>
        </w:rPr>
      </w:pPr>
      <w:r w:rsidRPr="009D7CF6">
        <w:rPr>
          <w:rFonts w:asciiTheme="minorHAnsi" w:hAnsiTheme="minorHAnsi" w:cstheme="minorHAnsi"/>
          <w:sz w:val="20"/>
          <w:vertAlign w:val="superscript"/>
        </w:rPr>
        <w:footnoteRef/>
      </w:r>
      <w:r w:rsidRPr="009D7CF6">
        <w:rPr>
          <w:rFonts w:asciiTheme="minorHAnsi" w:hAnsiTheme="minorHAnsi" w:cstheme="minorHAnsi"/>
          <w:sz w:val="20"/>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4661BC9" w14:textId="4524524A" w:rsidR="00280818" w:rsidRPr="009D7CF6" w:rsidRDefault="00280818" w:rsidP="004734B5">
      <w:pPr>
        <w:rPr>
          <w:rFonts w:asciiTheme="minorHAnsi" w:hAnsiTheme="minorHAnsi" w:cstheme="minorHAnsi"/>
          <w:sz w:val="20"/>
        </w:rPr>
      </w:pPr>
      <w:r w:rsidRPr="009D7CF6">
        <w:rPr>
          <w:rFonts w:asciiTheme="minorHAnsi" w:hAnsiTheme="minorHAnsi" w:cstheme="minorHAnsi"/>
          <w:sz w:val="20"/>
          <w:vertAlign w:val="superscript"/>
        </w:rPr>
        <w:t xml:space="preserve">2 </w:t>
      </w:r>
      <w:r w:rsidRPr="009D7CF6">
        <w:rPr>
          <w:rFonts w:asciiTheme="minorHAnsi" w:hAnsiTheme="minorHAnsi" w:cstheme="minorHAnsi"/>
          <w:sz w:val="20"/>
        </w:rPr>
        <w:t>Į vieno tiekėjo pirkimų (be centralizuotų pirkimų) rodiklio skaičiavimus įtraukiami tik įvykę tarptautiniai ir supaprastinti (be mažos vertės) pirkimai. Pirkimai priskiriami ataskaitiniam laikotarpiui pagal sutarties sudarymo datą.</w:t>
      </w:r>
    </w:p>
    <w:p w14:paraId="0C0BD3A0" w14:textId="7AC01A57" w:rsidR="00AD45D2" w:rsidRPr="009D7CF6" w:rsidRDefault="00AD45D2" w:rsidP="004734B5">
      <w:pPr>
        <w:rPr>
          <w:rFonts w:asciiTheme="minorHAnsi" w:hAnsiTheme="minorHAnsi" w:cstheme="minorHAnsi"/>
          <w:sz w:val="20"/>
        </w:rPr>
      </w:pPr>
      <w:r w:rsidRPr="009D7CF6">
        <w:rPr>
          <w:rFonts w:asciiTheme="minorHAnsi" w:hAnsiTheme="minorHAnsi" w:cstheme="minorHAnsi"/>
          <w:sz w:val="20"/>
          <w:vertAlign w:val="superscript"/>
        </w:rPr>
        <w:t>3</w:t>
      </w:r>
      <w:r w:rsidRPr="009D7CF6">
        <w:rPr>
          <w:rFonts w:asciiTheme="minorHAnsi" w:hAnsiTheme="minorHAnsi" w:cstheme="minorHAnsi"/>
          <w:sz w:val="20"/>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7850CA" w14:textId="09CB9264" w:rsidR="00DB3E7F" w:rsidRPr="009D7CF6" w:rsidRDefault="00DB3E7F" w:rsidP="004734B5">
      <w:pPr>
        <w:rPr>
          <w:rFonts w:asciiTheme="minorHAnsi" w:hAnsiTheme="minorHAnsi" w:cstheme="minorHAnsi"/>
          <w:sz w:val="20"/>
        </w:rPr>
      </w:pPr>
      <w:r w:rsidRPr="009D7CF6">
        <w:rPr>
          <w:rStyle w:val="FootnoteReference"/>
          <w:rFonts w:asciiTheme="minorHAnsi" w:hAnsiTheme="minorHAnsi" w:cstheme="minorHAnsi"/>
          <w:sz w:val="20"/>
        </w:rPr>
        <w:t>4</w:t>
      </w:r>
      <w:r w:rsidRPr="009D7CF6">
        <w:rPr>
          <w:rFonts w:asciiTheme="minorHAnsi" w:hAnsiTheme="minorHAnsi" w:cstheme="minorHAnsi"/>
          <w:sz w:val="20"/>
        </w:rPr>
        <w:t xml:space="preserve"> Į vieno tiekėjo pirkimų (su centralizuotais pirkimais) rodiklio skaičiavimus įtraukiami tik įvykę tarptautiniai ir supaprastinti (be mažos vertės) pirkimai. Pirkimai priskiriami ataskaitiniam laikotarpiui pagal sutarties sudarymo datą.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102"/>
        <w:gridCol w:w="1776"/>
        <w:gridCol w:w="3852"/>
      </w:tblGrid>
      <w:tr w:rsidR="004734B5" w:rsidRPr="009D7CF6" w14:paraId="33521281" w14:textId="77777777" w:rsidTr="007B29AF">
        <w:trPr>
          <w:cnfStyle w:val="100000000000" w:firstRow="1" w:lastRow="0" w:firstColumn="0" w:lastColumn="0" w:oddVBand="0" w:evenVBand="0" w:oddHBand="0" w:evenHBand="0" w:firstRowFirstColumn="0" w:firstRowLastColumn="0" w:lastRowFirstColumn="0" w:lastRowLastColumn="0"/>
        </w:trPr>
        <w:tc>
          <w:tcPr>
            <w:tcW w:w="9720" w:type="dxa"/>
            <w:gridSpan w:val="3"/>
            <w:tcBorders>
              <w:top w:val="nil"/>
              <w:left w:val="nil"/>
              <w:bottom w:val="nil"/>
              <w:right w:val="nil"/>
            </w:tcBorders>
          </w:tcPr>
          <w:p w14:paraId="1CA4FE19" w14:textId="5C8EB1F6" w:rsidR="004734B5" w:rsidRPr="009D7CF6" w:rsidRDefault="00681567" w:rsidP="00AB235A">
            <w:pPr>
              <w:rPr>
                <w:rFonts w:asciiTheme="minorHAnsi" w:hAnsiTheme="minorHAnsi" w:cstheme="minorHAnsi"/>
              </w:rPr>
            </w:pPr>
            <w:r w:rsidRPr="009D7CF6">
              <w:rPr>
                <w:rFonts w:asciiTheme="minorHAnsi" w:hAnsiTheme="minorHAnsi" w:cstheme="minorHAnsi"/>
              </w:rPr>
              <w:lastRenderedPageBreak/>
              <w:t>4</w:t>
            </w:r>
            <w:r w:rsidR="004734B5" w:rsidRPr="009D7CF6">
              <w:rPr>
                <w:rFonts w:asciiTheme="minorHAnsi" w:hAnsiTheme="minorHAnsi" w:cstheme="minorHAnsi"/>
              </w:rPr>
              <w:t>. lentelė. Rodiklis: Vidutinis pasiūlymų skaičius pirkimui, vnt</w:t>
            </w:r>
            <w:r w:rsidR="00FC7CF7" w:rsidRPr="009D7CF6">
              <w:rPr>
                <w:rFonts w:asciiTheme="minorHAnsi" w:hAnsiTheme="minorHAnsi" w:cstheme="minorHAnsi"/>
                <w:vertAlign w:val="superscript"/>
              </w:rPr>
              <w:t>1</w:t>
            </w:r>
          </w:p>
        </w:tc>
        <w:tc>
          <w:tcPr>
            <w:tcW w:w="3852" w:type="dxa"/>
            <w:tcBorders>
              <w:top w:val="nil"/>
              <w:left w:val="nil"/>
              <w:bottom w:val="nil"/>
              <w:right w:val="nil"/>
            </w:tcBorders>
          </w:tcPr>
          <w:p w14:paraId="00B4CE11" w14:textId="77777777" w:rsidR="004734B5" w:rsidRPr="009D7CF6" w:rsidRDefault="004734B5" w:rsidP="00AB235A">
            <w:pPr>
              <w:rPr>
                <w:rFonts w:asciiTheme="minorHAnsi" w:hAnsiTheme="minorHAnsi" w:cstheme="minorHAnsi"/>
              </w:rPr>
            </w:pPr>
          </w:p>
        </w:tc>
      </w:tr>
      <w:tr w:rsidR="006A27F5" w:rsidRPr="009D7CF6" w14:paraId="4647A590" w14:textId="77777777" w:rsidTr="007B29AF">
        <w:tc>
          <w:tcPr>
            <w:tcW w:w="2842" w:type="dxa"/>
            <w:tcBorders>
              <w:top w:val="single" w:sz="4" w:space="0" w:color="auto"/>
            </w:tcBorders>
          </w:tcPr>
          <w:p w14:paraId="6E9CBEC5" w14:textId="77777777" w:rsidR="004734B5" w:rsidRPr="009D7CF6" w:rsidRDefault="004734B5" w:rsidP="00AB235A">
            <w:pPr>
              <w:rPr>
                <w:rFonts w:cstheme="minorHAnsi"/>
                <w:b/>
                <w:bCs/>
                <w:color w:val="auto"/>
              </w:rPr>
            </w:pPr>
            <w:r w:rsidRPr="009D7CF6">
              <w:rPr>
                <w:rFonts w:cstheme="minorHAnsi"/>
                <w:b/>
                <w:bCs/>
                <w:color w:val="auto"/>
              </w:rPr>
              <w:t>Rodiklio pavadinimas</w:t>
            </w:r>
          </w:p>
        </w:tc>
        <w:tc>
          <w:tcPr>
            <w:tcW w:w="5102" w:type="dxa"/>
            <w:tcBorders>
              <w:top w:val="single" w:sz="4" w:space="0" w:color="auto"/>
              <w:bottom w:val="single" w:sz="4" w:space="0" w:color="auto"/>
            </w:tcBorders>
          </w:tcPr>
          <w:p w14:paraId="0E4F8418" w14:textId="77777777" w:rsidR="004734B5" w:rsidRPr="009D7CF6" w:rsidRDefault="004734B5" w:rsidP="00AB235A">
            <w:pPr>
              <w:rPr>
                <w:rFonts w:cstheme="minorHAnsi"/>
                <w:b/>
                <w:bCs/>
                <w:color w:val="auto"/>
              </w:rPr>
            </w:pPr>
            <w:r w:rsidRPr="009D7CF6">
              <w:rPr>
                <w:rFonts w:cstheme="minorHAnsi"/>
                <w:b/>
                <w:bCs/>
                <w:color w:val="auto"/>
              </w:rPr>
              <w:t>PV vidutinė rodiklio reikšmė</w:t>
            </w:r>
          </w:p>
        </w:tc>
        <w:tc>
          <w:tcPr>
            <w:tcW w:w="5628" w:type="dxa"/>
            <w:gridSpan w:val="2"/>
            <w:tcBorders>
              <w:top w:val="single" w:sz="4" w:space="0" w:color="auto"/>
              <w:bottom w:val="single" w:sz="4" w:space="0" w:color="auto"/>
              <w:right w:val="single" w:sz="4" w:space="0" w:color="auto"/>
            </w:tcBorders>
          </w:tcPr>
          <w:p w14:paraId="1B8B339C" w14:textId="77777777" w:rsidR="004734B5" w:rsidRPr="009D7CF6" w:rsidRDefault="004734B5" w:rsidP="00AB235A">
            <w:pPr>
              <w:rPr>
                <w:rFonts w:cstheme="minorHAnsi"/>
                <w:color w:val="auto"/>
              </w:rPr>
            </w:pPr>
            <w:r w:rsidRPr="009D7CF6">
              <w:rPr>
                <w:rFonts w:cstheme="minorHAnsi"/>
                <w:b/>
                <w:bCs/>
                <w:color w:val="auto"/>
              </w:rPr>
              <w:t>LR vidutinė rodiklio reikšmė</w:t>
            </w:r>
          </w:p>
        </w:tc>
      </w:tr>
      <w:tr w:rsidR="006A27F5" w:rsidRPr="009D7CF6" w14:paraId="714B3302" w14:textId="77777777" w:rsidTr="007B29AF">
        <w:tc>
          <w:tcPr>
            <w:tcW w:w="2842" w:type="dxa"/>
          </w:tcPr>
          <w:p w14:paraId="45A76080" w14:textId="44E56F45" w:rsidR="00C366D8" w:rsidRPr="009D7CF6" w:rsidRDefault="00C366D8" w:rsidP="00C366D8">
            <w:pPr>
              <w:rPr>
                <w:rFonts w:cstheme="minorHAnsi"/>
                <w:color w:val="auto"/>
              </w:rPr>
            </w:pPr>
            <w:r w:rsidRPr="009D7CF6">
              <w:rPr>
                <w:rFonts w:cstheme="minorHAnsi"/>
                <w:color w:val="auto"/>
              </w:rPr>
              <w:t>Vidutinis pasiūlymų skaičius pirkime (be centralizuotų pirkimų)</w:t>
            </w:r>
            <w:r w:rsidRPr="009D7CF6">
              <w:rPr>
                <w:rFonts w:cstheme="minorHAnsi"/>
                <w:color w:val="auto"/>
                <w:vertAlign w:val="superscript"/>
              </w:rPr>
              <w:t>2</w:t>
            </w:r>
            <w:r w:rsidRPr="009D7CF6">
              <w:rPr>
                <w:rFonts w:cstheme="minorHAnsi"/>
                <w:color w:val="auto"/>
              </w:rPr>
              <w:t>, vnt.</w:t>
            </w:r>
          </w:p>
        </w:tc>
        <w:tc>
          <w:tcPr>
            <w:tcW w:w="5102" w:type="dxa"/>
            <w:tcBorders>
              <w:top w:val="single" w:sz="4" w:space="0" w:color="auto"/>
              <w:bottom w:val="single" w:sz="4" w:space="0" w:color="auto"/>
            </w:tcBorders>
          </w:tcPr>
          <w:p w14:paraId="412DEA83" w14:textId="78CD5076" w:rsidR="00C366D8" w:rsidRPr="009D7CF6" w:rsidRDefault="00C366D8" w:rsidP="00C366D8">
            <w:pPr>
              <w:rPr>
                <w:rFonts w:cstheme="minorHAnsi"/>
                <w:color w:val="auto"/>
              </w:rPr>
            </w:pPr>
            <w:r w:rsidRPr="009D7CF6">
              <w:rPr>
                <w:rFonts w:eastAsia="Calibri" w:cstheme="minorHAnsi"/>
                <w:color w:val="auto"/>
              </w:rPr>
              <w:t>2</w:t>
            </w:r>
            <w:r w:rsidR="000341FE">
              <w:rPr>
                <w:rFonts w:eastAsia="Calibri" w:cstheme="minorHAnsi"/>
                <w:color w:val="auto"/>
              </w:rPr>
              <w:t>,</w:t>
            </w:r>
            <w:r w:rsidRPr="009D7CF6">
              <w:rPr>
                <w:rFonts w:eastAsia="Calibri" w:cstheme="minorHAnsi"/>
                <w:color w:val="auto"/>
              </w:rPr>
              <w:t>7</w:t>
            </w:r>
          </w:p>
        </w:tc>
        <w:tc>
          <w:tcPr>
            <w:tcW w:w="5628" w:type="dxa"/>
            <w:gridSpan w:val="2"/>
            <w:tcBorders>
              <w:top w:val="single" w:sz="4" w:space="0" w:color="auto"/>
              <w:bottom w:val="single" w:sz="4" w:space="0" w:color="auto"/>
              <w:right w:val="single" w:sz="4" w:space="0" w:color="auto"/>
            </w:tcBorders>
          </w:tcPr>
          <w:p w14:paraId="198A7F88" w14:textId="60DFB473" w:rsidR="00C366D8" w:rsidRPr="009D7CF6" w:rsidRDefault="00C366D8" w:rsidP="00C366D8">
            <w:pPr>
              <w:rPr>
                <w:rFonts w:cstheme="minorHAnsi"/>
                <w:color w:val="auto"/>
              </w:rPr>
            </w:pPr>
            <w:r w:rsidRPr="009D7CF6">
              <w:rPr>
                <w:rFonts w:eastAsia="Calibri" w:cstheme="minorHAnsi"/>
                <w:color w:val="auto"/>
              </w:rPr>
              <w:t>2,2 (LR vidutinė rodiklio reikšmė)</w:t>
            </w:r>
          </w:p>
        </w:tc>
      </w:tr>
      <w:tr w:rsidR="006A27F5" w:rsidRPr="009D7CF6" w14:paraId="3EEB770F" w14:textId="77777777" w:rsidTr="007B29AF">
        <w:tc>
          <w:tcPr>
            <w:tcW w:w="2842" w:type="dxa"/>
          </w:tcPr>
          <w:p w14:paraId="6CF0D32D" w14:textId="0A677992" w:rsidR="00C366D8" w:rsidRPr="009D7CF6" w:rsidRDefault="00C366D8" w:rsidP="00C366D8">
            <w:pPr>
              <w:rPr>
                <w:rFonts w:cstheme="minorHAnsi"/>
                <w:color w:val="auto"/>
              </w:rPr>
            </w:pPr>
            <w:r w:rsidRPr="009D7CF6">
              <w:rPr>
                <w:rFonts w:cstheme="minorHAnsi"/>
                <w:color w:val="auto"/>
              </w:rPr>
              <w:t>Vidutinis pasiūlymų skaičius pirkime (su centralizuotais pirkimais)</w:t>
            </w:r>
            <w:r w:rsidRPr="009D7CF6">
              <w:rPr>
                <w:rFonts w:cstheme="minorHAnsi"/>
                <w:color w:val="auto"/>
                <w:vertAlign w:val="superscript"/>
              </w:rPr>
              <w:t>3</w:t>
            </w:r>
            <w:r w:rsidRPr="009D7CF6">
              <w:rPr>
                <w:rFonts w:cstheme="minorHAnsi"/>
                <w:color w:val="auto"/>
              </w:rPr>
              <w:t>, vnt.</w:t>
            </w:r>
          </w:p>
        </w:tc>
        <w:tc>
          <w:tcPr>
            <w:tcW w:w="5102" w:type="dxa"/>
            <w:tcBorders>
              <w:top w:val="single" w:sz="4" w:space="0" w:color="auto"/>
              <w:bottom w:val="single" w:sz="4" w:space="0" w:color="auto"/>
            </w:tcBorders>
          </w:tcPr>
          <w:p w14:paraId="6DE26480" w14:textId="020DFEFB" w:rsidR="00C366D8" w:rsidRPr="009D7CF6" w:rsidRDefault="00C366D8" w:rsidP="00C366D8">
            <w:pPr>
              <w:rPr>
                <w:rFonts w:cstheme="minorHAnsi"/>
                <w:color w:val="auto"/>
              </w:rPr>
            </w:pPr>
            <w:r w:rsidRPr="009D7CF6">
              <w:rPr>
                <w:rFonts w:eastAsia="Calibri" w:cstheme="minorHAnsi"/>
                <w:color w:val="auto"/>
              </w:rPr>
              <w:t>2</w:t>
            </w:r>
            <w:r w:rsidR="000341FE">
              <w:rPr>
                <w:rFonts w:eastAsia="Calibri" w:cstheme="minorHAnsi"/>
                <w:color w:val="auto"/>
              </w:rPr>
              <w:t>,</w:t>
            </w:r>
            <w:r w:rsidRPr="009D7CF6">
              <w:rPr>
                <w:rFonts w:eastAsia="Calibri" w:cstheme="minorHAnsi"/>
                <w:color w:val="auto"/>
              </w:rPr>
              <w:t>8</w:t>
            </w:r>
          </w:p>
        </w:tc>
        <w:tc>
          <w:tcPr>
            <w:tcW w:w="5628" w:type="dxa"/>
            <w:gridSpan w:val="2"/>
            <w:tcBorders>
              <w:top w:val="single" w:sz="4" w:space="0" w:color="auto"/>
              <w:bottom w:val="single" w:sz="4" w:space="0" w:color="auto"/>
              <w:right w:val="single" w:sz="4" w:space="0" w:color="auto"/>
            </w:tcBorders>
          </w:tcPr>
          <w:p w14:paraId="213665C8" w14:textId="74371C05" w:rsidR="00C366D8" w:rsidRPr="009D7CF6" w:rsidRDefault="00C366D8" w:rsidP="00C366D8">
            <w:pPr>
              <w:rPr>
                <w:rFonts w:cstheme="minorHAnsi"/>
                <w:color w:val="auto"/>
              </w:rPr>
            </w:pPr>
            <w:r w:rsidRPr="009D7CF6">
              <w:rPr>
                <w:rFonts w:eastAsia="Calibri" w:cstheme="minorHAnsi"/>
                <w:color w:val="auto"/>
              </w:rPr>
              <w:t>3,</w:t>
            </w:r>
            <w:r w:rsidR="00B415E8" w:rsidRPr="009D7CF6">
              <w:rPr>
                <w:rFonts w:eastAsia="Calibri" w:cstheme="minorHAnsi"/>
                <w:color w:val="auto"/>
              </w:rPr>
              <w:t>4</w:t>
            </w:r>
            <w:r w:rsidRPr="009D7CF6">
              <w:rPr>
                <w:rFonts w:eastAsia="Calibri" w:cstheme="minorHAnsi"/>
                <w:color w:val="auto"/>
              </w:rPr>
              <w:t xml:space="preserve"> (LR vidutinė rodiklio reikšmė)</w:t>
            </w:r>
          </w:p>
        </w:tc>
      </w:tr>
    </w:tbl>
    <w:p w14:paraId="6A434646" w14:textId="1C96EC12" w:rsidR="004734B5" w:rsidRPr="009D7CF6" w:rsidRDefault="002577AF" w:rsidP="004734B5">
      <w:pPr>
        <w:rPr>
          <w:rFonts w:asciiTheme="minorHAnsi" w:hAnsiTheme="minorHAnsi" w:cstheme="minorHAnsi"/>
          <w:b/>
          <w:bCs/>
          <w:sz w:val="20"/>
        </w:rPr>
      </w:pPr>
      <w:r w:rsidRPr="009D7CF6">
        <w:rPr>
          <w:rFonts w:asciiTheme="minorHAnsi" w:hAnsiTheme="minorHAnsi" w:cstheme="minorHAnsi"/>
          <w:b/>
          <w:bCs/>
          <w:sz w:val="20"/>
        </w:rPr>
        <w:t>PASTABOS:</w:t>
      </w:r>
    </w:p>
    <w:p w14:paraId="5091BB2F" w14:textId="77777777" w:rsidR="00FC7CF7" w:rsidRPr="009D7CF6" w:rsidRDefault="00FC7CF7" w:rsidP="00FC7CF7">
      <w:pPr>
        <w:pStyle w:val="FootnoteText"/>
        <w:ind w:firstLine="0"/>
        <w:rPr>
          <w:rFonts w:asciiTheme="minorHAnsi" w:hAnsiTheme="minorHAnsi" w:cstheme="minorHAnsi"/>
        </w:rPr>
      </w:pPr>
      <w:r w:rsidRPr="009D7CF6">
        <w:rPr>
          <w:rFonts w:asciiTheme="minorHAnsi" w:hAnsiTheme="minorHAnsi" w:cstheme="minorHAnsi"/>
          <w:vertAlign w:val="superscript"/>
        </w:rPr>
        <w:footnoteRef/>
      </w:r>
      <w:r w:rsidRPr="009D7CF6">
        <w:rPr>
          <w:rFonts w:asciiTheme="minorHAnsi" w:hAnsiTheme="minorHAnsi" w:cstheme="minorHAns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7AB1C0B4" w14:textId="38B524F8" w:rsidR="00045C7B" w:rsidRPr="009D7CF6" w:rsidRDefault="00045C7B" w:rsidP="00045C7B">
      <w:pPr>
        <w:pStyle w:val="FootnoteText"/>
        <w:ind w:firstLine="0"/>
        <w:rPr>
          <w:rFonts w:asciiTheme="minorHAnsi" w:hAnsiTheme="minorHAnsi" w:cstheme="minorHAnsi"/>
        </w:rPr>
      </w:pPr>
      <w:r w:rsidRPr="009D7CF6">
        <w:rPr>
          <w:rStyle w:val="FootnoteReference"/>
          <w:rFonts w:asciiTheme="minorHAnsi" w:hAnsiTheme="minorHAnsi" w:cstheme="minorHAnsi"/>
        </w:rPr>
        <w:t>2</w:t>
      </w:r>
      <w:r w:rsidRPr="009D7CF6">
        <w:rPr>
          <w:rFonts w:asciiTheme="minorHAnsi" w:hAnsiTheme="minorHAnsi" w:cstheme="minorHAnsi"/>
        </w:rPr>
        <w:t xml:space="preserve"> Į </w:t>
      </w:r>
      <w:proofErr w:type="spellStart"/>
      <w:r w:rsidRPr="009D7CF6">
        <w:rPr>
          <w:rFonts w:asciiTheme="minorHAnsi" w:hAnsiTheme="minorHAnsi" w:cstheme="minorHAnsi"/>
        </w:rPr>
        <w:t>vid</w:t>
      </w:r>
      <w:proofErr w:type="spellEnd"/>
      <w:r w:rsidRPr="009D7CF6">
        <w:rPr>
          <w:rFonts w:asciiTheme="minorHAnsi" w:hAnsiTheme="minorHAnsi" w:cstheme="minorHAnsi"/>
        </w:rPr>
        <w:t>. pasiūlymų skaičiaus pirkimui (be centralizuotų pirkimų) rodiklio skaičiavimus įtraukiami tik įvykę tarptautiniai ir supaprastinti (be mažos vertės) pirkimai. Pirkimai priskiriami ataskaitiniam laikotarpiui pagal sutarties sudarymo datą.</w:t>
      </w:r>
    </w:p>
    <w:p w14:paraId="73AAF9D3" w14:textId="55AA5205" w:rsidR="00045C7B" w:rsidRPr="009D7CF6" w:rsidRDefault="00045C7B" w:rsidP="00045C7B">
      <w:pPr>
        <w:pStyle w:val="FootnoteText"/>
        <w:ind w:firstLine="0"/>
        <w:rPr>
          <w:rFonts w:asciiTheme="minorHAnsi" w:hAnsiTheme="minorHAnsi" w:cstheme="minorHAnsi"/>
        </w:rPr>
      </w:pPr>
      <w:r w:rsidRPr="009D7CF6">
        <w:rPr>
          <w:rStyle w:val="FootnoteReference"/>
          <w:rFonts w:asciiTheme="minorHAnsi" w:hAnsiTheme="minorHAnsi" w:cstheme="minorHAnsi"/>
        </w:rPr>
        <w:t>3</w:t>
      </w:r>
      <w:r w:rsidRPr="009D7CF6">
        <w:rPr>
          <w:rFonts w:asciiTheme="minorHAnsi" w:hAnsiTheme="minorHAnsi" w:cstheme="minorHAns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5A36E20B" w14:textId="77777777" w:rsidR="004734B5" w:rsidRPr="009D7CF6" w:rsidRDefault="004734B5" w:rsidP="004734B5">
      <w:pPr>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102"/>
        <w:gridCol w:w="1776"/>
        <w:gridCol w:w="3852"/>
      </w:tblGrid>
      <w:tr w:rsidR="004734B5" w:rsidRPr="009D7CF6" w14:paraId="6FA1BB64"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68AAEBE" w14:textId="4C963220" w:rsidR="004734B5" w:rsidRPr="009D7CF6" w:rsidRDefault="00681567" w:rsidP="00AB235A">
            <w:pPr>
              <w:rPr>
                <w:rFonts w:asciiTheme="minorHAnsi" w:hAnsiTheme="minorHAnsi" w:cstheme="minorHAnsi"/>
              </w:rPr>
            </w:pPr>
            <w:r w:rsidRPr="009D7CF6">
              <w:rPr>
                <w:rFonts w:asciiTheme="minorHAnsi" w:hAnsiTheme="minorHAnsi" w:cstheme="minorHAnsi"/>
              </w:rPr>
              <w:t>5</w:t>
            </w:r>
            <w:r w:rsidR="004734B5" w:rsidRPr="009D7CF6">
              <w:rPr>
                <w:rFonts w:asciiTheme="minorHAnsi" w:hAnsiTheme="minorHAnsi" w:cstheme="minorHAnsi"/>
              </w:rPr>
              <w:t>. lentelė. Rodiklis: Paviešintų sutarčių skaičius, proc</w:t>
            </w:r>
            <w:r w:rsidR="00A32E22" w:rsidRPr="009D7CF6">
              <w:rPr>
                <w:rFonts w:asciiTheme="minorHAnsi" w:hAnsiTheme="minorHAnsi" w:cstheme="minorHAnsi"/>
                <w:vertAlign w:val="superscript"/>
              </w:rPr>
              <w:t>1</w:t>
            </w:r>
          </w:p>
        </w:tc>
        <w:tc>
          <w:tcPr>
            <w:tcW w:w="3780" w:type="dxa"/>
            <w:tcBorders>
              <w:top w:val="nil"/>
              <w:left w:val="nil"/>
              <w:bottom w:val="nil"/>
              <w:right w:val="nil"/>
            </w:tcBorders>
          </w:tcPr>
          <w:p w14:paraId="115E7456" w14:textId="77777777" w:rsidR="004734B5" w:rsidRPr="009D7CF6" w:rsidRDefault="004734B5" w:rsidP="00AB235A">
            <w:pPr>
              <w:rPr>
                <w:rFonts w:asciiTheme="minorHAnsi" w:hAnsiTheme="minorHAnsi" w:cstheme="minorHAnsi"/>
              </w:rPr>
            </w:pPr>
          </w:p>
        </w:tc>
      </w:tr>
      <w:tr w:rsidR="006A27F5" w:rsidRPr="009D7CF6" w14:paraId="726BC320" w14:textId="77777777" w:rsidTr="00AB235A">
        <w:tc>
          <w:tcPr>
            <w:tcW w:w="2790" w:type="dxa"/>
            <w:tcBorders>
              <w:top w:val="single" w:sz="4" w:space="0" w:color="auto"/>
            </w:tcBorders>
          </w:tcPr>
          <w:p w14:paraId="2A9ED55A" w14:textId="77777777" w:rsidR="004734B5" w:rsidRPr="009D7CF6" w:rsidRDefault="004734B5" w:rsidP="00AB235A">
            <w:pPr>
              <w:rPr>
                <w:rFonts w:cstheme="minorHAnsi"/>
                <w:b/>
                <w:bCs/>
                <w:color w:val="auto"/>
              </w:rPr>
            </w:pPr>
            <w:r w:rsidRPr="009D7CF6">
              <w:rPr>
                <w:rFonts w:cstheme="minorHAnsi"/>
                <w:b/>
                <w:bCs/>
                <w:color w:val="auto"/>
              </w:rPr>
              <w:t>Rodiklio pavadinimas</w:t>
            </w:r>
          </w:p>
        </w:tc>
        <w:tc>
          <w:tcPr>
            <w:tcW w:w="5007" w:type="dxa"/>
            <w:tcBorders>
              <w:top w:val="single" w:sz="4" w:space="0" w:color="auto"/>
              <w:bottom w:val="single" w:sz="4" w:space="0" w:color="auto"/>
            </w:tcBorders>
          </w:tcPr>
          <w:p w14:paraId="2A6BB86F" w14:textId="36B4A22E" w:rsidR="004734B5" w:rsidRPr="009D7CF6" w:rsidRDefault="004734B5" w:rsidP="00AB235A">
            <w:pPr>
              <w:rPr>
                <w:rFonts w:cstheme="minorHAnsi"/>
                <w:b/>
                <w:bCs/>
                <w:color w:val="auto"/>
              </w:rPr>
            </w:pPr>
            <w:r w:rsidRPr="009D7CF6">
              <w:rPr>
                <w:rFonts w:cstheme="minorHAnsi"/>
                <w:b/>
                <w:bCs/>
                <w:color w:val="auto"/>
              </w:rPr>
              <w:t>PV  rodiklio reikšmė</w:t>
            </w:r>
          </w:p>
        </w:tc>
        <w:tc>
          <w:tcPr>
            <w:tcW w:w="5523" w:type="dxa"/>
            <w:gridSpan w:val="2"/>
            <w:tcBorders>
              <w:top w:val="single" w:sz="4" w:space="0" w:color="auto"/>
              <w:bottom w:val="single" w:sz="4" w:space="0" w:color="auto"/>
              <w:right w:val="single" w:sz="4" w:space="0" w:color="auto"/>
            </w:tcBorders>
          </w:tcPr>
          <w:p w14:paraId="018F52E5" w14:textId="77777777" w:rsidR="004734B5" w:rsidRPr="009D7CF6" w:rsidRDefault="004734B5" w:rsidP="00AB235A">
            <w:pPr>
              <w:rPr>
                <w:rFonts w:cstheme="minorHAnsi"/>
                <w:b/>
                <w:bCs/>
                <w:color w:val="auto"/>
              </w:rPr>
            </w:pPr>
            <w:r w:rsidRPr="009D7CF6">
              <w:rPr>
                <w:rFonts w:cstheme="minorHAnsi"/>
                <w:b/>
                <w:bCs/>
                <w:color w:val="auto"/>
              </w:rPr>
              <w:t>LR vidutinė rodiklio reikšmė / pagal teisės aktus privalomas rodiklis</w:t>
            </w:r>
          </w:p>
        </w:tc>
      </w:tr>
      <w:tr w:rsidR="006A27F5" w:rsidRPr="009D7CF6" w14:paraId="76F8F9A3" w14:textId="77777777" w:rsidTr="00AB235A">
        <w:tc>
          <w:tcPr>
            <w:tcW w:w="2790" w:type="dxa"/>
          </w:tcPr>
          <w:p w14:paraId="2B299BB6" w14:textId="77777777" w:rsidR="007A2EFA" w:rsidRPr="009D7CF6" w:rsidRDefault="007A2EFA" w:rsidP="007A2EFA">
            <w:pPr>
              <w:rPr>
                <w:rFonts w:cstheme="minorHAnsi"/>
                <w:color w:val="auto"/>
              </w:rPr>
            </w:pPr>
            <w:r w:rsidRPr="009D7CF6">
              <w:rPr>
                <w:rFonts w:cstheme="minorHAnsi"/>
                <w:color w:val="auto"/>
              </w:rPr>
              <w:t>Bendras Paviešintų sutarčių skaičius, proc.</w:t>
            </w:r>
          </w:p>
        </w:tc>
        <w:tc>
          <w:tcPr>
            <w:tcW w:w="5007" w:type="dxa"/>
            <w:tcBorders>
              <w:top w:val="single" w:sz="4" w:space="0" w:color="auto"/>
              <w:bottom w:val="single" w:sz="4" w:space="0" w:color="auto"/>
            </w:tcBorders>
          </w:tcPr>
          <w:p w14:paraId="76476882" w14:textId="08FF61C9" w:rsidR="007A2EFA" w:rsidRPr="009D7CF6" w:rsidRDefault="007A2EFA" w:rsidP="007A2EFA">
            <w:pPr>
              <w:rPr>
                <w:rFonts w:cstheme="minorHAnsi"/>
                <w:color w:val="auto"/>
              </w:rPr>
            </w:pPr>
            <w:r w:rsidRPr="009D7CF6">
              <w:rPr>
                <w:rFonts w:eastAsia="Calibri" w:cstheme="minorHAnsi"/>
                <w:color w:val="auto"/>
              </w:rPr>
              <w:t>100</w:t>
            </w:r>
            <w:r w:rsidR="000341FE">
              <w:rPr>
                <w:rFonts w:eastAsia="Calibri" w:cstheme="minorHAnsi"/>
                <w:color w:val="auto"/>
              </w:rPr>
              <w:t>,</w:t>
            </w:r>
            <w:r w:rsidRPr="009D7CF6">
              <w:rPr>
                <w:rFonts w:eastAsia="Calibri" w:cstheme="minorHAnsi"/>
                <w:color w:val="auto"/>
              </w:rPr>
              <w:t>0</w:t>
            </w:r>
          </w:p>
        </w:tc>
        <w:tc>
          <w:tcPr>
            <w:tcW w:w="5523" w:type="dxa"/>
            <w:gridSpan w:val="2"/>
            <w:tcBorders>
              <w:top w:val="single" w:sz="4" w:space="0" w:color="auto"/>
              <w:bottom w:val="single" w:sz="4" w:space="0" w:color="auto"/>
              <w:right w:val="single" w:sz="4" w:space="0" w:color="auto"/>
            </w:tcBorders>
          </w:tcPr>
          <w:p w14:paraId="2C8149CD" w14:textId="564B8579" w:rsidR="007A2EFA" w:rsidRPr="009D7CF6" w:rsidRDefault="007A2EFA" w:rsidP="007A2EFA">
            <w:pPr>
              <w:rPr>
                <w:rFonts w:cstheme="minorHAnsi"/>
                <w:color w:val="auto"/>
              </w:rPr>
            </w:pPr>
            <w:r w:rsidRPr="009D7CF6">
              <w:rPr>
                <w:rFonts w:eastAsia="Calibri" w:cstheme="minorHAnsi"/>
                <w:color w:val="auto"/>
              </w:rPr>
              <w:t>100,0 (pagal teisės aktus privalomas rodiklis)</w:t>
            </w:r>
          </w:p>
        </w:tc>
      </w:tr>
    </w:tbl>
    <w:p w14:paraId="53463564" w14:textId="77777777" w:rsidR="00CB3570" w:rsidRPr="009D7CF6" w:rsidRDefault="00CB3570" w:rsidP="00CB3570">
      <w:pPr>
        <w:pStyle w:val="FootnoteText"/>
        <w:ind w:firstLine="0"/>
        <w:rPr>
          <w:rFonts w:asciiTheme="minorHAnsi" w:hAnsiTheme="minorHAnsi" w:cstheme="minorHAnsi"/>
        </w:rPr>
      </w:pPr>
      <w:r w:rsidRPr="009D7CF6">
        <w:rPr>
          <w:rFonts w:asciiTheme="minorHAnsi" w:hAnsiTheme="minorHAnsi" w:cstheme="minorHAnsi"/>
          <w:b/>
          <w:bCs/>
        </w:rPr>
        <w:t>PASTABOS:</w:t>
      </w:r>
      <w:r w:rsidRPr="009D7CF6">
        <w:rPr>
          <w:rFonts w:asciiTheme="minorHAnsi" w:hAnsiTheme="minorHAnsi" w:cstheme="minorHAnsi"/>
          <w:b/>
          <w:bCs/>
        </w:rPr>
        <w:br/>
      </w:r>
      <w:r w:rsidRPr="009D7CF6">
        <w:rPr>
          <w:rStyle w:val="FootnoteReference"/>
          <w:rFonts w:asciiTheme="minorHAnsi" w:hAnsiTheme="minorHAnsi" w:cstheme="minorHAnsi"/>
        </w:rPr>
        <w:footnoteRef/>
      </w:r>
      <w:r w:rsidRPr="009D7CF6">
        <w:rPr>
          <w:rFonts w:asciiTheme="minorHAnsi" w:hAnsiTheme="minorHAnsi" w:cstheme="minorHAns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1CF3158D" w14:textId="77777777" w:rsidR="00A32E22" w:rsidRPr="009D7CF6" w:rsidRDefault="00A32E22" w:rsidP="004734B5">
      <w:pPr>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4957"/>
        <w:gridCol w:w="1921"/>
        <w:gridCol w:w="3852"/>
      </w:tblGrid>
      <w:tr w:rsidR="004734B5" w:rsidRPr="009D7CF6" w14:paraId="2B45D983"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3DEA85A" w14:textId="617D0953" w:rsidR="004734B5" w:rsidRPr="009D7CF6" w:rsidRDefault="00681567" w:rsidP="00AB235A">
            <w:pPr>
              <w:rPr>
                <w:rFonts w:asciiTheme="minorHAnsi" w:hAnsiTheme="minorHAnsi" w:cstheme="minorHAnsi"/>
              </w:rPr>
            </w:pPr>
            <w:r w:rsidRPr="009D7CF6">
              <w:rPr>
                <w:rFonts w:asciiTheme="minorHAnsi" w:hAnsiTheme="minorHAnsi" w:cstheme="minorHAnsi"/>
              </w:rPr>
              <w:t>6</w:t>
            </w:r>
            <w:r w:rsidR="004734B5" w:rsidRPr="009D7CF6">
              <w:rPr>
                <w:rFonts w:asciiTheme="minorHAnsi" w:hAnsiTheme="minorHAnsi" w:cstheme="minorHAnsi"/>
              </w:rPr>
              <w:t>. lentelė. Rodiklis: Centralizuoti pirkimai</w:t>
            </w:r>
            <w:r w:rsidR="002A2CB9" w:rsidRPr="009D7CF6">
              <w:rPr>
                <w:rFonts w:asciiTheme="minorHAnsi" w:hAnsiTheme="minorHAnsi" w:cstheme="minorHAnsi"/>
                <w:vertAlign w:val="superscript"/>
              </w:rPr>
              <w:t>1</w:t>
            </w:r>
          </w:p>
        </w:tc>
        <w:tc>
          <w:tcPr>
            <w:tcW w:w="3780" w:type="dxa"/>
            <w:tcBorders>
              <w:top w:val="nil"/>
              <w:left w:val="nil"/>
              <w:bottom w:val="nil"/>
              <w:right w:val="nil"/>
            </w:tcBorders>
          </w:tcPr>
          <w:p w14:paraId="5FED3CE4" w14:textId="77777777" w:rsidR="004734B5" w:rsidRPr="009D7CF6" w:rsidRDefault="004734B5" w:rsidP="00AB235A">
            <w:pPr>
              <w:rPr>
                <w:rFonts w:asciiTheme="minorHAnsi" w:hAnsiTheme="minorHAnsi" w:cstheme="minorHAnsi"/>
              </w:rPr>
            </w:pPr>
          </w:p>
        </w:tc>
      </w:tr>
      <w:tr w:rsidR="006A27F5" w:rsidRPr="009D7CF6" w14:paraId="0C4BBCD9" w14:textId="77777777" w:rsidTr="00AB235A">
        <w:tc>
          <w:tcPr>
            <w:tcW w:w="2790" w:type="dxa"/>
            <w:tcBorders>
              <w:top w:val="single" w:sz="4" w:space="0" w:color="auto"/>
            </w:tcBorders>
          </w:tcPr>
          <w:p w14:paraId="31B63289" w14:textId="77777777" w:rsidR="004734B5" w:rsidRPr="009D7CF6" w:rsidRDefault="004734B5" w:rsidP="00AB235A">
            <w:pPr>
              <w:rPr>
                <w:rFonts w:cstheme="minorHAnsi"/>
                <w:b/>
                <w:bCs/>
                <w:color w:val="auto"/>
              </w:rPr>
            </w:pPr>
            <w:r w:rsidRPr="009D7CF6">
              <w:rPr>
                <w:rFonts w:cstheme="minorHAnsi"/>
                <w:b/>
                <w:bCs/>
                <w:color w:val="auto"/>
              </w:rPr>
              <w:t>Rodiklio pavadinimas</w:t>
            </w:r>
          </w:p>
        </w:tc>
        <w:tc>
          <w:tcPr>
            <w:tcW w:w="4865" w:type="dxa"/>
            <w:tcBorders>
              <w:top w:val="single" w:sz="4" w:space="0" w:color="auto"/>
              <w:bottom w:val="single" w:sz="4" w:space="0" w:color="auto"/>
            </w:tcBorders>
          </w:tcPr>
          <w:p w14:paraId="35BD713C" w14:textId="1FB4E52B" w:rsidR="004734B5" w:rsidRPr="009D7CF6" w:rsidRDefault="004734B5" w:rsidP="00AB235A">
            <w:pPr>
              <w:rPr>
                <w:rFonts w:cstheme="minorHAnsi"/>
                <w:b/>
                <w:bCs/>
                <w:color w:val="auto"/>
              </w:rPr>
            </w:pPr>
            <w:r w:rsidRPr="009D7CF6">
              <w:rPr>
                <w:rFonts w:cstheme="minorHAnsi"/>
                <w:b/>
                <w:bCs/>
                <w:color w:val="auto"/>
              </w:rPr>
              <w:t>PV rodiklio reikšmė</w:t>
            </w:r>
          </w:p>
        </w:tc>
        <w:tc>
          <w:tcPr>
            <w:tcW w:w="5665" w:type="dxa"/>
            <w:gridSpan w:val="2"/>
            <w:tcBorders>
              <w:top w:val="single" w:sz="4" w:space="0" w:color="auto"/>
              <w:bottom w:val="single" w:sz="4" w:space="0" w:color="auto"/>
              <w:right w:val="single" w:sz="4" w:space="0" w:color="auto"/>
            </w:tcBorders>
          </w:tcPr>
          <w:p w14:paraId="3FADDEDE" w14:textId="77777777" w:rsidR="004734B5" w:rsidRPr="009D7CF6" w:rsidRDefault="004734B5" w:rsidP="00AB235A">
            <w:pPr>
              <w:rPr>
                <w:rFonts w:cstheme="minorHAnsi"/>
                <w:color w:val="auto"/>
              </w:rPr>
            </w:pPr>
            <w:r w:rsidRPr="009D7CF6">
              <w:rPr>
                <w:rFonts w:cstheme="minorHAnsi"/>
                <w:b/>
                <w:bCs/>
                <w:color w:val="auto"/>
              </w:rPr>
              <w:t>LR vidutinė rodiklio reikšmė</w:t>
            </w:r>
          </w:p>
        </w:tc>
      </w:tr>
      <w:tr w:rsidR="006A27F5" w:rsidRPr="009D7CF6" w14:paraId="0848341D" w14:textId="77777777" w:rsidTr="00AB235A">
        <w:tc>
          <w:tcPr>
            <w:tcW w:w="2790" w:type="dxa"/>
          </w:tcPr>
          <w:p w14:paraId="50988E46" w14:textId="77777777" w:rsidR="006F22CF" w:rsidRPr="009D7CF6" w:rsidRDefault="006F22CF" w:rsidP="006F22CF">
            <w:pPr>
              <w:rPr>
                <w:rFonts w:cstheme="minorHAnsi"/>
                <w:color w:val="auto"/>
              </w:rPr>
            </w:pPr>
            <w:r w:rsidRPr="009D7CF6">
              <w:rPr>
                <w:rFonts w:cstheme="minorHAnsi"/>
                <w:color w:val="auto"/>
              </w:rPr>
              <w:t>Centralizuotų pirkimų iš / per CPO.LT vertė, proc.</w:t>
            </w:r>
          </w:p>
        </w:tc>
        <w:tc>
          <w:tcPr>
            <w:tcW w:w="4865" w:type="dxa"/>
            <w:tcBorders>
              <w:top w:val="single" w:sz="4" w:space="0" w:color="auto"/>
              <w:bottom w:val="single" w:sz="4" w:space="0" w:color="auto"/>
            </w:tcBorders>
          </w:tcPr>
          <w:p w14:paraId="0796EB2D" w14:textId="124857C3" w:rsidR="006F22CF" w:rsidRPr="009D7CF6" w:rsidRDefault="006F22CF" w:rsidP="006F22CF">
            <w:pPr>
              <w:rPr>
                <w:rFonts w:cstheme="minorHAnsi"/>
                <w:color w:val="auto"/>
              </w:rPr>
            </w:pPr>
            <w:r w:rsidRPr="009D7CF6">
              <w:rPr>
                <w:rFonts w:eastAsia="Calibri" w:cstheme="minorHAnsi"/>
                <w:color w:val="auto"/>
              </w:rPr>
              <w:t>2</w:t>
            </w:r>
            <w:r w:rsidR="000341FE">
              <w:rPr>
                <w:rFonts w:eastAsia="Calibri" w:cstheme="minorHAnsi"/>
                <w:color w:val="auto"/>
              </w:rPr>
              <w:t>,</w:t>
            </w:r>
            <w:r w:rsidRPr="009D7CF6">
              <w:rPr>
                <w:rFonts w:eastAsia="Calibri" w:cstheme="minorHAnsi"/>
                <w:color w:val="auto"/>
              </w:rPr>
              <w:t>3</w:t>
            </w:r>
          </w:p>
        </w:tc>
        <w:tc>
          <w:tcPr>
            <w:tcW w:w="5665" w:type="dxa"/>
            <w:gridSpan w:val="2"/>
            <w:tcBorders>
              <w:top w:val="single" w:sz="4" w:space="0" w:color="auto"/>
              <w:bottom w:val="single" w:sz="4" w:space="0" w:color="auto"/>
              <w:right w:val="single" w:sz="4" w:space="0" w:color="auto"/>
            </w:tcBorders>
          </w:tcPr>
          <w:p w14:paraId="43C8C55C" w14:textId="6D799DD1" w:rsidR="006F22CF" w:rsidRPr="009D7CF6" w:rsidRDefault="00D61B28" w:rsidP="006F22CF">
            <w:pPr>
              <w:rPr>
                <w:rFonts w:cstheme="minorHAnsi"/>
                <w:color w:val="auto"/>
              </w:rPr>
            </w:pPr>
            <w:r w:rsidRPr="009D7CF6">
              <w:rPr>
                <w:rFonts w:eastAsia="Calibri" w:cstheme="minorHAnsi"/>
                <w:color w:val="auto"/>
              </w:rPr>
              <w:t xml:space="preserve">94,5 </w:t>
            </w:r>
            <w:r w:rsidR="006F22CF" w:rsidRPr="009D7CF6">
              <w:rPr>
                <w:rFonts w:eastAsia="Calibri" w:cstheme="minorHAnsi"/>
                <w:color w:val="auto"/>
              </w:rPr>
              <w:t>(LR vidutinė rodiklio reikšmė)</w:t>
            </w:r>
          </w:p>
        </w:tc>
      </w:tr>
      <w:tr w:rsidR="006A27F5" w:rsidRPr="009D7CF6" w14:paraId="54EC3FA8" w14:textId="77777777" w:rsidTr="00AB235A">
        <w:tc>
          <w:tcPr>
            <w:tcW w:w="2790" w:type="dxa"/>
          </w:tcPr>
          <w:p w14:paraId="55040045" w14:textId="77777777" w:rsidR="006F22CF" w:rsidRPr="009D7CF6" w:rsidRDefault="006F22CF" w:rsidP="006F22CF">
            <w:pPr>
              <w:rPr>
                <w:rFonts w:cstheme="minorHAnsi"/>
                <w:color w:val="auto"/>
              </w:rPr>
            </w:pPr>
            <w:r w:rsidRPr="009D7CF6">
              <w:rPr>
                <w:rFonts w:cstheme="minorHAnsi"/>
                <w:color w:val="auto"/>
              </w:rPr>
              <w:t>Centralizuotų pirkimų iš / per CPO.LT skaičius, proc.</w:t>
            </w:r>
          </w:p>
        </w:tc>
        <w:tc>
          <w:tcPr>
            <w:tcW w:w="4865" w:type="dxa"/>
            <w:tcBorders>
              <w:top w:val="single" w:sz="4" w:space="0" w:color="auto"/>
              <w:bottom w:val="single" w:sz="4" w:space="0" w:color="auto"/>
            </w:tcBorders>
          </w:tcPr>
          <w:p w14:paraId="158B38B3" w14:textId="1137455B" w:rsidR="006F22CF" w:rsidRPr="009D7CF6" w:rsidRDefault="006F22CF" w:rsidP="006F22CF">
            <w:pPr>
              <w:rPr>
                <w:rFonts w:cstheme="minorHAnsi"/>
                <w:color w:val="auto"/>
              </w:rPr>
            </w:pPr>
            <w:r w:rsidRPr="009D7CF6">
              <w:rPr>
                <w:rFonts w:eastAsia="Calibri" w:cstheme="minorHAnsi"/>
                <w:color w:val="auto"/>
              </w:rPr>
              <w:t>9</w:t>
            </w:r>
            <w:r w:rsidR="000341FE">
              <w:rPr>
                <w:rFonts w:eastAsia="Calibri" w:cstheme="minorHAnsi"/>
                <w:color w:val="auto"/>
              </w:rPr>
              <w:t>,</w:t>
            </w:r>
            <w:r w:rsidRPr="009D7CF6">
              <w:rPr>
                <w:rFonts w:eastAsia="Calibri" w:cstheme="minorHAnsi"/>
                <w:color w:val="auto"/>
              </w:rPr>
              <w:t>0</w:t>
            </w:r>
          </w:p>
        </w:tc>
        <w:tc>
          <w:tcPr>
            <w:tcW w:w="5665" w:type="dxa"/>
            <w:gridSpan w:val="2"/>
            <w:tcBorders>
              <w:top w:val="single" w:sz="4" w:space="0" w:color="auto"/>
              <w:bottom w:val="single" w:sz="4" w:space="0" w:color="auto"/>
              <w:right w:val="single" w:sz="4" w:space="0" w:color="auto"/>
            </w:tcBorders>
          </w:tcPr>
          <w:p w14:paraId="190AF882" w14:textId="369BF12E" w:rsidR="006F22CF" w:rsidRPr="009D7CF6" w:rsidRDefault="00D61B28" w:rsidP="006F22CF">
            <w:pPr>
              <w:rPr>
                <w:rFonts w:cstheme="minorHAnsi"/>
                <w:color w:val="auto"/>
              </w:rPr>
            </w:pPr>
            <w:r w:rsidRPr="009D7CF6">
              <w:rPr>
                <w:rFonts w:eastAsia="Calibri" w:cstheme="minorHAnsi"/>
                <w:color w:val="auto"/>
              </w:rPr>
              <w:t xml:space="preserve">86,4  </w:t>
            </w:r>
            <w:r w:rsidR="006F22CF" w:rsidRPr="009D7CF6">
              <w:rPr>
                <w:rFonts w:eastAsia="Calibri" w:cstheme="minorHAnsi"/>
                <w:color w:val="auto"/>
              </w:rPr>
              <w:t>(LR vidutinė rodiklio reikšmė)</w:t>
            </w:r>
          </w:p>
        </w:tc>
      </w:tr>
      <w:tr w:rsidR="006A27F5" w:rsidRPr="009D7CF6" w14:paraId="271D5EF8" w14:textId="77777777" w:rsidTr="00AB235A">
        <w:tc>
          <w:tcPr>
            <w:tcW w:w="2790" w:type="dxa"/>
          </w:tcPr>
          <w:p w14:paraId="06530539" w14:textId="64EEE8AD" w:rsidR="00017B8C" w:rsidRPr="009D7CF6" w:rsidRDefault="00017B8C" w:rsidP="00017B8C">
            <w:pPr>
              <w:rPr>
                <w:rFonts w:cstheme="minorHAnsi"/>
                <w:color w:val="auto"/>
              </w:rPr>
            </w:pPr>
            <w:r w:rsidRPr="009D7CF6">
              <w:rPr>
                <w:rFonts w:cstheme="minorHAnsi"/>
                <w:color w:val="auto"/>
              </w:rPr>
              <w:t>Centralizuotų pirkimų iš / per kitų CPO vertė, proc.</w:t>
            </w:r>
          </w:p>
        </w:tc>
        <w:tc>
          <w:tcPr>
            <w:tcW w:w="4865" w:type="dxa"/>
            <w:tcBorders>
              <w:top w:val="single" w:sz="4" w:space="0" w:color="auto"/>
              <w:bottom w:val="single" w:sz="4" w:space="0" w:color="auto"/>
            </w:tcBorders>
          </w:tcPr>
          <w:p w14:paraId="39FC127B" w14:textId="5AC15697" w:rsidR="00017B8C" w:rsidRPr="009D7CF6" w:rsidRDefault="00017B8C" w:rsidP="00017B8C">
            <w:pPr>
              <w:rPr>
                <w:rFonts w:cstheme="minorHAnsi"/>
                <w:color w:val="auto"/>
              </w:rPr>
            </w:pPr>
            <w:r w:rsidRPr="009D7CF6">
              <w:rPr>
                <w:rFonts w:eastAsia="Calibri" w:cstheme="minorHAnsi"/>
                <w:color w:val="auto"/>
              </w:rPr>
              <w:t>n/a</w:t>
            </w:r>
          </w:p>
        </w:tc>
        <w:tc>
          <w:tcPr>
            <w:tcW w:w="5665" w:type="dxa"/>
            <w:gridSpan w:val="2"/>
            <w:tcBorders>
              <w:top w:val="single" w:sz="4" w:space="0" w:color="auto"/>
              <w:bottom w:val="single" w:sz="4" w:space="0" w:color="auto"/>
              <w:right w:val="single" w:sz="4" w:space="0" w:color="auto"/>
            </w:tcBorders>
          </w:tcPr>
          <w:p w14:paraId="165DCA0F" w14:textId="4623CFD9" w:rsidR="00017B8C" w:rsidRPr="009D7CF6" w:rsidRDefault="00017B8C" w:rsidP="00017B8C">
            <w:pPr>
              <w:rPr>
                <w:rFonts w:cstheme="minorHAnsi"/>
                <w:color w:val="auto"/>
              </w:rPr>
            </w:pPr>
            <w:r w:rsidRPr="009D7CF6">
              <w:rPr>
                <w:rFonts w:eastAsia="Calibri" w:cstheme="minorHAnsi"/>
                <w:color w:val="auto"/>
              </w:rPr>
              <w:t>n/a</w:t>
            </w:r>
          </w:p>
        </w:tc>
      </w:tr>
      <w:tr w:rsidR="006A27F5" w:rsidRPr="009D7CF6" w14:paraId="20C2BAA2" w14:textId="77777777" w:rsidTr="00AB235A">
        <w:tc>
          <w:tcPr>
            <w:tcW w:w="2790" w:type="dxa"/>
          </w:tcPr>
          <w:p w14:paraId="2CD10871" w14:textId="3C6134AD" w:rsidR="00017B8C" w:rsidRPr="009D7CF6" w:rsidRDefault="00017B8C" w:rsidP="00017B8C">
            <w:pPr>
              <w:rPr>
                <w:rFonts w:cstheme="minorHAnsi"/>
                <w:color w:val="auto"/>
                <w:highlight w:val="yellow"/>
              </w:rPr>
            </w:pPr>
            <w:r w:rsidRPr="009D7CF6">
              <w:rPr>
                <w:rFonts w:cstheme="minorHAnsi"/>
                <w:color w:val="auto"/>
              </w:rPr>
              <w:t>Centralizuotų pirkimų iš / per kitų CPO skaičius, proc.</w:t>
            </w:r>
          </w:p>
        </w:tc>
        <w:tc>
          <w:tcPr>
            <w:tcW w:w="4865" w:type="dxa"/>
            <w:tcBorders>
              <w:top w:val="single" w:sz="4" w:space="0" w:color="auto"/>
              <w:bottom w:val="single" w:sz="4" w:space="0" w:color="auto"/>
            </w:tcBorders>
          </w:tcPr>
          <w:p w14:paraId="6A3DA14D" w14:textId="66E98E5F" w:rsidR="00017B8C" w:rsidRPr="009D7CF6" w:rsidRDefault="00017B8C" w:rsidP="00017B8C">
            <w:pPr>
              <w:rPr>
                <w:rFonts w:cstheme="minorHAnsi"/>
                <w:color w:val="auto"/>
              </w:rPr>
            </w:pPr>
            <w:r w:rsidRPr="009D7CF6">
              <w:rPr>
                <w:rFonts w:eastAsia="Calibri" w:cstheme="minorHAnsi"/>
                <w:color w:val="auto"/>
              </w:rPr>
              <w:t>n/a</w:t>
            </w:r>
          </w:p>
        </w:tc>
        <w:tc>
          <w:tcPr>
            <w:tcW w:w="5665" w:type="dxa"/>
            <w:gridSpan w:val="2"/>
            <w:tcBorders>
              <w:top w:val="single" w:sz="4" w:space="0" w:color="auto"/>
              <w:bottom w:val="single" w:sz="4" w:space="0" w:color="auto"/>
              <w:right w:val="single" w:sz="4" w:space="0" w:color="auto"/>
            </w:tcBorders>
          </w:tcPr>
          <w:p w14:paraId="59620766" w14:textId="2907CAD9" w:rsidR="00017B8C" w:rsidRPr="009D7CF6" w:rsidRDefault="00017B8C" w:rsidP="00017B8C">
            <w:pPr>
              <w:rPr>
                <w:rFonts w:cstheme="minorHAnsi"/>
                <w:color w:val="auto"/>
              </w:rPr>
            </w:pPr>
            <w:r w:rsidRPr="009D7CF6">
              <w:rPr>
                <w:rFonts w:eastAsia="Calibri" w:cstheme="minorHAnsi"/>
                <w:color w:val="auto"/>
              </w:rPr>
              <w:t>n/a</w:t>
            </w:r>
          </w:p>
        </w:tc>
      </w:tr>
    </w:tbl>
    <w:p w14:paraId="697EA5E0" w14:textId="003E7D63" w:rsidR="004734B5" w:rsidRPr="009D7CF6" w:rsidRDefault="002A2CB9" w:rsidP="004734B5">
      <w:pPr>
        <w:rPr>
          <w:rFonts w:asciiTheme="minorHAnsi" w:hAnsiTheme="minorHAnsi" w:cstheme="minorHAnsi"/>
          <w:b/>
          <w:bCs/>
          <w:sz w:val="20"/>
        </w:rPr>
      </w:pPr>
      <w:r w:rsidRPr="009D7CF6">
        <w:rPr>
          <w:rFonts w:asciiTheme="minorHAnsi" w:hAnsiTheme="minorHAnsi" w:cstheme="minorHAnsi"/>
          <w:b/>
          <w:bCs/>
          <w:sz w:val="20"/>
        </w:rPr>
        <w:lastRenderedPageBreak/>
        <w:t>PASTABOS:</w:t>
      </w:r>
    </w:p>
    <w:p w14:paraId="1FB11788" w14:textId="043DFB05" w:rsidR="002A2CB9" w:rsidRPr="009D7CF6" w:rsidRDefault="002A2CB9" w:rsidP="004734B5">
      <w:pPr>
        <w:rPr>
          <w:rFonts w:asciiTheme="minorHAnsi" w:hAnsiTheme="minorHAnsi" w:cstheme="minorHAnsi"/>
          <w:sz w:val="20"/>
        </w:rPr>
      </w:pPr>
      <w:r w:rsidRPr="009D7CF6">
        <w:rPr>
          <w:rStyle w:val="FootnoteReference"/>
          <w:rFonts w:asciiTheme="minorHAnsi" w:hAnsiTheme="minorHAnsi" w:cstheme="minorHAnsi"/>
          <w:sz w:val="20"/>
        </w:rPr>
        <w:footnoteRef/>
      </w:r>
      <w:r w:rsidRPr="009D7CF6">
        <w:rPr>
          <w:rFonts w:asciiTheme="minorHAnsi" w:hAnsiTheme="minorHAnsi" w:cstheme="minorHAnsi"/>
          <w:sz w:val="20"/>
        </w:rPr>
        <w:t xml:space="preserve"> Į centralizuotų pirkimų rodiklių skaičiavimus įtraukiami tik įvykę tarptautinių ir supaprastintų (be mažos vertės) pirkimų duomenys. Pirkimai priskiriami ataskaitiniam laikotarpiui pagal sutarties sudarymo datą.</w:t>
      </w:r>
    </w:p>
    <w:p w14:paraId="69358B4E" w14:textId="77777777" w:rsidR="00F03165" w:rsidRPr="009D7CF6" w:rsidRDefault="00F03165" w:rsidP="004734B5">
      <w:pPr>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4957"/>
        <w:gridCol w:w="1921"/>
        <w:gridCol w:w="3852"/>
      </w:tblGrid>
      <w:tr w:rsidR="004734B5" w:rsidRPr="009D7CF6" w14:paraId="412A6E62"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3AAE7817" w14:textId="47FDA171" w:rsidR="004734B5" w:rsidRPr="009D7CF6" w:rsidRDefault="00681567" w:rsidP="00AB235A">
            <w:pPr>
              <w:rPr>
                <w:rFonts w:asciiTheme="minorHAnsi" w:hAnsiTheme="minorHAnsi" w:cstheme="minorHAnsi"/>
              </w:rPr>
            </w:pPr>
            <w:r w:rsidRPr="009D7CF6">
              <w:rPr>
                <w:rFonts w:asciiTheme="minorHAnsi" w:hAnsiTheme="minorHAnsi" w:cstheme="minorHAnsi"/>
              </w:rPr>
              <w:t>7</w:t>
            </w:r>
            <w:r w:rsidR="004734B5" w:rsidRPr="009D7CF6">
              <w:rPr>
                <w:rFonts w:asciiTheme="minorHAnsi" w:hAnsiTheme="minorHAnsi" w:cstheme="minorHAnsi"/>
              </w:rPr>
              <w:t>. lentelė. Rodiklis: ENERGIJOS VARTOJIMO EFEKTYVUMO REIKALAVIMAI</w:t>
            </w:r>
            <w:r w:rsidR="000E1859" w:rsidRPr="009D7CF6">
              <w:rPr>
                <w:rFonts w:asciiTheme="minorHAnsi" w:hAnsiTheme="minorHAnsi" w:cstheme="minorHAnsi"/>
                <w:vertAlign w:val="superscript"/>
              </w:rPr>
              <w:t>1</w:t>
            </w:r>
          </w:p>
        </w:tc>
        <w:tc>
          <w:tcPr>
            <w:tcW w:w="3780" w:type="dxa"/>
            <w:tcBorders>
              <w:top w:val="nil"/>
              <w:left w:val="nil"/>
              <w:bottom w:val="nil"/>
              <w:right w:val="nil"/>
            </w:tcBorders>
          </w:tcPr>
          <w:p w14:paraId="5241CB8B" w14:textId="77777777" w:rsidR="004734B5" w:rsidRPr="009D7CF6" w:rsidRDefault="004734B5" w:rsidP="00AB235A">
            <w:pPr>
              <w:rPr>
                <w:rFonts w:asciiTheme="minorHAnsi" w:hAnsiTheme="minorHAnsi" w:cstheme="minorHAnsi"/>
              </w:rPr>
            </w:pPr>
          </w:p>
        </w:tc>
      </w:tr>
      <w:tr w:rsidR="006A27F5" w:rsidRPr="009D7CF6" w14:paraId="2880F314" w14:textId="77777777" w:rsidTr="00AB235A">
        <w:tc>
          <w:tcPr>
            <w:tcW w:w="2790" w:type="dxa"/>
            <w:tcBorders>
              <w:top w:val="single" w:sz="4" w:space="0" w:color="auto"/>
            </w:tcBorders>
          </w:tcPr>
          <w:p w14:paraId="13D98C1B" w14:textId="77777777" w:rsidR="004734B5" w:rsidRPr="009D7CF6" w:rsidRDefault="004734B5" w:rsidP="00AB235A">
            <w:pPr>
              <w:rPr>
                <w:rFonts w:cstheme="minorHAnsi"/>
                <w:b/>
                <w:bCs/>
                <w:color w:val="auto"/>
              </w:rPr>
            </w:pPr>
            <w:r w:rsidRPr="009D7CF6">
              <w:rPr>
                <w:rFonts w:cstheme="minorHAnsi"/>
                <w:b/>
                <w:bCs/>
                <w:color w:val="auto"/>
              </w:rPr>
              <w:t>Rodiklio pavadinimas</w:t>
            </w:r>
          </w:p>
        </w:tc>
        <w:tc>
          <w:tcPr>
            <w:tcW w:w="4865" w:type="dxa"/>
            <w:tcBorders>
              <w:top w:val="single" w:sz="4" w:space="0" w:color="auto"/>
              <w:bottom w:val="single" w:sz="4" w:space="0" w:color="auto"/>
            </w:tcBorders>
          </w:tcPr>
          <w:p w14:paraId="1BE0ADDE" w14:textId="20741E1F" w:rsidR="004734B5" w:rsidRPr="009D7CF6" w:rsidRDefault="004734B5" w:rsidP="00AB235A">
            <w:pPr>
              <w:rPr>
                <w:rFonts w:cstheme="minorHAnsi"/>
                <w:b/>
                <w:bCs/>
                <w:color w:val="auto"/>
              </w:rPr>
            </w:pPr>
            <w:r w:rsidRPr="009D7CF6">
              <w:rPr>
                <w:rFonts w:cstheme="minorHAnsi"/>
                <w:b/>
                <w:bCs/>
                <w:color w:val="auto"/>
              </w:rPr>
              <w:t>PV rodiklio reikšmė</w:t>
            </w:r>
          </w:p>
        </w:tc>
        <w:tc>
          <w:tcPr>
            <w:tcW w:w="5665" w:type="dxa"/>
            <w:gridSpan w:val="2"/>
            <w:tcBorders>
              <w:top w:val="single" w:sz="4" w:space="0" w:color="auto"/>
              <w:bottom w:val="single" w:sz="4" w:space="0" w:color="auto"/>
              <w:right w:val="single" w:sz="4" w:space="0" w:color="auto"/>
            </w:tcBorders>
          </w:tcPr>
          <w:p w14:paraId="157AF11F" w14:textId="77777777" w:rsidR="004734B5" w:rsidRPr="009D7CF6" w:rsidRDefault="004734B5" w:rsidP="00AB235A">
            <w:pPr>
              <w:rPr>
                <w:rFonts w:cstheme="minorHAnsi"/>
                <w:color w:val="auto"/>
              </w:rPr>
            </w:pPr>
            <w:r w:rsidRPr="009D7CF6">
              <w:rPr>
                <w:rFonts w:cstheme="minorHAnsi"/>
                <w:b/>
                <w:bCs/>
                <w:color w:val="auto"/>
              </w:rPr>
              <w:t>LR vidutinė rodiklio reikšmė</w:t>
            </w:r>
          </w:p>
        </w:tc>
      </w:tr>
      <w:tr w:rsidR="006A27F5" w:rsidRPr="009D7CF6" w14:paraId="77F7888C" w14:textId="77777777" w:rsidTr="00AB235A">
        <w:tc>
          <w:tcPr>
            <w:tcW w:w="2790" w:type="dxa"/>
          </w:tcPr>
          <w:p w14:paraId="75F9FE4F" w14:textId="385ACE01" w:rsidR="00BC2BE9" w:rsidRPr="009D7CF6" w:rsidRDefault="00BC2BE9" w:rsidP="00BC2BE9">
            <w:pPr>
              <w:rPr>
                <w:rFonts w:cstheme="minorHAnsi"/>
                <w:color w:val="auto"/>
              </w:rPr>
            </w:pPr>
            <w:r w:rsidRPr="009D7CF6">
              <w:rPr>
                <w:rFonts w:cstheme="minorHAnsi"/>
                <w:color w:val="auto"/>
              </w:rPr>
              <w:t>Pirkimų iš Sąrašo</w:t>
            </w:r>
            <w:r w:rsidRPr="009D7CF6">
              <w:rPr>
                <w:rFonts w:cstheme="minorHAnsi"/>
                <w:color w:val="auto"/>
                <w:vertAlign w:val="superscript"/>
              </w:rPr>
              <w:t>2</w:t>
            </w:r>
            <w:r w:rsidRPr="009D7CF6">
              <w:rPr>
                <w:rFonts w:cstheme="minorHAnsi"/>
                <w:color w:val="auto"/>
              </w:rPr>
              <w:t>, kai taikyti EVEF reikalavimai vertė, proc.</w:t>
            </w:r>
          </w:p>
        </w:tc>
        <w:tc>
          <w:tcPr>
            <w:tcW w:w="4865" w:type="dxa"/>
            <w:tcBorders>
              <w:top w:val="single" w:sz="4" w:space="0" w:color="auto"/>
              <w:bottom w:val="single" w:sz="4" w:space="0" w:color="auto"/>
            </w:tcBorders>
          </w:tcPr>
          <w:p w14:paraId="129E17CF" w14:textId="013114AB" w:rsidR="00BC2BE9" w:rsidRPr="009D7CF6" w:rsidRDefault="00BC2BE9" w:rsidP="00BC2BE9">
            <w:pPr>
              <w:rPr>
                <w:rFonts w:cstheme="minorHAnsi"/>
                <w:color w:val="auto"/>
              </w:rPr>
            </w:pPr>
            <w:r w:rsidRPr="009D7CF6">
              <w:rPr>
                <w:rFonts w:eastAsia="Calibri" w:cstheme="minorHAnsi"/>
                <w:color w:val="auto"/>
              </w:rPr>
              <w:t>100</w:t>
            </w:r>
            <w:r w:rsidR="000341FE">
              <w:rPr>
                <w:rFonts w:eastAsia="Calibri" w:cstheme="minorHAnsi"/>
                <w:color w:val="auto"/>
              </w:rPr>
              <w:t>,</w:t>
            </w:r>
            <w:r w:rsidRPr="009D7CF6">
              <w:rPr>
                <w:rFonts w:eastAsia="Calibri" w:cstheme="minorHAnsi"/>
                <w:color w:val="auto"/>
              </w:rPr>
              <w:t>0</w:t>
            </w:r>
          </w:p>
        </w:tc>
        <w:tc>
          <w:tcPr>
            <w:tcW w:w="5665" w:type="dxa"/>
            <w:gridSpan w:val="2"/>
            <w:tcBorders>
              <w:top w:val="single" w:sz="4" w:space="0" w:color="auto"/>
              <w:bottom w:val="single" w:sz="4" w:space="0" w:color="auto"/>
              <w:right w:val="single" w:sz="4" w:space="0" w:color="auto"/>
            </w:tcBorders>
          </w:tcPr>
          <w:p w14:paraId="56042475" w14:textId="4AF78713" w:rsidR="00BC2BE9" w:rsidRPr="009D7CF6" w:rsidRDefault="00BC2BE9" w:rsidP="00BC2BE9">
            <w:pPr>
              <w:rPr>
                <w:rFonts w:cstheme="minorHAnsi"/>
                <w:color w:val="auto"/>
              </w:rPr>
            </w:pPr>
            <w:r w:rsidRPr="009D7CF6">
              <w:rPr>
                <w:rFonts w:eastAsia="Calibri" w:cstheme="minorHAnsi"/>
                <w:color w:val="auto"/>
              </w:rPr>
              <w:t>9</w:t>
            </w:r>
            <w:r w:rsidR="00742EE5" w:rsidRPr="009D7CF6">
              <w:rPr>
                <w:rFonts w:eastAsia="Calibri" w:cstheme="minorHAnsi"/>
                <w:color w:val="auto"/>
              </w:rPr>
              <w:t>9</w:t>
            </w:r>
            <w:r w:rsidRPr="009D7CF6">
              <w:rPr>
                <w:rFonts w:eastAsia="Calibri" w:cstheme="minorHAnsi"/>
                <w:color w:val="auto"/>
              </w:rPr>
              <w:t>,</w:t>
            </w:r>
            <w:r w:rsidR="00742EE5" w:rsidRPr="009D7CF6">
              <w:rPr>
                <w:rFonts w:eastAsia="Calibri" w:cstheme="minorHAnsi"/>
                <w:color w:val="auto"/>
              </w:rPr>
              <w:t>2</w:t>
            </w:r>
            <w:r w:rsidRPr="009D7CF6">
              <w:rPr>
                <w:rFonts w:eastAsia="Calibri" w:cstheme="minorHAnsi"/>
                <w:color w:val="auto"/>
              </w:rPr>
              <w:t xml:space="preserve"> (LR vidutinė rodiklio reikšmė)</w:t>
            </w:r>
          </w:p>
        </w:tc>
      </w:tr>
      <w:tr w:rsidR="006A27F5" w:rsidRPr="009D7CF6" w14:paraId="11EF0CF9" w14:textId="77777777" w:rsidTr="00AB235A">
        <w:tc>
          <w:tcPr>
            <w:tcW w:w="2790" w:type="dxa"/>
          </w:tcPr>
          <w:p w14:paraId="6E3E6036" w14:textId="725489F5" w:rsidR="00BC2BE9" w:rsidRPr="009D7CF6" w:rsidRDefault="00BC2BE9" w:rsidP="00BC2BE9">
            <w:pPr>
              <w:rPr>
                <w:rFonts w:cstheme="minorHAnsi"/>
                <w:color w:val="auto"/>
              </w:rPr>
            </w:pPr>
            <w:r w:rsidRPr="009D7CF6">
              <w:rPr>
                <w:rFonts w:cstheme="minorHAnsi"/>
                <w:color w:val="auto"/>
              </w:rPr>
              <w:t>Pirkimų iš Sąrašo</w:t>
            </w:r>
            <w:r w:rsidRPr="009D7CF6">
              <w:rPr>
                <w:rFonts w:cstheme="minorHAnsi"/>
                <w:color w:val="auto"/>
                <w:vertAlign w:val="superscript"/>
              </w:rPr>
              <w:t>2</w:t>
            </w:r>
            <w:r w:rsidRPr="009D7CF6">
              <w:rPr>
                <w:rFonts w:cstheme="minorHAnsi"/>
                <w:color w:val="auto"/>
              </w:rPr>
              <w:t>, kai taikyti EVEF reikalavimai, skaičius, proc.</w:t>
            </w:r>
          </w:p>
        </w:tc>
        <w:tc>
          <w:tcPr>
            <w:tcW w:w="4865" w:type="dxa"/>
            <w:tcBorders>
              <w:top w:val="single" w:sz="4" w:space="0" w:color="auto"/>
              <w:bottom w:val="single" w:sz="4" w:space="0" w:color="auto"/>
            </w:tcBorders>
          </w:tcPr>
          <w:p w14:paraId="69FDF379" w14:textId="17DFFA0C" w:rsidR="00BC2BE9" w:rsidRPr="009D7CF6" w:rsidRDefault="00BC2BE9" w:rsidP="00BC2BE9">
            <w:pPr>
              <w:rPr>
                <w:rFonts w:cstheme="minorHAnsi"/>
                <w:color w:val="auto"/>
              </w:rPr>
            </w:pPr>
            <w:r w:rsidRPr="009D7CF6">
              <w:rPr>
                <w:rFonts w:eastAsia="Calibri" w:cstheme="minorHAnsi"/>
                <w:color w:val="auto"/>
              </w:rPr>
              <w:t>100</w:t>
            </w:r>
            <w:r w:rsidR="000341FE">
              <w:rPr>
                <w:rFonts w:eastAsia="Calibri" w:cstheme="minorHAnsi"/>
                <w:color w:val="auto"/>
              </w:rPr>
              <w:t>,</w:t>
            </w:r>
            <w:r w:rsidRPr="009D7CF6">
              <w:rPr>
                <w:rFonts w:eastAsia="Calibri" w:cstheme="minorHAnsi"/>
                <w:color w:val="auto"/>
              </w:rPr>
              <w:t>0</w:t>
            </w:r>
          </w:p>
        </w:tc>
        <w:tc>
          <w:tcPr>
            <w:tcW w:w="5665" w:type="dxa"/>
            <w:gridSpan w:val="2"/>
            <w:tcBorders>
              <w:top w:val="single" w:sz="4" w:space="0" w:color="auto"/>
              <w:bottom w:val="single" w:sz="4" w:space="0" w:color="auto"/>
              <w:right w:val="single" w:sz="4" w:space="0" w:color="auto"/>
            </w:tcBorders>
          </w:tcPr>
          <w:p w14:paraId="4E724C89" w14:textId="353F3DE9" w:rsidR="00BC2BE9" w:rsidRPr="009D7CF6" w:rsidRDefault="00BC2BE9" w:rsidP="00BC2BE9">
            <w:pPr>
              <w:rPr>
                <w:rFonts w:cstheme="minorHAnsi"/>
                <w:color w:val="auto"/>
              </w:rPr>
            </w:pPr>
            <w:r w:rsidRPr="009D7CF6">
              <w:rPr>
                <w:rFonts w:eastAsia="Calibri" w:cstheme="minorHAnsi"/>
                <w:color w:val="auto"/>
              </w:rPr>
              <w:t>8</w:t>
            </w:r>
            <w:r w:rsidR="009256D9" w:rsidRPr="009D7CF6">
              <w:rPr>
                <w:rFonts w:eastAsia="Calibri" w:cstheme="minorHAnsi"/>
                <w:color w:val="auto"/>
              </w:rPr>
              <w:t>6</w:t>
            </w:r>
            <w:r w:rsidRPr="009D7CF6">
              <w:rPr>
                <w:rFonts w:eastAsia="Calibri" w:cstheme="minorHAnsi"/>
                <w:color w:val="auto"/>
              </w:rPr>
              <w:t>,</w:t>
            </w:r>
            <w:r w:rsidR="009256D9" w:rsidRPr="009D7CF6">
              <w:rPr>
                <w:rFonts w:eastAsia="Calibri" w:cstheme="minorHAnsi"/>
                <w:color w:val="auto"/>
              </w:rPr>
              <w:t>1</w:t>
            </w:r>
            <w:r w:rsidRPr="009D7CF6">
              <w:rPr>
                <w:rFonts w:eastAsia="Calibri" w:cstheme="minorHAnsi"/>
                <w:color w:val="auto"/>
              </w:rPr>
              <w:t xml:space="preserve"> (LR vidutinė rodiklio reikšmė)</w:t>
            </w:r>
          </w:p>
        </w:tc>
      </w:tr>
    </w:tbl>
    <w:p w14:paraId="1AD160D6" w14:textId="7E327E25" w:rsidR="004734B5" w:rsidRPr="009D7CF6" w:rsidRDefault="000E1859" w:rsidP="004734B5">
      <w:pPr>
        <w:rPr>
          <w:rFonts w:asciiTheme="minorHAnsi" w:hAnsiTheme="minorHAnsi" w:cstheme="minorHAnsi"/>
          <w:b/>
          <w:bCs/>
          <w:sz w:val="20"/>
        </w:rPr>
      </w:pPr>
      <w:r w:rsidRPr="009D7CF6">
        <w:rPr>
          <w:rFonts w:asciiTheme="minorHAnsi" w:hAnsiTheme="minorHAnsi" w:cstheme="minorHAnsi"/>
          <w:b/>
          <w:bCs/>
          <w:sz w:val="20"/>
        </w:rPr>
        <w:t>PASTABOS:</w:t>
      </w:r>
    </w:p>
    <w:p w14:paraId="320A0B59" w14:textId="77777777" w:rsidR="000E1859" w:rsidRPr="009D7CF6" w:rsidRDefault="000E1859" w:rsidP="000E1859">
      <w:pPr>
        <w:pStyle w:val="FootnoteText"/>
        <w:ind w:firstLine="0"/>
        <w:rPr>
          <w:rFonts w:asciiTheme="minorHAnsi" w:hAnsiTheme="minorHAnsi" w:cstheme="minorHAnsi"/>
        </w:rPr>
      </w:pPr>
      <w:r w:rsidRPr="009D7CF6">
        <w:rPr>
          <w:rStyle w:val="FootnoteReference"/>
          <w:rFonts w:asciiTheme="minorHAnsi" w:hAnsiTheme="minorHAnsi" w:cstheme="minorHAnsi"/>
        </w:rPr>
        <w:footnoteRef/>
      </w:r>
      <w:r w:rsidRPr="009D7CF6">
        <w:rPr>
          <w:rFonts w:asciiTheme="minorHAnsi" w:hAnsiTheme="minorHAnsi" w:cstheme="minorHAnsi"/>
        </w:rPr>
        <w:t xml:space="preserve"> Į rodiklių skaičiavimus įtraukiami tik įvykę tarptautinių ir supaprastintų (be mažos vertės) pirkimų duomenys. Pirkimai priskiriami ataskaitiniam laikotarpiui pagal sutarties sudarymo datą.</w:t>
      </w:r>
    </w:p>
    <w:p w14:paraId="49EDFC28" w14:textId="5404CFEE" w:rsidR="000E1859" w:rsidRPr="009D7CF6" w:rsidRDefault="000E1859" w:rsidP="000E1859">
      <w:pPr>
        <w:pStyle w:val="FootnoteText"/>
        <w:ind w:firstLine="0"/>
        <w:rPr>
          <w:rFonts w:asciiTheme="minorHAnsi" w:hAnsiTheme="minorHAnsi" w:cstheme="minorHAnsi"/>
        </w:rPr>
      </w:pPr>
      <w:r w:rsidRPr="009D7CF6">
        <w:rPr>
          <w:rStyle w:val="FootnoteReference"/>
          <w:rFonts w:asciiTheme="minorHAnsi" w:hAnsiTheme="minorHAnsi" w:cstheme="minorHAnsi"/>
        </w:rPr>
        <w:t>2</w:t>
      </w:r>
      <w:r w:rsidRPr="009D7CF6">
        <w:rPr>
          <w:rFonts w:asciiTheme="minorHAnsi" w:hAnsiTheme="minorHAnsi" w:cstheme="minorHAnsi"/>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0D0CFCB3" w14:textId="77777777" w:rsidR="000E1859" w:rsidRPr="009D7CF6" w:rsidRDefault="000E1859" w:rsidP="004734B5">
      <w:pPr>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4957"/>
        <w:gridCol w:w="1921"/>
        <w:gridCol w:w="3852"/>
      </w:tblGrid>
      <w:tr w:rsidR="004734B5" w:rsidRPr="009D7CF6" w14:paraId="5CC795C6"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6D7CA3F1" w14:textId="4765F9D8" w:rsidR="004734B5" w:rsidRPr="009D7CF6" w:rsidRDefault="00681567" w:rsidP="00AB235A">
            <w:pPr>
              <w:rPr>
                <w:rFonts w:asciiTheme="minorHAnsi" w:hAnsiTheme="minorHAnsi" w:cstheme="minorHAnsi"/>
              </w:rPr>
            </w:pPr>
            <w:r w:rsidRPr="009D7CF6">
              <w:rPr>
                <w:rFonts w:asciiTheme="minorHAnsi" w:hAnsiTheme="minorHAnsi" w:cstheme="minorHAnsi"/>
              </w:rPr>
              <w:t>8</w:t>
            </w:r>
            <w:r w:rsidR="004734B5" w:rsidRPr="009D7CF6">
              <w:rPr>
                <w:rFonts w:asciiTheme="minorHAnsi" w:hAnsiTheme="minorHAnsi" w:cstheme="minorHAnsi"/>
              </w:rPr>
              <w:t>. lentelė. Rodiklis: inovatyvūs pirkimai</w:t>
            </w:r>
            <w:r w:rsidR="00223035" w:rsidRPr="009D7CF6">
              <w:rPr>
                <w:rFonts w:asciiTheme="minorHAnsi" w:hAnsiTheme="minorHAnsi" w:cstheme="minorHAnsi"/>
                <w:vertAlign w:val="superscript"/>
              </w:rPr>
              <w:t>1</w:t>
            </w:r>
          </w:p>
        </w:tc>
        <w:tc>
          <w:tcPr>
            <w:tcW w:w="3780" w:type="dxa"/>
            <w:tcBorders>
              <w:top w:val="nil"/>
              <w:left w:val="nil"/>
              <w:bottom w:val="nil"/>
              <w:right w:val="nil"/>
            </w:tcBorders>
          </w:tcPr>
          <w:p w14:paraId="61AA4936" w14:textId="77777777" w:rsidR="004734B5" w:rsidRPr="009D7CF6" w:rsidRDefault="004734B5" w:rsidP="00AB235A">
            <w:pPr>
              <w:rPr>
                <w:rFonts w:asciiTheme="minorHAnsi" w:hAnsiTheme="minorHAnsi" w:cstheme="minorHAnsi"/>
              </w:rPr>
            </w:pPr>
          </w:p>
        </w:tc>
      </w:tr>
      <w:tr w:rsidR="006A27F5" w:rsidRPr="009D7CF6" w14:paraId="73979F53" w14:textId="77777777" w:rsidTr="00AB235A">
        <w:tc>
          <w:tcPr>
            <w:tcW w:w="2790" w:type="dxa"/>
            <w:tcBorders>
              <w:top w:val="single" w:sz="4" w:space="0" w:color="auto"/>
            </w:tcBorders>
          </w:tcPr>
          <w:p w14:paraId="6FC9C21D" w14:textId="77777777" w:rsidR="004734B5" w:rsidRPr="009D7CF6" w:rsidRDefault="004734B5" w:rsidP="00AB235A">
            <w:pPr>
              <w:rPr>
                <w:rFonts w:cstheme="minorHAnsi"/>
                <w:b/>
                <w:bCs/>
                <w:color w:val="auto"/>
              </w:rPr>
            </w:pPr>
            <w:r w:rsidRPr="009D7CF6">
              <w:rPr>
                <w:rFonts w:cstheme="minorHAnsi"/>
                <w:b/>
                <w:bCs/>
                <w:color w:val="auto"/>
              </w:rPr>
              <w:t>Rodiklio pavadinimas</w:t>
            </w:r>
          </w:p>
        </w:tc>
        <w:tc>
          <w:tcPr>
            <w:tcW w:w="4865" w:type="dxa"/>
            <w:tcBorders>
              <w:top w:val="single" w:sz="4" w:space="0" w:color="auto"/>
              <w:bottom w:val="single" w:sz="4" w:space="0" w:color="auto"/>
            </w:tcBorders>
          </w:tcPr>
          <w:p w14:paraId="2A28D609" w14:textId="77777777" w:rsidR="004734B5" w:rsidRPr="009D7CF6" w:rsidRDefault="004734B5" w:rsidP="00AB235A">
            <w:pPr>
              <w:rPr>
                <w:rFonts w:cstheme="minorHAnsi"/>
                <w:b/>
                <w:bCs/>
                <w:color w:val="auto"/>
              </w:rPr>
            </w:pPr>
            <w:r w:rsidRPr="009D7CF6">
              <w:rPr>
                <w:rFonts w:cstheme="minorHAns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7BA7E8B7" w14:textId="77777777" w:rsidR="004734B5" w:rsidRPr="009D7CF6" w:rsidRDefault="004734B5" w:rsidP="00AB235A">
            <w:pPr>
              <w:rPr>
                <w:rFonts w:cstheme="minorHAnsi"/>
                <w:color w:val="auto"/>
              </w:rPr>
            </w:pPr>
            <w:r w:rsidRPr="009D7CF6">
              <w:rPr>
                <w:rFonts w:cstheme="minorHAnsi"/>
                <w:b/>
                <w:bCs/>
                <w:color w:val="auto"/>
              </w:rPr>
              <w:t>LR vidutinė rodiklio reikšmė</w:t>
            </w:r>
          </w:p>
        </w:tc>
      </w:tr>
      <w:tr w:rsidR="006A27F5" w:rsidRPr="009D7CF6" w14:paraId="721080B3" w14:textId="77777777" w:rsidTr="00AB235A">
        <w:tc>
          <w:tcPr>
            <w:tcW w:w="2790" w:type="dxa"/>
          </w:tcPr>
          <w:p w14:paraId="1AC83442" w14:textId="77777777" w:rsidR="00F36CFE" w:rsidRPr="009D7CF6" w:rsidRDefault="00F36CFE" w:rsidP="00F36CFE">
            <w:pPr>
              <w:rPr>
                <w:rFonts w:cstheme="minorHAnsi"/>
                <w:color w:val="auto"/>
              </w:rPr>
            </w:pPr>
            <w:r w:rsidRPr="009D7CF6">
              <w:rPr>
                <w:rFonts w:cstheme="minorHAnsi"/>
                <w:color w:val="auto"/>
              </w:rPr>
              <w:t>Inovatyvių pirkimų vertė, proc.</w:t>
            </w:r>
          </w:p>
        </w:tc>
        <w:tc>
          <w:tcPr>
            <w:tcW w:w="4865" w:type="dxa"/>
            <w:tcBorders>
              <w:top w:val="single" w:sz="4" w:space="0" w:color="auto"/>
              <w:bottom w:val="single" w:sz="4" w:space="0" w:color="auto"/>
            </w:tcBorders>
          </w:tcPr>
          <w:p w14:paraId="0D897A42" w14:textId="0AB649EB" w:rsidR="00F36CFE" w:rsidRPr="009D7CF6" w:rsidRDefault="00F36CFE" w:rsidP="00F36CFE">
            <w:pPr>
              <w:rPr>
                <w:rFonts w:cstheme="minorHAnsi"/>
                <w:color w:val="auto"/>
              </w:rPr>
            </w:pPr>
            <w:r w:rsidRPr="009D7CF6">
              <w:rPr>
                <w:rFonts w:eastAsia="Calibri" w:cstheme="minorHAnsi"/>
                <w:color w:val="auto"/>
              </w:rPr>
              <w:t>0</w:t>
            </w:r>
            <w:r w:rsidR="000341FE">
              <w:rPr>
                <w:rFonts w:eastAsia="Calibri" w:cstheme="minorHAnsi"/>
                <w:color w:val="auto"/>
              </w:rPr>
              <w:t>,</w:t>
            </w:r>
            <w:r w:rsidRPr="009D7CF6">
              <w:rPr>
                <w:rFonts w:eastAsia="Calibri" w:cstheme="minorHAnsi"/>
                <w:color w:val="auto"/>
              </w:rPr>
              <w:t>008</w:t>
            </w:r>
          </w:p>
        </w:tc>
        <w:tc>
          <w:tcPr>
            <w:tcW w:w="5665" w:type="dxa"/>
            <w:gridSpan w:val="2"/>
            <w:tcBorders>
              <w:top w:val="single" w:sz="4" w:space="0" w:color="auto"/>
              <w:bottom w:val="single" w:sz="4" w:space="0" w:color="auto"/>
              <w:right w:val="single" w:sz="4" w:space="0" w:color="auto"/>
            </w:tcBorders>
          </w:tcPr>
          <w:p w14:paraId="6E23E4E1" w14:textId="06AD2035" w:rsidR="00F36CFE" w:rsidRPr="009D7CF6" w:rsidRDefault="00F36CFE" w:rsidP="00F36CFE">
            <w:pPr>
              <w:rPr>
                <w:rFonts w:cstheme="minorHAnsi"/>
                <w:color w:val="auto"/>
              </w:rPr>
            </w:pPr>
            <w:r w:rsidRPr="009D7CF6">
              <w:rPr>
                <w:rFonts w:eastAsia="Calibri" w:cstheme="minorHAnsi"/>
                <w:color w:val="auto"/>
              </w:rPr>
              <w:t>0,</w:t>
            </w:r>
            <w:r w:rsidR="009256D9" w:rsidRPr="009D7CF6">
              <w:rPr>
                <w:rFonts w:eastAsia="Calibri" w:cstheme="minorHAnsi"/>
                <w:color w:val="auto"/>
              </w:rPr>
              <w:t>580</w:t>
            </w:r>
            <w:r w:rsidRPr="009D7CF6">
              <w:rPr>
                <w:rFonts w:eastAsia="Calibri" w:cstheme="minorHAnsi"/>
                <w:color w:val="auto"/>
              </w:rPr>
              <w:t xml:space="preserve"> (LR vidutinė rodiklio reikšmė)</w:t>
            </w:r>
          </w:p>
        </w:tc>
      </w:tr>
    </w:tbl>
    <w:p w14:paraId="7E2641B1" w14:textId="17055B1F" w:rsidR="004734B5" w:rsidRPr="009D7CF6" w:rsidRDefault="00223035" w:rsidP="004734B5">
      <w:pPr>
        <w:rPr>
          <w:rFonts w:asciiTheme="minorHAnsi" w:hAnsiTheme="minorHAnsi" w:cstheme="minorHAnsi"/>
          <w:sz w:val="20"/>
        </w:rPr>
      </w:pPr>
      <w:r w:rsidRPr="009D7CF6">
        <w:rPr>
          <w:rFonts w:asciiTheme="minorHAnsi" w:hAnsiTheme="minorHAnsi" w:cstheme="minorHAnsi"/>
          <w:sz w:val="20"/>
        </w:rPr>
        <w:t>PASTABOS:</w:t>
      </w:r>
    </w:p>
    <w:p w14:paraId="70344BF8" w14:textId="135B0FA4" w:rsidR="00223035" w:rsidRPr="009D7CF6" w:rsidRDefault="00223035" w:rsidP="004734B5">
      <w:pPr>
        <w:rPr>
          <w:rFonts w:asciiTheme="minorHAnsi" w:hAnsiTheme="minorHAnsi" w:cstheme="minorHAnsi"/>
          <w:sz w:val="20"/>
        </w:rPr>
      </w:pPr>
      <w:r w:rsidRPr="009D7CF6">
        <w:rPr>
          <w:rStyle w:val="FootnoteReference"/>
          <w:rFonts w:asciiTheme="minorHAnsi" w:hAnsiTheme="minorHAnsi" w:cstheme="minorHAnsi"/>
          <w:sz w:val="20"/>
        </w:rPr>
        <w:footnoteRef/>
      </w:r>
      <w:r w:rsidRPr="009D7CF6">
        <w:rPr>
          <w:rFonts w:asciiTheme="minorHAnsi" w:hAnsiTheme="minorHAnsi" w:cstheme="minorHAnsi"/>
          <w:sz w:val="20"/>
        </w:rPr>
        <w:t xml:space="preserve"> Į inovatyvių pirkimų rodiklio skaičiavimus įtraukiami tik įvykę tarptautinių ir supaprastintų (be mažos vertės) pirkimų duomenys. Pirkimai priskiriami ataskaitiniam laikotarpiui pagal sutarties sudarymo datą.</w:t>
      </w:r>
    </w:p>
    <w:p w14:paraId="202B0070" w14:textId="77777777" w:rsidR="00223035" w:rsidRPr="009D7CF6" w:rsidRDefault="00223035" w:rsidP="004734B5">
      <w:pPr>
        <w:rPr>
          <w:rFonts w:asciiTheme="minorHAnsi" w:hAnsiTheme="minorHAnsi" w:cstheme="minorHAns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4812"/>
        <w:gridCol w:w="2065"/>
        <w:gridCol w:w="3852"/>
      </w:tblGrid>
      <w:tr w:rsidR="004734B5" w:rsidRPr="009D7CF6" w14:paraId="061BEE12"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CB32E72" w14:textId="4DC757E0" w:rsidR="004734B5" w:rsidRPr="009D7CF6" w:rsidRDefault="00681567" w:rsidP="00AB235A">
            <w:pPr>
              <w:rPr>
                <w:rFonts w:asciiTheme="minorHAnsi" w:hAnsiTheme="minorHAnsi" w:cstheme="minorHAnsi"/>
              </w:rPr>
            </w:pPr>
            <w:r w:rsidRPr="009D7CF6">
              <w:rPr>
                <w:rFonts w:asciiTheme="minorHAnsi" w:hAnsiTheme="minorHAnsi" w:cstheme="minorHAnsi"/>
              </w:rPr>
              <w:t>9</w:t>
            </w:r>
            <w:r w:rsidR="004734B5" w:rsidRPr="009D7CF6">
              <w:rPr>
                <w:rFonts w:asciiTheme="minorHAnsi" w:hAnsiTheme="minorHAnsi" w:cstheme="minorHAnsi"/>
              </w:rPr>
              <w:t>. lentelė. Rodiklis: REZERVUOTI pirkimai</w:t>
            </w:r>
            <w:r w:rsidR="00C86B72" w:rsidRPr="009D7CF6">
              <w:rPr>
                <w:rFonts w:asciiTheme="minorHAnsi" w:hAnsiTheme="minorHAnsi" w:cstheme="minorHAnsi"/>
                <w:vertAlign w:val="superscript"/>
              </w:rPr>
              <w:t>1</w:t>
            </w:r>
          </w:p>
        </w:tc>
        <w:tc>
          <w:tcPr>
            <w:tcW w:w="3780" w:type="dxa"/>
            <w:tcBorders>
              <w:top w:val="nil"/>
              <w:left w:val="nil"/>
              <w:bottom w:val="nil"/>
              <w:right w:val="nil"/>
            </w:tcBorders>
          </w:tcPr>
          <w:p w14:paraId="21098ABB" w14:textId="77777777" w:rsidR="004734B5" w:rsidRPr="009D7CF6" w:rsidRDefault="004734B5" w:rsidP="00AB235A">
            <w:pPr>
              <w:rPr>
                <w:rFonts w:asciiTheme="minorHAnsi" w:hAnsiTheme="minorHAnsi" w:cstheme="minorHAnsi"/>
              </w:rPr>
            </w:pPr>
          </w:p>
        </w:tc>
      </w:tr>
      <w:tr w:rsidR="006A27F5" w:rsidRPr="009D7CF6" w14:paraId="3E70E90B" w14:textId="77777777" w:rsidTr="00AB235A">
        <w:tc>
          <w:tcPr>
            <w:tcW w:w="2790" w:type="dxa"/>
            <w:tcBorders>
              <w:top w:val="single" w:sz="4" w:space="0" w:color="auto"/>
            </w:tcBorders>
          </w:tcPr>
          <w:p w14:paraId="7888DC9C" w14:textId="77777777" w:rsidR="004734B5" w:rsidRPr="009D7CF6" w:rsidRDefault="004734B5" w:rsidP="00AB235A">
            <w:pPr>
              <w:rPr>
                <w:rFonts w:cstheme="minorHAnsi"/>
                <w:b/>
                <w:bCs/>
                <w:color w:val="auto"/>
              </w:rPr>
            </w:pPr>
            <w:r w:rsidRPr="009D7CF6">
              <w:rPr>
                <w:rFonts w:cstheme="minorHAnsi"/>
                <w:b/>
                <w:bCs/>
                <w:color w:val="auto"/>
              </w:rPr>
              <w:t>Rodiklio pavadinimas</w:t>
            </w:r>
          </w:p>
        </w:tc>
        <w:tc>
          <w:tcPr>
            <w:tcW w:w="4723" w:type="dxa"/>
            <w:tcBorders>
              <w:top w:val="single" w:sz="4" w:space="0" w:color="auto"/>
              <w:bottom w:val="single" w:sz="4" w:space="0" w:color="auto"/>
            </w:tcBorders>
          </w:tcPr>
          <w:p w14:paraId="35845617" w14:textId="77777777" w:rsidR="004734B5" w:rsidRPr="009D7CF6" w:rsidRDefault="004734B5" w:rsidP="00AB235A">
            <w:pPr>
              <w:rPr>
                <w:rFonts w:cstheme="minorHAnsi"/>
                <w:b/>
                <w:bCs/>
                <w:color w:val="auto"/>
              </w:rPr>
            </w:pPr>
            <w:r w:rsidRPr="009D7CF6">
              <w:rPr>
                <w:rFonts w:cstheme="minorHAns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30E78F4A" w14:textId="77777777" w:rsidR="004734B5" w:rsidRPr="009D7CF6" w:rsidRDefault="004734B5" w:rsidP="00AB235A">
            <w:pPr>
              <w:rPr>
                <w:rFonts w:cstheme="minorHAnsi"/>
                <w:color w:val="auto"/>
              </w:rPr>
            </w:pPr>
            <w:r w:rsidRPr="009D7CF6">
              <w:rPr>
                <w:rFonts w:cstheme="minorHAnsi"/>
                <w:b/>
                <w:bCs/>
                <w:color w:val="auto"/>
              </w:rPr>
              <w:t>LR vidutinė rodiklio reikšmė</w:t>
            </w:r>
          </w:p>
        </w:tc>
      </w:tr>
      <w:tr w:rsidR="006A27F5" w:rsidRPr="009D7CF6" w14:paraId="085962EF" w14:textId="77777777" w:rsidTr="00AB235A">
        <w:tc>
          <w:tcPr>
            <w:tcW w:w="2790" w:type="dxa"/>
          </w:tcPr>
          <w:p w14:paraId="0CA918B3" w14:textId="77777777" w:rsidR="00B51CA5" w:rsidRPr="009D7CF6" w:rsidRDefault="00B51CA5" w:rsidP="00B51CA5">
            <w:pPr>
              <w:rPr>
                <w:rFonts w:cstheme="minorHAnsi"/>
                <w:color w:val="auto"/>
              </w:rPr>
            </w:pPr>
            <w:r w:rsidRPr="009D7CF6">
              <w:rPr>
                <w:rFonts w:cstheme="minorHAnsi"/>
                <w:color w:val="auto"/>
              </w:rPr>
              <w:t>Supaprastintų rezervuotų pirkimų vertė, proc.</w:t>
            </w:r>
          </w:p>
        </w:tc>
        <w:tc>
          <w:tcPr>
            <w:tcW w:w="4723" w:type="dxa"/>
            <w:tcBorders>
              <w:top w:val="single" w:sz="4" w:space="0" w:color="auto"/>
              <w:bottom w:val="single" w:sz="4" w:space="0" w:color="auto"/>
            </w:tcBorders>
          </w:tcPr>
          <w:p w14:paraId="4E254C5D" w14:textId="273FF46F" w:rsidR="00B51CA5" w:rsidRPr="009D7CF6" w:rsidRDefault="00B51CA5" w:rsidP="00B51CA5">
            <w:pPr>
              <w:rPr>
                <w:rFonts w:cstheme="minorHAnsi"/>
                <w:color w:val="auto"/>
              </w:rPr>
            </w:pPr>
            <w:r w:rsidRPr="009D7CF6">
              <w:rPr>
                <w:rFonts w:eastAsia="Calibri" w:cstheme="minorHAnsi"/>
                <w:color w:val="auto"/>
              </w:rPr>
              <w:t>0</w:t>
            </w:r>
            <w:r w:rsidR="000341FE">
              <w:rPr>
                <w:rFonts w:eastAsia="Calibri" w:cstheme="minorHAnsi"/>
                <w:color w:val="auto"/>
              </w:rPr>
              <w:t>,</w:t>
            </w:r>
            <w:r w:rsidRPr="009D7CF6">
              <w:rPr>
                <w:rFonts w:eastAsia="Calibri" w:cstheme="minorHAnsi"/>
                <w:color w:val="auto"/>
              </w:rPr>
              <w:t>0</w:t>
            </w:r>
          </w:p>
        </w:tc>
        <w:tc>
          <w:tcPr>
            <w:tcW w:w="5807" w:type="dxa"/>
            <w:gridSpan w:val="2"/>
            <w:tcBorders>
              <w:top w:val="single" w:sz="4" w:space="0" w:color="auto"/>
              <w:bottom w:val="single" w:sz="4" w:space="0" w:color="auto"/>
              <w:right w:val="single" w:sz="4" w:space="0" w:color="auto"/>
            </w:tcBorders>
          </w:tcPr>
          <w:p w14:paraId="07EF749D" w14:textId="289DB81D" w:rsidR="00B51CA5" w:rsidRPr="009D7CF6" w:rsidRDefault="00B51CA5" w:rsidP="00B51CA5">
            <w:pPr>
              <w:rPr>
                <w:rFonts w:cstheme="minorHAnsi"/>
                <w:color w:val="auto"/>
              </w:rPr>
            </w:pPr>
            <w:r w:rsidRPr="009D7CF6">
              <w:rPr>
                <w:rFonts w:eastAsia="Calibri" w:cstheme="minorHAnsi"/>
                <w:color w:val="auto"/>
              </w:rPr>
              <w:t>≥ 2</w:t>
            </w:r>
            <w:r w:rsidR="000341FE">
              <w:rPr>
                <w:rFonts w:eastAsia="Calibri" w:cstheme="minorHAnsi"/>
                <w:color w:val="auto"/>
              </w:rPr>
              <w:t>,0</w:t>
            </w:r>
            <w:r w:rsidRPr="009D7CF6">
              <w:rPr>
                <w:rFonts w:eastAsia="Calibri" w:cstheme="minorHAnsi"/>
                <w:color w:val="auto"/>
              </w:rPr>
              <w:t xml:space="preserve"> (pagal teisės aktus privalomas rodiklis)</w:t>
            </w:r>
          </w:p>
        </w:tc>
      </w:tr>
    </w:tbl>
    <w:p w14:paraId="683531A1" w14:textId="0615E2B1" w:rsidR="004734B5" w:rsidRPr="009D7CF6" w:rsidRDefault="00223035" w:rsidP="004734B5">
      <w:pPr>
        <w:rPr>
          <w:rFonts w:asciiTheme="minorHAnsi" w:hAnsiTheme="minorHAnsi" w:cstheme="minorHAnsi"/>
          <w:b/>
          <w:bCs/>
          <w:sz w:val="20"/>
        </w:rPr>
      </w:pPr>
      <w:r w:rsidRPr="009D7CF6">
        <w:rPr>
          <w:rFonts w:asciiTheme="minorHAnsi" w:hAnsiTheme="minorHAnsi" w:cstheme="minorHAnsi"/>
          <w:b/>
          <w:bCs/>
          <w:sz w:val="20"/>
        </w:rPr>
        <w:t>PASTABOS:</w:t>
      </w:r>
    </w:p>
    <w:p w14:paraId="6A7C2EDA" w14:textId="77777777" w:rsidR="00223035" w:rsidRPr="009D7CF6" w:rsidRDefault="00223035" w:rsidP="00223035">
      <w:pPr>
        <w:pStyle w:val="FootnoteText"/>
        <w:ind w:firstLine="0"/>
        <w:rPr>
          <w:rFonts w:asciiTheme="minorHAnsi" w:hAnsiTheme="minorHAnsi" w:cstheme="minorHAnsi"/>
        </w:rPr>
      </w:pPr>
      <w:r w:rsidRPr="009D7CF6">
        <w:rPr>
          <w:rStyle w:val="FootnoteReference"/>
          <w:rFonts w:asciiTheme="minorHAnsi" w:hAnsiTheme="minorHAnsi" w:cstheme="minorHAnsi"/>
        </w:rPr>
        <w:footnoteRef/>
      </w:r>
      <w:r w:rsidRPr="009D7CF6">
        <w:rPr>
          <w:rFonts w:asciiTheme="minorHAnsi" w:hAnsiTheme="minorHAnsi" w:cstheme="minorHAns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580589AC" w14:textId="77777777" w:rsidR="00223035" w:rsidRDefault="00223035" w:rsidP="004734B5">
      <w:pPr>
        <w:rPr>
          <w:rFonts w:asciiTheme="minorHAnsi" w:hAnsiTheme="minorHAnsi" w:cstheme="minorHAnsi"/>
        </w:rPr>
      </w:pPr>
    </w:p>
    <w:p w14:paraId="43B3B48B" w14:textId="77777777" w:rsidR="007B29AF" w:rsidRDefault="007B29AF" w:rsidP="004734B5">
      <w:pPr>
        <w:rPr>
          <w:rFonts w:asciiTheme="minorHAnsi" w:hAnsiTheme="minorHAnsi" w:cstheme="minorHAnsi"/>
        </w:rPr>
      </w:pPr>
    </w:p>
    <w:p w14:paraId="5FD57E52" w14:textId="77777777" w:rsidR="007B29AF" w:rsidRDefault="007B29AF" w:rsidP="004734B5">
      <w:pPr>
        <w:rPr>
          <w:rFonts w:asciiTheme="minorHAnsi" w:hAnsiTheme="minorHAnsi" w:cstheme="minorHAnsi"/>
        </w:rPr>
      </w:pPr>
    </w:p>
    <w:p w14:paraId="7705C5FE" w14:textId="77777777" w:rsidR="007B29AF" w:rsidRPr="009D7CF6" w:rsidRDefault="007B29AF" w:rsidP="004734B5">
      <w:pPr>
        <w:rPr>
          <w:rFonts w:asciiTheme="minorHAnsi" w:hAnsiTheme="minorHAnsi" w:cstheme="minorHAns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4812"/>
        <w:gridCol w:w="2065"/>
        <w:gridCol w:w="3852"/>
      </w:tblGrid>
      <w:tr w:rsidR="004734B5" w:rsidRPr="009D7CF6" w14:paraId="4742CF6B"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5BBDE047" w14:textId="707F4C30" w:rsidR="004734B5" w:rsidRPr="009D7CF6" w:rsidRDefault="00F25B8F" w:rsidP="00AB235A">
            <w:pPr>
              <w:rPr>
                <w:rFonts w:asciiTheme="minorHAnsi" w:hAnsiTheme="minorHAnsi" w:cstheme="minorHAnsi"/>
              </w:rPr>
            </w:pPr>
            <w:r w:rsidRPr="009D7CF6">
              <w:rPr>
                <w:rFonts w:asciiTheme="minorHAnsi" w:hAnsiTheme="minorHAnsi" w:cstheme="minorHAnsi"/>
              </w:rPr>
              <w:lastRenderedPageBreak/>
              <w:t>10</w:t>
            </w:r>
            <w:r w:rsidR="004734B5" w:rsidRPr="009D7CF6">
              <w:rPr>
                <w:rFonts w:asciiTheme="minorHAnsi" w:hAnsiTheme="minorHAnsi" w:cstheme="minorHAnsi"/>
              </w:rPr>
              <w:t>. lentelė. Rodiklis: NEĮVYKĘ pirkimai</w:t>
            </w:r>
            <w:r w:rsidR="004E00D7" w:rsidRPr="009D7CF6">
              <w:rPr>
                <w:rFonts w:asciiTheme="minorHAnsi" w:hAnsiTheme="minorHAnsi" w:cstheme="minorHAnsi"/>
                <w:vertAlign w:val="superscript"/>
              </w:rPr>
              <w:t>1</w:t>
            </w:r>
          </w:p>
        </w:tc>
        <w:tc>
          <w:tcPr>
            <w:tcW w:w="3780" w:type="dxa"/>
            <w:tcBorders>
              <w:top w:val="nil"/>
              <w:left w:val="nil"/>
              <w:bottom w:val="nil"/>
              <w:right w:val="nil"/>
            </w:tcBorders>
          </w:tcPr>
          <w:p w14:paraId="1E51E820" w14:textId="77777777" w:rsidR="004734B5" w:rsidRPr="009D7CF6" w:rsidRDefault="004734B5" w:rsidP="00AB235A">
            <w:pPr>
              <w:rPr>
                <w:rFonts w:asciiTheme="minorHAnsi" w:hAnsiTheme="minorHAnsi" w:cstheme="minorHAnsi"/>
              </w:rPr>
            </w:pPr>
          </w:p>
        </w:tc>
      </w:tr>
      <w:tr w:rsidR="004734B5" w:rsidRPr="009D7CF6" w14:paraId="6BF1B2F5" w14:textId="77777777" w:rsidTr="00AB235A">
        <w:tc>
          <w:tcPr>
            <w:tcW w:w="2790" w:type="dxa"/>
            <w:tcBorders>
              <w:top w:val="single" w:sz="4" w:space="0" w:color="auto"/>
            </w:tcBorders>
          </w:tcPr>
          <w:p w14:paraId="691C13C3" w14:textId="77777777" w:rsidR="004734B5" w:rsidRPr="009D7CF6" w:rsidRDefault="004734B5" w:rsidP="00AB235A">
            <w:pPr>
              <w:rPr>
                <w:rFonts w:cstheme="minorHAnsi"/>
                <w:b/>
                <w:bCs/>
                <w:color w:val="auto"/>
              </w:rPr>
            </w:pPr>
            <w:r w:rsidRPr="009D7CF6">
              <w:rPr>
                <w:rFonts w:cstheme="minorHAnsi"/>
                <w:b/>
                <w:bCs/>
                <w:color w:val="auto"/>
              </w:rPr>
              <w:t>Rodiklio pavadinimas</w:t>
            </w:r>
          </w:p>
        </w:tc>
        <w:tc>
          <w:tcPr>
            <w:tcW w:w="4723" w:type="dxa"/>
            <w:tcBorders>
              <w:top w:val="single" w:sz="4" w:space="0" w:color="auto"/>
              <w:bottom w:val="single" w:sz="4" w:space="0" w:color="auto"/>
            </w:tcBorders>
          </w:tcPr>
          <w:p w14:paraId="752EFC26" w14:textId="77777777" w:rsidR="004734B5" w:rsidRPr="009D7CF6" w:rsidRDefault="004734B5" w:rsidP="00AB235A">
            <w:pPr>
              <w:rPr>
                <w:rFonts w:cstheme="minorHAnsi"/>
                <w:b/>
                <w:bCs/>
                <w:color w:val="auto"/>
              </w:rPr>
            </w:pPr>
            <w:r w:rsidRPr="009D7CF6">
              <w:rPr>
                <w:rFonts w:cstheme="minorHAns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268C359E" w14:textId="77777777" w:rsidR="004734B5" w:rsidRPr="009D7CF6" w:rsidRDefault="004734B5" w:rsidP="00AB235A">
            <w:pPr>
              <w:rPr>
                <w:rFonts w:cstheme="minorHAnsi"/>
                <w:color w:val="auto"/>
              </w:rPr>
            </w:pPr>
            <w:r w:rsidRPr="009D7CF6">
              <w:rPr>
                <w:rFonts w:cstheme="minorHAnsi"/>
                <w:b/>
                <w:bCs/>
                <w:color w:val="auto"/>
              </w:rPr>
              <w:t>LR vidutinė rodiklio reikšmė</w:t>
            </w:r>
          </w:p>
        </w:tc>
      </w:tr>
      <w:tr w:rsidR="00933FC1" w:rsidRPr="009D7CF6" w14:paraId="68873A7C" w14:textId="77777777" w:rsidTr="00AB235A">
        <w:tc>
          <w:tcPr>
            <w:tcW w:w="2790" w:type="dxa"/>
          </w:tcPr>
          <w:p w14:paraId="326B4290" w14:textId="77777777" w:rsidR="00933FC1" w:rsidRPr="009D7CF6" w:rsidRDefault="00933FC1" w:rsidP="00933FC1">
            <w:pPr>
              <w:rPr>
                <w:rFonts w:cstheme="minorHAnsi"/>
                <w:color w:val="auto"/>
              </w:rPr>
            </w:pPr>
            <w:r w:rsidRPr="009D7CF6">
              <w:rPr>
                <w:rFonts w:cstheme="minorHAnsi"/>
                <w:color w:val="auto"/>
              </w:rPr>
              <w:t>Neįvykusių pirkimų skaičius, viso proc.</w:t>
            </w:r>
          </w:p>
        </w:tc>
        <w:tc>
          <w:tcPr>
            <w:tcW w:w="4723" w:type="dxa"/>
            <w:tcBorders>
              <w:top w:val="single" w:sz="4" w:space="0" w:color="auto"/>
              <w:bottom w:val="single" w:sz="4" w:space="0" w:color="auto"/>
            </w:tcBorders>
          </w:tcPr>
          <w:p w14:paraId="57E554F8" w14:textId="2E5D763B" w:rsidR="00933FC1" w:rsidRPr="009D7CF6" w:rsidRDefault="00933FC1" w:rsidP="00933FC1">
            <w:pPr>
              <w:rPr>
                <w:rFonts w:cstheme="minorHAnsi"/>
                <w:color w:val="auto"/>
              </w:rPr>
            </w:pPr>
            <w:r w:rsidRPr="009D7CF6">
              <w:rPr>
                <w:rFonts w:eastAsia="Calibri" w:cstheme="minorHAnsi"/>
                <w:color w:val="auto"/>
              </w:rPr>
              <w:t>15</w:t>
            </w:r>
            <w:r w:rsidR="000341FE">
              <w:rPr>
                <w:rFonts w:eastAsia="Calibri" w:cstheme="minorHAnsi"/>
                <w:color w:val="auto"/>
              </w:rPr>
              <w:t>,</w:t>
            </w:r>
            <w:r w:rsidRPr="009D7CF6">
              <w:rPr>
                <w:rFonts w:eastAsia="Calibri" w:cstheme="minorHAnsi"/>
                <w:color w:val="auto"/>
              </w:rPr>
              <w:t>4</w:t>
            </w:r>
          </w:p>
        </w:tc>
        <w:tc>
          <w:tcPr>
            <w:tcW w:w="5807" w:type="dxa"/>
            <w:gridSpan w:val="2"/>
            <w:tcBorders>
              <w:top w:val="single" w:sz="4" w:space="0" w:color="auto"/>
              <w:bottom w:val="single" w:sz="4" w:space="0" w:color="auto"/>
              <w:right w:val="single" w:sz="4" w:space="0" w:color="auto"/>
            </w:tcBorders>
          </w:tcPr>
          <w:p w14:paraId="13F992F3" w14:textId="5B1C9C7C" w:rsidR="00933FC1" w:rsidRPr="009D7CF6" w:rsidRDefault="00933FC1" w:rsidP="00933FC1">
            <w:pPr>
              <w:rPr>
                <w:rFonts w:cstheme="minorHAnsi"/>
                <w:color w:val="auto"/>
              </w:rPr>
            </w:pPr>
            <w:r w:rsidRPr="009D7CF6">
              <w:rPr>
                <w:rFonts w:eastAsia="Calibri" w:cstheme="minorHAnsi"/>
                <w:color w:val="auto"/>
              </w:rPr>
              <w:t>22,</w:t>
            </w:r>
            <w:r w:rsidR="002B39BE" w:rsidRPr="009D7CF6">
              <w:rPr>
                <w:rFonts w:eastAsia="Calibri" w:cstheme="minorHAnsi"/>
                <w:color w:val="auto"/>
              </w:rPr>
              <w:t>3</w:t>
            </w:r>
            <w:r w:rsidRPr="009D7CF6">
              <w:rPr>
                <w:rFonts w:eastAsia="Calibri" w:cstheme="minorHAnsi"/>
                <w:color w:val="auto"/>
              </w:rPr>
              <w:t xml:space="preserve"> (LR vidutinė rodiklio reikšmė)</w:t>
            </w:r>
          </w:p>
        </w:tc>
      </w:tr>
      <w:tr w:rsidR="00933FC1" w:rsidRPr="009D7CF6" w14:paraId="415CBC83" w14:textId="77777777" w:rsidTr="00AB235A">
        <w:tc>
          <w:tcPr>
            <w:tcW w:w="2790" w:type="dxa"/>
          </w:tcPr>
          <w:p w14:paraId="26DB8875" w14:textId="77777777" w:rsidR="00933FC1" w:rsidRPr="009D7CF6" w:rsidRDefault="00933FC1" w:rsidP="00933FC1">
            <w:pPr>
              <w:rPr>
                <w:rFonts w:cstheme="minorHAnsi"/>
                <w:color w:val="auto"/>
              </w:rPr>
            </w:pPr>
            <w:r w:rsidRPr="009D7CF6">
              <w:rPr>
                <w:rFonts w:cstheme="minorHAnsi"/>
                <w:color w:val="auto"/>
              </w:rPr>
              <w:t>Nutraukus pirkimo procedūras, proc.</w:t>
            </w:r>
          </w:p>
        </w:tc>
        <w:tc>
          <w:tcPr>
            <w:tcW w:w="4723" w:type="dxa"/>
            <w:tcBorders>
              <w:top w:val="single" w:sz="4" w:space="0" w:color="auto"/>
              <w:bottom w:val="single" w:sz="4" w:space="0" w:color="auto"/>
            </w:tcBorders>
          </w:tcPr>
          <w:p w14:paraId="4F0EA913" w14:textId="0C8822A6" w:rsidR="00933FC1" w:rsidRPr="009D7CF6" w:rsidRDefault="00D54427" w:rsidP="00933FC1">
            <w:pPr>
              <w:rPr>
                <w:rFonts w:cstheme="minorHAnsi"/>
                <w:color w:val="auto"/>
              </w:rPr>
            </w:pPr>
            <w:r w:rsidRPr="009D7CF6">
              <w:rPr>
                <w:rFonts w:cstheme="minorHAnsi"/>
                <w:color w:val="auto"/>
              </w:rPr>
              <w:t>4,62</w:t>
            </w:r>
          </w:p>
        </w:tc>
        <w:tc>
          <w:tcPr>
            <w:tcW w:w="5807" w:type="dxa"/>
            <w:gridSpan w:val="2"/>
            <w:tcBorders>
              <w:top w:val="single" w:sz="4" w:space="0" w:color="auto"/>
              <w:bottom w:val="single" w:sz="4" w:space="0" w:color="auto"/>
              <w:right w:val="single" w:sz="4" w:space="0" w:color="auto"/>
            </w:tcBorders>
          </w:tcPr>
          <w:p w14:paraId="00791D11" w14:textId="2AD34907" w:rsidR="00933FC1" w:rsidRPr="009D7CF6" w:rsidRDefault="00933FC1" w:rsidP="00933FC1">
            <w:pPr>
              <w:rPr>
                <w:rFonts w:cstheme="minorHAnsi"/>
                <w:color w:val="auto"/>
              </w:rPr>
            </w:pPr>
            <w:r w:rsidRPr="009D7CF6">
              <w:rPr>
                <w:rFonts w:eastAsia="Calibri" w:cstheme="minorHAnsi"/>
                <w:color w:val="auto"/>
              </w:rPr>
              <w:t>6,</w:t>
            </w:r>
            <w:r w:rsidR="000C1223" w:rsidRPr="009D7CF6">
              <w:rPr>
                <w:rFonts w:eastAsia="Calibri" w:cstheme="minorHAnsi"/>
                <w:color w:val="auto"/>
              </w:rPr>
              <w:t>33</w:t>
            </w:r>
            <w:r w:rsidRPr="009D7CF6">
              <w:rPr>
                <w:rFonts w:eastAsia="Calibri" w:cstheme="minorHAnsi"/>
                <w:color w:val="auto"/>
              </w:rPr>
              <w:t xml:space="preserve"> (LR vidutinė rodiklio reikšmė)</w:t>
            </w:r>
          </w:p>
        </w:tc>
      </w:tr>
      <w:tr w:rsidR="00933FC1" w:rsidRPr="009D7CF6" w14:paraId="187C4F89" w14:textId="77777777" w:rsidTr="00AB235A">
        <w:tc>
          <w:tcPr>
            <w:tcW w:w="2790" w:type="dxa"/>
          </w:tcPr>
          <w:p w14:paraId="1DB8D54B" w14:textId="77777777" w:rsidR="00933FC1" w:rsidRPr="009D7CF6" w:rsidRDefault="00933FC1" w:rsidP="00933FC1">
            <w:pPr>
              <w:rPr>
                <w:rFonts w:cstheme="minorHAnsi"/>
                <w:color w:val="auto"/>
              </w:rPr>
            </w:pPr>
            <w:r w:rsidRPr="009D7CF6">
              <w:rPr>
                <w:rFonts w:cstheme="minorHAnsi"/>
                <w:color w:val="auto"/>
              </w:rPr>
              <w:t>Atmetus visas paraiškas, pasiūlymus, proc.</w:t>
            </w:r>
          </w:p>
        </w:tc>
        <w:tc>
          <w:tcPr>
            <w:tcW w:w="4723" w:type="dxa"/>
            <w:tcBorders>
              <w:top w:val="single" w:sz="4" w:space="0" w:color="auto"/>
              <w:bottom w:val="single" w:sz="4" w:space="0" w:color="auto"/>
            </w:tcBorders>
          </w:tcPr>
          <w:p w14:paraId="56DB6C2C" w14:textId="4CA0447A" w:rsidR="00933FC1" w:rsidRPr="009D7CF6" w:rsidRDefault="00D54427" w:rsidP="00933FC1">
            <w:pPr>
              <w:rPr>
                <w:rFonts w:cstheme="minorHAnsi"/>
                <w:color w:val="auto"/>
              </w:rPr>
            </w:pPr>
            <w:r w:rsidRPr="009D7CF6">
              <w:rPr>
                <w:rFonts w:cstheme="minorHAnsi"/>
                <w:color w:val="auto"/>
              </w:rPr>
              <w:t>8,</w:t>
            </w:r>
            <w:r w:rsidR="0041235C" w:rsidRPr="009D7CF6">
              <w:rPr>
                <w:rFonts w:cstheme="minorHAnsi"/>
                <w:color w:val="auto"/>
              </w:rPr>
              <w:t>08</w:t>
            </w:r>
          </w:p>
        </w:tc>
        <w:tc>
          <w:tcPr>
            <w:tcW w:w="5807" w:type="dxa"/>
            <w:gridSpan w:val="2"/>
            <w:tcBorders>
              <w:top w:val="single" w:sz="4" w:space="0" w:color="auto"/>
              <w:bottom w:val="single" w:sz="4" w:space="0" w:color="auto"/>
              <w:right w:val="single" w:sz="4" w:space="0" w:color="auto"/>
            </w:tcBorders>
          </w:tcPr>
          <w:p w14:paraId="3AD1AA3A" w14:textId="1362FCC9" w:rsidR="00933FC1" w:rsidRPr="009D7CF6" w:rsidRDefault="00933FC1" w:rsidP="00933FC1">
            <w:pPr>
              <w:rPr>
                <w:rFonts w:cstheme="minorHAnsi"/>
                <w:color w:val="auto"/>
              </w:rPr>
            </w:pPr>
            <w:r w:rsidRPr="009D7CF6">
              <w:rPr>
                <w:rFonts w:eastAsia="Calibri" w:cstheme="minorHAnsi"/>
                <w:color w:val="auto"/>
              </w:rPr>
              <w:t>7,7</w:t>
            </w:r>
            <w:r w:rsidR="000C1223" w:rsidRPr="009D7CF6">
              <w:rPr>
                <w:rFonts w:eastAsia="Calibri" w:cstheme="minorHAnsi"/>
                <w:color w:val="auto"/>
              </w:rPr>
              <w:t>3</w:t>
            </w:r>
            <w:r w:rsidRPr="009D7CF6">
              <w:rPr>
                <w:rFonts w:eastAsia="Calibri" w:cstheme="minorHAnsi"/>
                <w:color w:val="auto"/>
              </w:rPr>
              <w:t xml:space="preserve"> (LR vidutinė rodiklio reikšmė)</w:t>
            </w:r>
          </w:p>
        </w:tc>
      </w:tr>
      <w:tr w:rsidR="00933FC1" w:rsidRPr="009D7CF6" w14:paraId="725E49D5" w14:textId="77777777" w:rsidTr="00AB235A">
        <w:tc>
          <w:tcPr>
            <w:tcW w:w="2790" w:type="dxa"/>
          </w:tcPr>
          <w:p w14:paraId="7403F3CA" w14:textId="77777777" w:rsidR="00933FC1" w:rsidRPr="009D7CF6" w:rsidRDefault="00933FC1" w:rsidP="00933FC1">
            <w:pPr>
              <w:rPr>
                <w:rFonts w:cstheme="minorHAnsi"/>
                <w:color w:val="auto"/>
              </w:rPr>
            </w:pPr>
            <w:r w:rsidRPr="009D7CF6">
              <w:rPr>
                <w:rFonts w:cstheme="minorHAnsi"/>
                <w:color w:val="auto"/>
              </w:rPr>
              <w:t>Per nustatytą terminą tiekėjams nepateikus nei vienos paraiškos, pasiūlymo, proc.</w:t>
            </w:r>
          </w:p>
        </w:tc>
        <w:tc>
          <w:tcPr>
            <w:tcW w:w="4723" w:type="dxa"/>
            <w:tcBorders>
              <w:top w:val="single" w:sz="4" w:space="0" w:color="auto"/>
              <w:bottom w:val="single" w:sz="4" w:space="0" w:color="auto"/>
            </w:tcBorders>
          </w:tcPr>
          <w:p w14:paraId="56AC6EFD" w14:textId="2B63B317" w:rsidR="00933FC1" w:rsidRPr="009D7CF6" w:rsidRDefault="00003D58" w:rsidP="00933FC1">
            <w:pPr>
              <w:rPr>
                <w:rFonts w:cstheme="minorHAnsi"/>
                <w:color w:val="auto"/>
              </w:rPr>
            </w:pPr>
            <w:r w:rsidRPr="009D7CF6">
              <w:rPr>
                <w:rFonts w:cstheme="minorHAnsi"/>
                <w:color w:val="auto"/>
              </w:rPr>
              <w:t>2,</w:t>
            </w:r>
            <w:r w:rsidR="0041235C" w:rsidRPr="009D7CF6">
              <w:rPr>
                <w:rFonts w:cstheme="minorHAnsi"/>
                <w:color w:val="auto"/>
              </w:rPr>
              <w:t>7</w:t>
            </w:r>
          </w:p>
        </w:tc>
        <w:tc>
          <w:tcPr>
            <w:tcW w:w="5807" w:type="dxa"/>
            <w:gridSpan w:val="2"/>
            <w:tcBorders>
              <w:top w:val="single" w:sz="4" w:space="0" w:color="auto"/>
              <w:bottom w:val="single" w:sz="4" w:space="0" w:color="auto"/>
              <w:right w:val="single" w:sz="4" w:space="0" w:color="auto"/>
            </w:tcBorders>
          </w:tcPr>
          <w:p w14:paraId="302ABB40" w14:textId="261F59FE" w:rsidR="00933FC1" w:rsidRPr="009D7CF6" w:rsidRDefault="00933FC1" w:rsidP="00933FC1">
            <w:pPr>
              <w:rPr>
                <w:rFonts w:cstheme="minorHAnsi"/>
                <w:color w:val="auto"/>
              </w:rPr>
            </w:pPr>
            <w:r w:rsidRPr="009D7CF6">
              <w:rPr>
                <w:rFonts w:eastAsia="Calibri" w:cstheme="minorHAnsi"/>
                <w:color w:val="auto"/>
              </w:rPr>
              <w:t>7,</w:t>
            </w:r>
            <w:r w:rsidR="000C1223" w:rsidRPr="009D7CF6">
              <w:rPr>
                <w:rFonts w:eastAsia="Calibri" w:cstheme="minorHAnsi"/>
                <w:color w:val="auto"/>
              </w:rPr>
              <w:t>9</w:t>
            </w:r>
            <w:r w:rsidRPr="009D7CF6">
              <w:rPr>
                <w:rFonts w:eastAsia="Calibri" w:cstheme="minorHAnsi"/>
                <w:color w:val="auto"/>
              </w:rPr>
              <w:t xml:space="preserve"> (LR vidutinė rodiklio reikšmė)</w:t>
            </w:r>
          </w:p>
        </w:tc>
      </w:tr>
      <w:tr w:rsidR="00933FC1" w:rsidRPr="009D7CF6" w14:paraId="6C168FC6" w14:textId="77777777" w:rsidTr="00644867">
        <w:tc>
          <w:tcPr>
            <w:tcW w:w="2790" w:type="dxa"/>
            <w:tcBorders>
              <w:bottom w:val="single" w:sz="4" w:space="0" w:color="auto"/>
            </w:tcBorders>
          </w:tcPr>
          <w:p w14:paraId="26436A70" w14:textId="77777777" w:rsidR="00933FC1" w:rsidRPr="009D7CF6" w:rsidRDefault="00933FC1" w:rsidP="00933FC1">
            <w:pPr>
              <w:rPr>
                <w:rFonts w:cstheme="minorHAnsi"/>
                <w:color w:val="auto"/>
              </w:rPr>
            </w:pPr>
            <w:r w:rsidRPr="009D7CF6">
              <w:rPr>
                <w:rFonts w:cstheme="minorHAnsi"/>
                <w:color w:val="auto"/>
              </w:rPr>
              <w:t>Pasibaigus pasiūlymų galiojimo laikui ir nesudarius pirkimo sutarties ar preliminariosios sutarties dėl priežasčių, kurios priklausė nuo tiekėjų, proc.</w:t>
            </w:r>
          </w:p>
        </w:tc>
        <w:tc>
          <w:tcPr>
            <w:tcW w:w="4723" w:type="dxa"/>
            <w:tcBorders>
              <w:top w:val="single" w:sz="4" w:space="0" w:color="auto"/>
              <w:bottom w:val="single" w:sz="4" w:space="0" w:color="auto"/>
            </w:tcBorders>
          </w:tcPr>
          <w:p w14:paraId="0357207C" w14:textId="7F32133E" w:rsidR="00933FC1" w:rsidRPr="009D7CF6" w:rsidRDefault="00D620FE" w:rsidP="00933FC1">
            <w:pPr>
              <w:rPr>
                <w:rFonts w:cstheme="minorHAnsi"/>
                <w:color w:val="auto"/>
              </w:rPr>
            </w:pPr>
            <w:r w:rsidRPr="009D7CF6">
              <w:rPr>
                <w:rFonts w:cstheme="minorHAnsi"/>
                <w:color w:val="auto"/>
              </w:rPr>
              <w:t>0</w:t>
            </w:r>
            <w:r w:rsidR="000341FE">
              <w:rPr>
                <w:rFonts w:cstheme="minorHAnsi"/>
                <w:color w:val="auto"/>
              </w:rPr>
              <w:t>,0</w:t>
            </w:r>
          </w:p>
        </w:tc>
        <w:tc>
          <w:tcPr>
            <w:tcW w:w="5807" w:type="dxa"/>
            <w:gridSpan w:val="2"/>
            <w:tcBorders>
              <w:top w:val="single" w:sz="4" w:space="0" w:color="auto"/>
              <w:bottom w:val="single" w:sz="4" w:space="0" w:color="auto"/>
              <w:right w:val="single" w:sz="4" w:space="0" w:color="auto"/>
            </w:tcBorders>
          </w:tcPr>
          <w:p w14:paraId="4085E7B3" w14:textId="165468FD" w:rsidR="00933FC1" w:rsidRPr="009D7CF6" w:rsidRDefault="00933FC1" w:rsidP="00933FC1">
            <w:pPr>
              <w:rPr>
                <w:rFonts w:cstheme="minorHAnsi"/>
                <w:color w:val="auto"/>
              </w:rPr>
            </w:pPr>
            <w:r w:rsidRPr="009D7CF6">
              <w:rPr>
                <w:rFonts w:eastAsia="Calibri" w:cstheme="minorHAnsi"/>
                <w:color w:val="auto"/>
              </w:rPr>
              <w:t>0,</w:t>
            </w:r>
            <w:r w:rsidR="000C1223" w:rsidRPr="009D7CF6">
              <w:rPr>
                <w:rFonts w:eastAsia="Calibri" w:cstheme="minorHAnsi"/>
                <w:color w:val="auto"/>
              </w:rPr>
              <w:t>09</w:t>
            </w:r>
            <w:r w:rsidRPr="009D7CF6">
              <w:rPr>
                <w:rFonts w:eastAsia="Calibri" w:cstheme="minorHAnsi"/>
                <w:color w:val="auto"/>
              </w:rPr>
              <w:t xml:space="preserve"> (LR vidutinė rodiklio reikšmė)</w:t>
            </w:r>
          </w:p>
        </w:tc>
      </w:tr>
      <w:tr w:rsidR="00933FC1" w:rsidRPr="009D7CF6" w14:paraId="415294DF" w14:textId="77777777" w:rsidTr="00644867">
        <w:tc>
          <w:tcPr>
            <w:tcW w:w="2790" w:type="dxa"/>
            <w:tcBorders>
              <w:bottom w:val="single" w:sz="4" w:space="0" w:color="auto"/>
            </w:tcBorders>
          </w:tcPr>
          <w:p w14:paraId="38967F4A" w14:textId="77777777" w:rsidR="00933FC1" w:rsidRPr="009D7CF6" w:rsidRDefault="00933FC1" w:rsidP="00933FC1">
            <w:pPr>
              <w:rPr>
                <w:rFonts w:cstheme="minorHAnsi"/>
                <w:color w:val="auto"/>
              </w:rPr>
            </w:pPr>
            <w:r w:rsidRPr="009D7CF6">
              <w:rPr>
                <w:rFonts w:cstheme="minorHAnsi"/>
                <w:color w:val="auto"/>
              </w:rPr>
              <w:t>Visiems tiekėjams atšaukus pasiūlymus ar atsisakius sudaryti pirkimo sutartį, proc.</w:t>
            </w:r>
          </w:p>
        </w:tc>
        <w:tc>
          <w:tcPr>
            <w:tcW w:w="4723" w:type="dxa"/>
            <w:tcBorders>
              <w:top w:val="single" w:sz="4" w:space="0" w:color="auto"/>
              <w:bottom w:val="single" w:sz="4" w:space="0" w:color="auto"/>
            </w:tcBorders>
          </w:tcPr>
          <w:p w14:paraId="009E0424" w14:textId="33BB7C6F" w:rsidR="00933FC1" w:rsidRPr="009D7CF6" w:rsidRDefault="00B93949" w:rsidP="00933FC1">
            <w:pPr>
              <w:rPr>
                <w:rFonts w:cstheme="minorHAnsi"/>
                <w:color w:val="auto"/>
              </w:rPr>
            </w:pPr>
            <w:r w:rsidRPr="009D7CF6">
              <w:rPr>
                <w:rFonts w:cstheme="minorHAnsi"/>
                <w:color w:val="auto"/>
              </w:rPr>
              <w:t>0</w:t>
            </w:r>
            <w:r w:rsidR="000341FE">
              <w:rPr>
                <w:rFonts w:cstheme="minorHAnsi"/>
                <w:color w:val="auto"/>
              </w:rPr>
              <w:t>,0</w:t>
            </w:r>
          </w:p>
        </w:tc>
        <w:tc>
          <w:tcPr>
            <w:tcW w:w="5807" w:type="dxa"/>
            <w:gridSpan w:val="2"/>
            <w:tcBorders>
              <w:top w:val="single" w:sz="4" w:space="0" w:color="auto"/>
              <w:bottom w:val="single" w:sz="4" w:space="0" w:color="auto"/>
              <w:right w:val="single" w:sz="4" w:space="0" w:color="auto"/>
            </w:tcBorders>
          </w:tcPr>
          <w:p w14:paraId="49118CC7" w14:textId="46DB8209" w:rsidR="00933FC1" w:rsidRPr="009D7CF6" w:rsidRDefault="00933FC1" w:rsidP="00933FC1">
            <w:pPr>
              <w:rPr>
                <w:rFonts w:cstheme="minorHAnsi"/>
                <w:color w:val="auto"/>
              </w:rPr>
            </w:pPr>
            <w:r w:rsidRPr="009D7CF6">
              <w:rPr>
                <w:rFonts w:eastAsia="Calibri" w:cstheme="minorHAnsi"/>
                <w:color w:val="auto"/>
              </w:rPr>
              <w:t>0,25 (LR vidutinė rodiklio reikšmė)</w:t>
            </w:r>
          </w:p>
        </w:tc>
      </w:tr>
      <w:tr w:rsidR="005F129A" w:rsidRPr="009D7CF6" w14:paraId="267F7788" w14:textId="77777777" w:rsidTr="00644867">
        <w:tc>
          <w:tcPr>
            <w:tcW w:w="13320" w:type="dxa"/>
            <w:gridSpan w:val="4"/>
            <w:tcBorders>
              <w:top w:val="single" w:sz="4" w:space="0" w:color="auto"/>
              <w:left w:val="nil"/>
              <w:bottom w:val="nil"/>
              <w:right w:val="nil"/>
            </w:tcBorders>
          </w:tcPr>
          <w:p w14:paraId="3EAC4675" w14:textId="77777777" w:rsidR="005F129A" w:rsidRPr="009D7CF6" w:rsidRDefault="005F129A" w:rsidP="005F129A">
            <w:pPr>
              <w:rPr>
                <w:rFonts w:cstheme="minorHAnsi"/>
                <w:b/>
                <w:bCs/>
                <w:color w:val="auto"/>
              </w:rPr>
            </w:pPr>
            <w:r w:rsidRPr="009D7CF6">
              <w:rPr>
                <w:rFonts w:cstheme="minorHAnsi"/>
                <w:b/>
                <w:bCs/>
                <w:color w:val="auto"/>
              </w:rPr>
              <w:t>PASTABOS:</w:t>
            </w:r>
          </w:p>
          <w:p w14:paraId="7BCA99E9" w14:textId="1655D502" w:rsidR="005F129A" w:rsidRPr="009D7CF6" w:rsidRDefault="005F129A" w:rsidP="005F129A">
            <w:pPr>
              <w:rPr>
                <w:rFonts w:cstheme="minorHAnsi"/>
                <w:b/>
                <w:bCs/>
                <w:color w:val="auto"/>
              </w:rPr>
            </w:pPr>
            <w:r w:rsidRPr="009D7CF6">
              <w:rPr>
                <w:rStyle w:val="FootnoteReference"/>
                <w:rFonts w:cstheme="minorHAnsi"/>
                <w:color w:val="auto"/>
              </w:rPr>
              <w:footnoteRef/>
            </w:r>
            <w:r w:rsidRPr="009D7CF6">
              <w:rPr>
                <w:rFonts w:cstheme="minorHAns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562FC41B" w14:textId="18174C9E" w:rsidR="004734B5" w:rsidRPr="009D7CF6" w:rsidRDefault="008C1A46" w:rsidP="008C1A46">
      <w:pPr>
        <w:pStyle w:val="Heading1"/>
        <w:spacing w:before="240"/>
        <w:ind w:left="142" w:right="142"/>
        <w:rPr>
          <w:rFonts w:asciiTheme="minorHAnsi" w:hAnsiTheme="minorHAnsi" w:cstheme="minorHAnsi"/>
        </w:rPr>
      </w:pPr>
      <w:r w:rsidRPr="009D7CF6">
        <w:rPr>
          <w:rFonts w:asciiTheme="minorHAnsi" w:hAnsiTheme="minorHAnsi" w:cstheme="minorHAnsi"/>
        </w:rPr>
        <w:t xml:space="preserve">C. </w:t>
      </w:r>
      <w:r w:rsidR="004734B5" w:rsidRPr="009D7CF6">
        <w:rPr>
          <w:rFonts w:asciiTheme="minorHAnsi" w:hAnsiTheme="minorHAnsi" w:cstheme="minorHAnsi"/>
        </w:rPr>
        <w:t xml:space="preserve">Sutarties vykdymo etapo valdysena </w:t>
      </w:r>
    </w:p>
    <w:tbl>
      <w:tblPr>
        <w:tblStyle w:val="Bsenataskaitoslentel"/>
        <w:tblW w:w="5000" w:type="pct"/>
        <w:tblLayout w:type="fixed"/>
        <w:tblLook w:val="04A0" w:firstRow="1" w:lastRow="0" w:firstColumn="1" w:lastColumn="0" w:noHBand="0" w:noVBand="1"/>
      </w:tblPr>
      <w:tblGrid>
        <w:gridCol w:w="3896"/>
        <w:gridCol w:w="1593"/>
        <w:gridCol w:w="1300"/>
        <w:gridCol w:w="1170"/>
        <w:gridCol w:w="5613"/>
      </w:tblGrid>
      <w:tr w:rsidR="004734B5" w:rsidRPr="009D7CF6" w14:paraId="0A91F56C" w14:textId="77777777" w:rsidTr="00AB235A">
        <w:trPr>
          <w:cnfStyle w:val="100000000000" w:firstRow="1" w:lastRow="0" w:firstColumn="0" w:lastColumn="0" w:oddVBand="0" w:evenVBand="0" w:oddHBand="0" w:evenHBand="0" w:firstRowFirstColumn="0" w:firstRowLastColumn="0" w:lastRowFirstColumn="0" w:lastRowLastColumn="0"/>
        </w:trPr>
        <w:tc>
          <w:tcPr>
            <w:tcW w:w="1435" w:type="pct"/>
            <w:tcBorders>
              <w:top w:val="nil"/>
              <w:left w:val="nil"/>
              <w:bottom w:val="single" w:sz="4" w:space="0" w:color="auto"/>
              <w:right w:val="nil"/>
            </w:tcBorders>
          </w:tcPr>
          <w:p w14:paraId="01831EE6"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Subprocesas</w:t>
            </w:r>
          </w:p>
        </w:tc>
        <w:tc>
          <w:tcPr>
            <w:tcW w:w="587" w:type="pct"/>
            <w:tcBorders>
              <w:top w:val="nil"/>
              <w:left w:val="nil"/>
              <w:bottom w:val="single" w:sz="4" w:space="0" w:color="auto"/>
              <w:right w:val="nil"/>
            </w:tcBorders>
          </w:tcPr>
          <w:p w14:paraId="1E44FDED"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Nepasiekta</w:t>
            </w:r>
          </w:p>
        </w:tc>
        <w:tc>
          <w:tcPr>
            <w:tcW w:w="479" w:type="pct"/>
            <w:tcBorders>
              <w:top w:val="nil"/>
              <w:left w:val="nil"/>
              <w:bottom w:val="single" w:sz="4" w:space="0" w:color="auto"/>
              <w:right w:val="nil"/>
            </w:tcBorders>
          </w:tcPr>
          <w:p w14:paraId="57CE328E" w14:textId="77777777" w:rsidR="004734B5" w:rsidRPr="009D7CF6" w:rsidRDefault="004734B5" w:rsidP="00AB235A">
            <w:pPr>
              <w:rPr>
                <w:rFonts w:asciiTheme="minorHAnsi" w:hAnsiTheme="minorHAnsi" w:cstheme="minorHAnsi"/>
                <w:caps w:val="0"/>
              </w:rPr>
            </w:pPr>
            <w:r w:rsidRPr="009D7CF6">
              <w:rPr>
                <w:rFonts w:asciiTheme="minorHAnsi" w:hAnsiTheme="minorHAnsi" w:cstheme="minorHAnsi"/>
              </w:rPr>
              <w:t>Pasiekta</w:t>
            </w:r>
          </w:p>
        </w:tc>
        <w:tc>
          <w:tcPr>
            <w:tcW w:w="431" w:type="pct"/>
            <w:tcBorders>
              <w:top w:val="nil"/>
              <w:left w:val="nil"/>
              <w:bottom w:val="single" w:sz="4" w:space="0" w:color="auto"/>
              <w:right w:val="nil"/>
            </w:tcBorders>
          </w:tcPr>
          <w:p w14:paraId="1C76658A"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Viršyta</w:t>
            </w:r>
          </w:p>
        </w:tc>
        <w:tc>
          <w:tcPr>
            <w:tcW w:w="2068" w:type="pct"/>
            <w:tcBorders>
              <w:top w:val="nil"/>
              <w:left w:val="nil"/>
              <w:bottom w:val="single" w:sz="4" w:space="0" w:color="auto"/>
              <w:right w:val="nil"/>
            </w:tcBorders>
          </w:tcPr>
          <w:p w14:paraId="0522292A"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Pastabos</w:t>
            </w:r>
          </w:p>
        </w:tc>
      </w:tr>
      <w:tr w:rsidR="00C1720D" w:rsidRPr="00C1720D" w14:paraId="54E82A0E"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1C80D673" w14:textId="77777777" w:rsidR="004734B5" w:rsidRPr="00C1720D" w:rsidRDefault="004734B5" w:rsidP="00AB235A">
            <w:pPr>
              <w:rPr>
                <w:rFonts w:cstheme="minorHAnsi"/>
                <w:color w:val="auto"/>
                <w:highlight w:val="yellow"/>
              </w:rPr>
            </w:pPr>
            <w:r w:rsidRPr="00C1720D">
              <w:rPr>
                <w:rFonts w:cstheme="minorHAnsi"/>
                <w:color w:val="auto"/>
              </w:rPr>
              <w:t>Reglamentavimas</w:t>
            </w:r>
          </w:p>
        </w:tc>
        <w:sdt>
          <w:sdtPr>
            <w:rPr>
              <w:rFonts w:cstheme="minorHAnsi"/>
            </w:rPr>
            <w:id w:val="-288131903"/>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15AFC5AF" w14:textId="380D4554" w:rsidR="004734B5" w:rsidRPr="00C1720D" w:rsidRDefault="00C13249" w:rsidP="00AB235A">
                <w:pPr>
                  <w:rPr>
                    <w:rFonts w:cstheme="minorHAnsi"/>
                    <w:color w:val="auto"/>
                  </w:rPr>
                </w:pPr>
                <w:r w:rsidRPr="00C1720D">
                  <w:rPr>
                    <w:rFonts w:ascii="Times New Roman" w:eastAsia="Times New Roman" w:hAnsi="Times New Roman" w:cs="Segoe UI Symbol"/>
                    <w:color w:val="auto"/>
                  </w:rPr>
                  <w:t>☒</w:t>
                </w:r>
              </w:p>
            </w:tc>
          </w:sdtContent>
        </w:sdt>
        <w:sdt>
          <w:sdtPr>
            <w:rPr>
              <w:rFonts w:cstheme="minorHAnsi"/>
            </w:rPr>
            <w:id w:val="1504771134"/>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133F7E21" w14:textId="60271377" w:rsidR="004734B5" w:rsidRPr="00C1720D" w:rsidRDefault="00C13249" w:rsidP="00AB235A">
                <w:pPr>
                  <w:rPr>
                    <w:rFonts w:cstheme="minorHAnsi"/>
                    <w:color w:val="auto"/>
                  </w:rPr>
                </w:pPr>
                <w:r w:rsidRPr="00C1720D">
                  <w:rPr>
                    <w:rFonts w:ascii="MS Gothic" w:eastAsia="MS Gothic" w:hAnsi="MS Gothic" w:cstheme="minorHAnsi" w:hint="eastAsia"/>
                    <w:color w:val="auto"/>
                  </w:rPr>
                  <w:t>☐</w:t>
                </w:r>
              </w:p>
            </w:tc>
          </w:sdtContent>
        </w:sdt>
        <w:sdt>
          <w:sdtPr>
            <w:rPr>
              <w:rFonts w:cstheme="minorHAnsi"/>
            </w:rPr>
            <w:id w:val="1090279869"/>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5D66A45" w14:textId="3109F900" w:rsidR="004734B5" w:rsidRPr="00C1720D" w:rsidRDefault="00C13249" w:rsidP="00AB235A">
                <w:pPr>
                  <w:rPr>
                    <w:rFonts w:cstheme="minorHAnsi"/>
                    <w:color w:val="auto"/>
                  </w:rPr>
                </w:pPr>
                <w:r w:rsidRPr="00C1720D">
                  <w:rPr>
                    <w:rFonts w:cstheme="minorHAnsi" w:hint="eastAsia"/>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DB787FA" w14:textId="2BD54381" w:rsidR="000F52AA" w:rsidRPr="007B29AF" w:rsidRDefault="00DB618A" w:rsidP="007B29AF">
            <w:pPr>
              <w:rPr>
                <w:rFonts w:cstheme="minorHAnsi"/>
                <w:color w:val="auto"/>
              </w:rPr>
            </w:pPr>
            <w:r w:rsidRPr="00DB618A">
              <w:rPr>
                <w:rFonts w:cstheme="minorHAnsi"/>
                <w:color w:val="auto"/>
              </w:rPr>
              <w:t xml:space="preserve">Tikrinimo metu PV patvirtino išsamų sutarčių valdymo procesus reglamentuojančių dokumentų rinkinį (Vadovą, </w:t>
            </w:r>
            <w:r w:rsidR="00B43F07" w:rsidRPr="00B43F07">
              <w:rPr>
                <w:rFonts w:cstheme="minorHAnsi"/>
                <w:color w:val="auto"/>
              </w:rPr>
              <w:t xml:space="preserve">Sutarčių keitimo </w:t>
            </w:r>
            <w:r w:rsidR="00B43F07" w:rsidRPr="00B43F07">
              <w:rPr>
                <w:rFonts w:cstheme="minorHAnsi"/>
                <w:noProof/>
                <w:color w:val="auto"/>
              </w:rPr>
              <w:t>subproceso</w:t>
            </w:r>
            <w:r w:rsidR="00B43F07" w:rsidRPr="00B43F07">
              <w:rPr>
                <w:rFonts w:cstheme="minorHAnsi"/>
                <w:color w:val="auto"/>
              </w:rPr>
              <w:t xml:space="preserve"> </w:t>
            </w:r>
            <w:r w:rsidRPr="00DB618A">
              <w:rPr>
                <w:rFonts w:cstheme="minorHAnsi"/>
                <w:color w:val="auto"/>
              </w:rPr>
              <w:t xml:space="preserve">standartą, </w:t>
            </w:r>
            <w:r w:rsidR="00B43F07">
              <w:rPr>
                <w:rFonts w:cstheme="minorHAnsi"/>
                <w:color w:val="auto"/>
              </w:rPr>
              <w:t>S</w:t>
            </w:r>
            <w:r w:rsidRPr="00DB618A">
              <w:rPr>
                <w:rFonts w:cstheme="minorHAnsi"/>
                <w:color w:val="auto"/>
              </w:rPr>
              <w:t xml:space="preserve">utarčių nutraukimo </w:t>
            </w:r>
            <w:r w:rsidR="00B43F07" w:rsidRPr="00B43F07">
              <w:rPr>
                <w:rFonts w:cstheme="minorHAnsi"/>
                <w:noProof/>
                <w:color w:val="auto"/>
              </w:rPr>
              <w:t>subproceso</w:t>
            </w:r>
            <w:r w:rsidR="00B43F07">
              <w:rPr>
                <w:rFonts w:cstheme="minorHAnsi"/>
                <w:noProof/>
                <w:color w:val="auto"/>
              </w:rPr>
              <w:t xml:space="preserve"> </w:t>
            </w:r>
            <w:r w:rsidRPr="00DB618A">
              <w:rPr>
                <w:rFonts w:cstheme="minorHAnsi"/>
                <w:color w:val="auto"/>
              </w:rPr>
              <w:t xml:space="preserve">standartą, </w:t>
            </w:r>
            <w:r w:rsidR="00B43F07" w:rsidRPr="00B43F07">
              <w:rPr>
                <w:rFonts w:cstheme="minorHAnsi"/>
                <w:color w:val="auto"/>
              </w:rPr>
              <w:t xml:space="preserve">Netesybų ir sankcijų taikymo </w:t>
            </w:r>
            <w:r w:rsidR="00B43F07" w:rsidRPr="00B43F07">
              <w:rPr>
                <w:rFonts w:cstheme="minorHAnsi"/>
                <w:noProof/>
                <w:color w:val="auto"/>
              </w:rPr>
              <w:t>subproceso</w:t>
            </w:r>
            <w:r w:rsidR="00B43F07" w:rsidRPr="00B43F07">
              <w:rPr>
                <w:rFonts w:cstheme="minorHAnsi"/>
                <w:color w:val="auto"/>
              </w:rPr>
              <w:t xml:space="preserve"> standart</w:t>
            </w:r>
            <w:r w:rsidR="00B43F07">
              <w:rPr>
                <w:rFonts w:cstheme="minorHAnsi"/>
                <w:color w:val="auto"/>
              </w:rPr>
              <w:t>ą</w:t>
            </w:r>
            <w:r w:rsidRPr="00DB618A">
              <w:rPr>
                <w:rFonts w:cstheme="minorHAnsi"/>
                <w:color w:val="auto"/>
              </w:rPr>
              <w:t xml:space="preserve">, </w:t>
            </w:r>
            <w:r w:rsidR="00B95B60" w:rsidRPr="00B95B60">
              <w:rPr>
                <w:rFonts w:cstheme="minorHAnsi"/>
                <w:color w:val="auto"/>
              </w:rPr>
              <w:t xml:space="preserve">Sutarčių nutraukimo </w:t>
            </w:r>
            <w:r w:rsidR="00B95B60" w:rsidRPr="00B95B60">
              <w:rPr>
                <w:rFonts w:cstheme="minorHAnsi"/>
                <w:noProof/>
                <w:color w:val="auto"/>
              </w:rPr>
              <w:t>subproceso</w:t>
            </w:r>
            <w:r w:rsidR="00B95B60" w:rsidRPr="00B95B60">
              <w:rPr>
                <w:rFonts w:cstheme="minorHAnsi"/>
                <w:color w:val="auto"/>
              </w:rPr>
              <w:t xml:space="preserve"> standart</w:t>
            </w:r>
            <w:r w:rsidR="00B95B60">
              <w:rPr>
                <w:rFonts w:cstheme="minorHAnsi"/>
                <w:color w:val="auto"/>
              </w:rPr>
              <w:t>ą</w:t>
            </w:r>
            <w:r w:rsidRPr="00DB618A">
              <w:rPr>
                <w:rFonts w:cstheme="minorHAnsi"/>
                <w:color w:val="auto"/>
              </w:rPr>
              <w:t xml:space="preserve">, Subtiekėjų ir specialistų pasitelkimo ir (ar) keitimo taisykles), parengtą įgyvendinant 2024 m. gruodžio 30 d. vidaus audito ataskaitoje pateiktas rekomendacijas, tačiau šie reglamentavimo tobulinimai buvo įgyvendinti su reikšmingu vėlavimu – nors audito rekomendacijų </w:t>
            </w:r>
            <w:r w:rsidRPr="00DB618A">
              <w:rPr>
                <w:rFonts w:cstheme="minorHAnsi"/>
                <w:color w:val="auto"/>
              </w:rPr>
              <w:lastRenderedPageBreak/>
              <w:t xml:space="preserve">įgyvendinimo plane buvo numatyta reglamentavimą atnaujinti iki 2025 m. birželio 30 d., faktiškai jis </w:t>
            </w:r>
            <w:r w:rsidR="00445BD9">
              <w:rPr>
                <w:rFonts w:cstheme="minorHAnsi"/>
                <w:color w:val="auto"/>
              </w:rPr>
              <w:t xml:space="preserve">pilnai </w:t>
            </w:r>
            <w:r w:rsidRPr="00DB618A">
              <w:rPr>
                <w:rFonts w:cstheme="minorHAnsi"/>
                <w:color w:val="auto"/>
              </w:rPr>
              <w:t>atnaujintas tik 2025 m. gruodžio 10 d. Tarnyba konstatuoja, kad vėlavimas tikslinti reglamentavimą, siekiant ištaisyti identifikuotus trūkumus, neatitinka gerosios valdysenos principų.</w:t>
            </w:r>
          </w:p>
        </w:tc>
      </w:tr>
      <w:tr w:rsidR="004734B5" w:rsidRPr="009D7CF6" w14:paraId="44244572"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69A249AE" w14:textId="77777777" w:rsidR="004734B5" w:rsidRPr="00F5104A" w:rsidRDefault="004734B5" w:rsidP="00AB235A">
            <w:pPr>
              <w:rPr>
                <w:rFonts w:cstheme="minorHAnsi"/>
                <w:color w:val="auto"/>
              </w:rPr>
            </w:pPr>
            <w:r w:rsidRPr="00F5104A">
              <w:rPr>
                <w:rFonts w:cstheme="minorHAnsi"/>
                <w:color w:val="auto"/>
              </w:rPr>
              <w:lastRenderedPageBreak/>
              <w:t>Atsakingų asmenų paskyrimas</w:t>
            </w:r>
          </w:p>
        </w:tc>
        <w:sdt>
          <w:sdtPr>
            <w:rPr>
              <w:rFonts w:cstheme="minorHAnsi"/>
            </w:rPr>
            <w:id w:val="95691300"/>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11F175F3"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78756741"/>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7746A7AB"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2047131077"/>
            <w14:checkbox>
              <w14:checked w14:val="1"/>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6C9B3465" w14:textId="4C548D6E" w:rsidR="004734B5" w:rsidRPr="00F5104A" w:rsidRDefault="00A364A5" w:rsidP="00AB235A">
                <w:pPr>
                  <w:rPr>
                    <w:rFonts w:cstheme="minorHAnsi"/>
                    <w:color w:val="auto"/>
                  </w:rPr>
                </w:pPr>
                <w:r w:rsidRPr="00F5104A">
                  <w:rPr>
                    <w:rFonts w:ascii="Segoe UI Symbol"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F016AE3" w14:textId="5E89FEE3" w:rsidR="003E5EAC" w:rsidRDefault="0011350F" w:rsidP="006B0E12">
            <w:pPr>
              <w:rPr>
                <w:rFonts w:cstheme="minorHAnsi"/>
                <w:color w:val="auto"/>
              </w:rPr>
            </w:pPr>
            <w:r w:rsidRPr="00F5104A">
              <w:rPr>
                <w:rFonts w:cstheme="minorHAnsi"/>
                <w:color w:val="auto"/>
              </w:rPr>
              <w:t xml:space="preserve">PV nustatyta aiški ir nuosekli </w:t>
            </w:r>
            <w:r w:rsidR="00D133E0">
              <w:rPr>
                <w:rFonts w:cstheme="minorHAnsi"/>
                <w:color w:val="auto"/>
              </w:rPr>
              <w:t>S</w:t>
            </w:r>
            <w:r w:rsidR="000E5078" w:rsidRPr="00F5104A">
              <w:rPr>
                <w:rFonts w:cstheme="minorHAnsi"/>
                <w:color w:val="auto"/>
              </w:rPr>
              <w:t>utarties savininkų</w:t>
            </w:r>
            <w:r w:rsidRPr="00F5104A">
              <w:rPr>
                <w:rFonts w:cstheme="minorHAnsi"/>
                <w:color w:val="auto"/>
              </w:rPr>
              <w:t xml:space="preserve"> paskyrimo </w:t>
            </w:r>
            <w:r w:rsidR="00B86F48" w:rsidRPr="00F5104A">
              <w:rPr>
                <w:rFonts w:cstheme="minorHAnsi"/>
                <w:color w:val="auto"/>
              </w:rPr>
              <w:t>seka</w:t>
            </w:r>
            <w:r w:rsidRPr="00F5104A">
              <w:rPr>
                <w:rFonts w:cstheme="minorHAnsi"/>
                <w:color w:val="auto"/>
              </w:rPr>
              <w:t xml:space="preserve">. Sutarties </w:t>
            </w:r>
            <w:r w:rsidR="0072528B">
              <w:rPr>
                <w:rFonts w:cstheme="minorHAnsi"/>
                <w:color w:val="auto"/>
              </w:rPr>
              <w:t>savininkus</w:t>
            </w:r>
            <w:r w:rsidR="0072528B" w:rsidRPr="00F5104A">
              <w:rPr>
                <w:rFonts w:cstheme="minorHAnsi"/>
                <w:color w:val="auto"/>
              </w:rPr>
              <w:t xml:space="preserve"> </w:t>
            </w:r>
            <w:r w:rsidRPr="00F5104A">
              <w:rPr>
                <w:rFonts w:cstheme="minorHAnsi"/>
                <w:color w:val="auto"/>
              </w:rPr>
              <w:t xml:space="preserve">skiria Sutarties savininko vadovas. </w:t>
            </w:r>
            <w:r w:rsidR="00D95ACD">
              <w:rPr>
                <w:rFonts w:cstheme="minorHAnsi"/>
                <w:color w:val="auto"/>
              </w:rPr>
              <w:t>K</w:t>
            </w:r>
            <w:r w:rsidRPr="00F5104A">
              <w:rPr>
                <w:rFonts w:cstheme="minorHAnsi"/>
                <w:color w:val="auto"/>
              </w:rPr>
              <w:t>iekviena sudaroma sutartis privalomai registruojama dokumentų valdymo sistemoje (</w:t>
            </w:r>
            <w:r w:rsidR="001E0625">
              <w:rPr>
                <w:rFonts w:cstheme="minorHAnsi"/>
                <w:color w:val="auto"/>
              </w:rPr>
              <w:t xml:space="preserve">toliau - </w:t>
            </w:r>
            <w:r w:rsidRPr="00F5104A">
              <w:rPr>
                <w:rFonts w:cstheme="minorHAnsi"/>
                <w:color w:val="auto"/>
              </w:rPr>
              <w:t>DVS</w:t>
            </w:r>
            <w:r w:rsidR="00925BE0" w:rsidRPr="00F5104A">
              <w:rPr>
                <w:rFonts w:cstheme="minorHAnsi"/>
                <w:color w:val="auto"/>
              </w:rPr>
              <w:t>)</w:t>
            </w:r>
            <w:r w:rsidR="00925BE0">
              <w:rPr>
                <w:rFonts w:cstheme="minorHAnsi"/>
                <w:color w:val="auto"/>
              </w:rPr>
              <w:t>, o</w:t>
            </w:r>
            <w:r w:rsidR="00925BE0" w:rsidRPr="00F5104A">
              <w:rPr>
                <w:rFonts w:cstheme="minorHAnsi"/>
                <w:color w:val="auto"/>
              </w:rPr>
              <w:t xml:space="preserve"> </w:t>
            </w:r>
            <w:r w:rsidR="00925BE0">
              <w:rPr>
                <w:rFonts w:cstheme="minorHAnsi"/>
                <w:color w:val="auto"/>
              </w:rPr>
              <w:t>r</w:t>
            </w:r>
            <w:r w:rsidR="00925BE0" w:rsidRPr="00F5104A">
              <w:rPr>
                <w:rFonts w:cstheme="minorHAnsi"/>
                <w:color w:val="auto"/>
              </w:rPr>
              <w:t xml:space="preserve">egistracijos </w:t>
            </w:r>
            <w:r w:rsidRPr="00F5104A">
              <w:rPr>
                <w:rFonts w:cstheme="minorHAnsi"/>
                <w:color w:val="auto"/>
              </w:rPr>
              <w:t xml:space="preserve">metu </w:t>
            </w:r>
            <w:r w:rsidR="00925BE0">
              <w:rPr>
                <w:rFonts w:cstheme="minorHAnsi"/>
                <w:color w:val="auto"/>
              </w:rPr>
              <w:t>DVS</w:t>
            </w:r>
            <w:r w:rsidR="00925BE0" w:rsidRPr="00F5104A">
              <w:rPr>
                <w:rFonts w:cstheme="minorHAnsi"/>
                <w:color w:val="auto"/>
              </w:rPr>
              <w:t xml:space="preserve"> </w:t>
            </w:r>
            <w:r w:rsidRPr="00F5104A">
              <w:rPr>
                <w:rFonts w:cstheme="minorHAnsi"/>
                <w:color w:val="auto"/>
              </w:rPr>
              <w:t xml:space="preserve">būtina nurodyti </w:t>
            </w:r>
            <w:r w:rsidR="00925BE0">
              <w:rPr>
                <w:rFonts w:cstheme="minorHAnsi"/>
                <w:color w:val="auto"/>
              </w:rPr>
              <w:t xml:space="preserve">Sutarties </w:t>
            </w:r>
            <w:r w:rsidR="00C754F7">
              <w:rPr>
                <w:rFonts w:cstheme="minorHAnsi"/>
                <w:color w:val="auto"/>
              </w:rPr>
              <w:t>savininką</w:t>
            </w:r>
            <w:r w:rsidRPr="00F5104A">
              <w:rPr>
                <w:rFonts w:cstheme="minorHAnsi"/>
                <w:color w:val="auto"/>
              </w:rPr>
              <w:t xml:space="preserve"> – be šio veiksmo registracija negali būti užbaigta, taip užtikrinamas atsakomybės priskyrimo kontrolės mechanizmas. Jei atskiras </w:t>
            </w:r>
            <w:r w:rsidR="00C754F7">
              <w:rPr>
                <w:rFonts w:cstheme="minorHAnsi"/>
                <w:color w:val="auto"/>
              </w:rPr>
              <w:t>S</w:t>
            </w:r>
            <w:r w:rsidR="00C754F7" w:rsidRPr="00F5104A">
              <w:rPr>
                <w:rFonts w:cstheme="minorHAnsi"/>
                <w:color w:val="auto"/>
              </w:rPr>
              <w:t xml:space="preserve">utarties </w:t>
            </w:r>
            <w:r w:rsidRPr="00F5104A">
              <w:rPr>
                <w:rFonts w:cstheme="minorHAnsi"/>
                <w:color w:val="auto"/>
              </w:rPr>
              <w:t>savininkas nepaskiriamas, š</w:t>
            </w:r>
            <w:r w:rsidR="000079E2">
              <w:rPr>
                <w:rFonts w:cstheme="minorHAnsi"/>
                <w:color w:val="auto"/>
              </w:rPr>
              <w:t>i</w:t>
            </w:r>
            <w:r w:rsidRPr="00F5104A">
              <w:rPr>
                <w:rFonts w:cstheme="minorHAnsi"/>
                <w:color w:val="auto"/>
              </w:rPr>
              <w:t xml:space="preserve"> </w:t>
            </w:r>
            <w:r w:rsidR="00C754F7" w:rsidRPr="00F5104A">
              <w:rPr>
                <w:rFonts w:cstheme="minorHAnsi"/>
                <w:color w:val="auto"/>
              </w:rPr>
              <w:t>funkcij</w:t>
            </w:r>
            <w:r w:rsidR="00C754F7">
              <w:rPr>
                <w:rFonts w:cstheme="minorHAnsi"/>
                <w:color w:val="auto"/>
              </w:rPr>
              <w:t>a</w:t>
            </w:r>
            <w:r w:rsidR="00C754F7" w:rsidRPr="00F5104A">
              <w:rPr>
                <w:rFonts w:cstheme="minorHAnsi"/>
                <w:color w:val="auto"/>
              </w:rPr>
              <w:t xml:space="preserve"> </w:t>
            </w:r>
            <w:r w:rsidRPr="00F5104A">
              <w:rPr>
                <w:rFonts w:cstheme="minorHAnsi"/>
                <w:color w:val="auto"/>
              </w:rPr>
              <w:t xml:space="preserve">automatiškai </w:t>
            </w:r>
            <w:r w:rsidR="00C754F7">
              <w:rPr>
                <w:rFonts w:cstheme="minorHAnsi"/>
                <w:color w:val="auto"/>
              </w:rPr>
              <w:t>priskiriama</w:t>
            </w:r>
            <w:r w:rsidR="00C754F7" w:rsidRPr="00F5104A">
              <w:rPr>
                <w:rFonts w:cstheme="minorHAnsi"/>
                <w:color w:val="auto"/>
              </w:rPr>
              <w:t xml:space="preserve"> </w:t>
            </w:r>
            <w:r w:rsidR="00C754F7">
              <w:rPr>
                <w:rFonts w:cstheme="minorHAnsi"/>
                <w:color w:val="auto"/>
              </w:rPr>
              <w:t xml:space="preserve">Sutarties </w:t>
            </w:r>
            <w:r w:rsidRPr="00F5104A">
              <w:rPr>
                <w:rFonts w:cstheme="minorHAnsi"/>
                <w:color w:val="auto"/>
              </w:rPr>
              <w:t xml:space="preserve">savininko </w:t>
            </w:r>
            <w:r w:rsidR="00C754F7" w:rsidRPr="00F5104A">
              <w:rPr>
                <w:rFonts w:cstheme="minorHAnsi"/>
                <w:color w:val="auto"/>
              </w:rPr>
              <w:t>vadov</w:t>
            </w:r>
            <w:r w:rsidR="00C754F7">
              <w:rPr>
                <w:rFonts w:cstheme="minorHAnsi"/>
                <w:color w:val="auto"/>
              </w:rPr>
              <w:t>ui</w:t>
            </w:r>
            <w:r w:rsidRPr="00F5104A">
              <w:rPr>
                <w:rFonts w:cstheme="minorHAnsi"/>
                <w:color w:val="auto"/>
              </w:rPr>
              <w:t xml:space="preserve">. </w:t>
            </w:r>
          </w:p>
          <w:p w14:paraId="1935E87A" w14:textId="70B380AE" w:rsidR="004A232B" w:rsidRPr="00F5104A" w:rsidRDefault="0011350F" w:rsidP="006B0E12">
            <w:pPr>
              <w:rPr>
                <w:rFonts w:cstheme="minorHAnsi"/>
                <w:color w:val="auto"/>
              </w:rPr>
            </w:pPr>
            <w:r w:rsidRPr="00F5104A">
              <w:rPr>
                <w:rFonts w:cstheme="minorHAnsi"/>
                <w:color w:val="auto"/>
              </w:rPr>
              <w:t>DVS įdiegtas</w:t>
            </w:r>
            <w:r w:rsidR="00B9353C" w:rsidRPr="00F5104A">
              <w:rPr>
                <w:rFonts w:cstheme="minorHAnsi"/>
                <w:color w:val="auto"/>
              </w:rPr>
              <w:t xml:space="preserve"> papildomas</w:t>
            </w:r>
            <w:r w:rsidRPr="00F5104A">
              <w:rPr>
                <w:rFonts w:cstheme="minorHAnsi"/>
                <w:color w:val="auto"/>
              </w:rPr>
              <w:t xml:space="preserve"> funkcionalumas, susijęs su </w:t>
            </w:r>
            <w:r w:rsidR="00B9353C" w:rsidRPr="00F5104A">
              <w:rPr>
                <w:rFonts w:cstheme="minorHAnsi"/>
                <w:color w:val="auto"/>
              </w:rPr>
              <w:t>išeinančio darbuotojo funkcijų priskyrimu</w:t>
            </w:r>
            <w:r w:rsidRPr="00F5104A">
              <w:rPr>
                <w:rFonts w:cstheme="minorHAnsi"/>
                <w:color w:val="auto"/>
              </w:rPr>
              <w:t xml:space="preserve"> </w:t>
            </w:r>
            <w:r w:rsidR="00B9353C" w:rsidRPr="00F5104A">
              <w:rPr>
                <w:rFonts w:cstheme="minorHAnsi"/>
                <w:color w:val="auto"/>
              </w:rPr>
              <w:t>-</w:t>
            </w:r>
            <w:r w:rsidRPr="00F5104A">
              <w:rPr>
                <w:rFonts w:cstheme="minorHAnsi"/>
                <w:color w:val="auto"/>
              </w:rPr>
              <w:t xml:space="preserve"> atsiskaitymo </w:t>
            </w:r>
            <w:r w:rsidR="009532E0">
              <w:rPr>
                <w:rFonts w:cstheme="minorHAnsi"/>
                <w:color w:val="auto"/>
              </w:rPr>
              <w:t xml:space="preserve">su </w:t>
            </w:r>
            <w:r w:rsidRPr="00F5104A">
              <w:rPr>
                <w:rFonts w:cstheme="minorHAnsi"/>
                <w:color w:val="auto"/>
              </w:rPr>
              <w:t xml:space="preserve">iš darbo </w:t>
            </w:r>
            <w:r w:rsidR="009532E0">
              <w:rPr>
                <w:rFonts w:cstheme="minorHAnsi"/>
                <w:color w:val="auto"/>
              </w:rPr>
              <w:t xml:space="preserve">išeinančiu darbuotoju </w:t>
            </w:r>
            <w:r w:rsidRPr="00F5104A">
              <w:rPr>
                <w:rFonts w:cstheme="minorHAnsi"/>
                <w:color w:val="auto"/>
              </w:rPr>
              <w:t xml:space="preserve">kortelėje automatiškai generuojama užduotis išeinančio darbuotojo vadovui dėl sutarčių, projektų ar užduočių priskyrimo kitiems komandos nariams. </w:t>
            </w:r>
            <w:r w:rsidR="00AC5906" w:rsidRPr="00F5104A">
              <w:rPr>
                <w:rFonts w:cstheme="minorHAnsi"/>
                <w:color w:val="auto"/>
              </w:rPr>
              <w:t>Šis sprendimas užtikrina, kad kiekviena sutartis turi aiškiai priskirtus atsakingus asmenis, o jų identifikavimas paprastas ir skaidrus.</w:t>
            </w:r>
          </w:p>
        </w:tc>
      </w:tr>
      <w:tr w:rsidR="007B29AF" w:rsidRPr="007B29AF" w14:paraId="2737EA91"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3E88F7F0" w14:textId="77777777" w:rsidR="004734B5" w:rsidRPr="007B29AF" w:rsidRDefault="004734B5" w:rsidP="00AB235A">
            <w:pPr>
              <w:rPr>
                <w:rFonts w:cstheme="minorHAnsi"/>
                <w:color w:val="auto"/>
              </w:rPr>
            </w:pPr>
            <w:r w:rsidRPr="007B29AF">
              <w:rPr>
                <w:rFonts w:cstheme="minorHAnsi"/>
                <w:color w:val="auto"/>
              </w:rPr>
              <w:t>Atsakomybės paskirstymas</w:t>
            </w:r>
          </w:p>
        </w:tc>
        <w:sdt>
          <w:sdtPr>
            <w:rPr>
              <w:rFonts w:cstheme="minorHAnsi"/>
            </w:rPr>
            <w:id w:val="-257989293"/>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279C7DA4" w14:textId="77777777" w:rsidR="004734B5" w:rsidRPr="007B29AF" w:rsidRDefault="004734B5" w:rsidP="00AB235A">
                <w:pPr>
                  <w:rPr>
                    <w:rFonts w:cstheme="minorHAnsi"/>
                    <w:color w:val="auto"/>
                  </w:rPr>
                </w:pPr>
                <w:r w:rsidRPr="007B29AF">
                  <w:rPr>
                    <w:rFonts w:ascii="Segoe UI Symbol" w:eastAsia="MS Gothic" w:hAnsi="Segoe UI Symbol" w:cs="Segoe UI Symbol"/>
                    <w:color w:val="auto"/>
                  </w:rPr>
                  <w:t>☐</w:t>
                </w:r>
              </w:p>
            </w:tc>
          </w:sdtContent>
        </w:sdt>
        <w:sdt>
          <w:sdtPr>
            <w:rPr>
              <w:rFonts w:cstheme="minorHAnsi"/>
            </w:rPr>
            <w:id w:val="-1056620684"/>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398CD30C" w14:textId="424B4BC0" w:rsidR="004734B5" w:rsidRPr="007B29AF" w:rsidRDefault="00C83DC4" w:rsidP="00AB235A">
                <w:pPr>
                  <w:rPr>
                    <w:rFonts w:cstheme="minorHAnsi"/>
                    <w:color w:val="auto"/>
                  </w:rPr>
                </w:pPr>
                <w:r w:rsidRPr="007B29AF">
                  <w:rPr>
                    <w:rFonts w:cstheme="minorHAnsi" w:hint="eastAsia"/>
                    <w:color w:val="auto"/>
                  </w:rPr>
                  <w:t>☒</w:t>
                </w:r>
              </w:p>
            </w:tc>
          </w:sdtContent>
        </w:sdt>
        <w:sdt>
          <w:sdtPr>
            <w:rPr>
              <w:rFonts w:cstheme="minorHAnsi"/>
            </w:rPr>
            <w:id w:val="1967235714"/>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6A893E5C" w14:textId="39EE44F7" w:rsidR="004734B5" w:rsidRPr="007B29AF" w:rsidRDefault="00C83DC4" w:rsidP="00AB235A">
                <w:pPr>
                  <w:rPr>
                    <w:rFonts w:cstheme="minorHAnsi"/>
                    <w:color w:val="auto"/>
                  </w:rPr>
                </w:pPr>
                <w:r w:rsidRPr="007B29AF">
                  <w:rPr>
                    <w:rFonts w:cstheme="minorHAnsi" w:hint="eastAsia"/>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E2A48CF" w14:textId="1845A69D" w:rsidR="00B40DA2" w:rsidRPr="007B29AF" w:rsidRDefault="00B40DA2" w:rsidP="00D86EC5">
            <w:pPr>
              <w:rPr>
                <w:rFonts w:cstheme="minorHAnsi"/>
                <w:b/>
                <w:bCs/>
                <w:color w:val="auto"/>
              </w:rPr>
            </w:pPr>
          </w:p>
        </w:tc>
      </w:tr>
      <w:tr w:rsidR="004734B5" w:rsidRPr="009D7CF6" w14:paraId="73689D87"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72E8D73" w14:textId="77777777" w:rsidR="004734B5" w:rsidRPr="00F5104A" w:rsidRDefault="004734B5" w:rsidP="00AB235A">
            <w:pPr>
              <w:rPr>
                <w:rFonts w:cstheme="minorHAnsi"/>
                <w:color w:val="auto"/>
              </w:rPr>
            </w:pPr>
            <w:r w:rsidRPr="00F5104A">
              <w:rPr>
                <w:rFonts w:cstheme="minorHAnsi"/>
                <w:color w:val="auto"/>
              </w:rPr>
              <w:t>Sutarčių valdymas (administravimas)</w:t>
            </w:r>
          </w:p>
        </w:tc>
        <w:sdt>
          <w:sdtPr>
            <w:rPr>
              <w:rFonts w:cstheme="minorHAnsi"/>
            </w:rPr>
            <w:id w:val="842440953"/>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3FF54746"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618448767"/>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3FBC21BF" w14:textId="077A041D" w:rsidR="004734B5" w:rsidRPr="007B29AF" w:rsidRDefault="00D524C7" w:rsidP="00AB235A">
                <w:pPr>
                  <w:rPr>
                    <w:rFonts w:cstheme="minorHAnsi"/>
                    <w:color w:val="auto"/>
                  </w:rPr>
                </w:pPr>
                <w:r w:rsidRPr="007B29AF">
                  <w:rPr>
                    <w:rFonts w:ascii="MS Gothic" w:eastAsia="MS Gothic" w:hAnsi="MS Gothic" w:cstheme="minorHAnsi" w:hint="eastAsia"/>
                    <w:color w:val="auto"/>
                  </w:rPr>
                  <w:t>☒</w:t>
                </w:r>
              </w:p>
            </w:tc>
          </w:sdtContent>
        </w:sdt>
        <w:sdt>
          <w:sdtPr>
            <w:rPr>
              <w:rFonts w:cstheme="minorHAnsi"/>
            </w:rPr>
            <w:id w:val="129601858"/>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2F6763A5"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C6680D1" w14:textId="77777777" w:rsidR="004734B5" w:rsidRPr="00F5104A" w:rsidRDefault="004734B5" w:rsidP="00AB235A">
            <w:pPr>
              <w:rPr>
                <w:rFonts w:cstheme="minorHAnsi"/>
                <w:color w:val="auto"/>
              </w:rPr>
            </w:pPr>
          </w:p>
        </w:tc>
      </w:tr>
      <w:tr w:rsidR="004734B5" w:rsidRPr="009D7CF6" w14:paraId="1008710B"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0F702873" w14:textId="77777777" w:rsidR="004734B5" w:rsidRPr="00F5104A" w:rsidRDefault="004734B5" w:rsidP="00AB235A">
            <w:pPr>
              <w:rPr>
                <w:rFonts w:cstheme="minorHAnsi"/>
                <w:color w:val="auto"/>
              </w:rPr>
            </w:pPr>
            <w:r w:rsidRPr="00393F09">
              <w:rPr>
                <w:rFonts w:cstheme="minorHAnsi"/>
              </w:rPr>
              <w:t>Už sutarties vykdymą atsakingų asmenų pareigų vykdymas</w:t>
            </w:r>
          </w:p>
        </w:tc>
        <w:sdt>
          <w:sdtPr>
            <w:rPr>
              <w:rFonts w:cstheme="minorHAnsi"/>
            </w:rPr>
            <w:id w:val="1496460592"/>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5CCC8689"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579370685"/>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2D522FE7" w14:textId="074296F6" w:rsidR="004734B5" w:rsidRPr="00F5104A" w:rsidRDefault="007918E1"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1111091152"/>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45048D9B"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AB9413C" w14:textId="6AD6DB59" w:rsidR="004734B5" w:rsidRPr="00F5104A" w:rsidRDefault="004734B5" w:rsidP="00AB235A">
            <w:pPr>
              <w:rPr>
                <w:rFonts w:cstheme="minorHAnsi"/>
                <w:color w:val="auto"/>
              </w:rPr>
            </w:pPr>
          </w:p>
        </w:tc>
      </w:tr>
      <w:tr w:rsidR="004734B5" w:rsidRPr="009D7CF6" w14:paraId="0435D4C1"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EE56918" w14:textId="77777777" w:rsidR="004734B5" w:rsidRPr="00F5104A" w:rsidRDefault="004734B5" w:rsidP="00AB235A">
            <w:pPr>
              <w:rPr>
                <w:rFonts w:cstheme="minorHAnsi"/>
                <w:color w:val="auto"/>
              </w:rPr>
            </w:pPr>
            <w:r w:rsidRPr="00F5104A">
              <w:rPr>
                <w:rFonts w:cstheme="minorHAnsi"/>
                <w:color w:val="auto"/>
              </w:rPr>
              <w:t>Sutarčių keitimo tvarka</w:t>
            </w:r>
          </w:p>
        </w:tc>
        <w:sdt>
          <w:sdtPr>
            <w:rPr>
              <w:rFonts w:cstheme="minorHAnsi"/>
            </w:rPr>
            <w:id w:val="-785738323"/>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31FD9D1B"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1714308921"/>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6980D10C" w14:textId="0523FD79" w:rsidR="004734B5" w:rsidRPr="00F5104A" w:rsidRDefault="00D85C1B" w:rsidP="00AB235A">
                <w:pPr>
                  <w:rPr>
                    <w:rFonts w:cstheme="minorHAnsi"/>
                    <w:color w:val="auto"/>
                  </w:rPr>
                </w:pPr>
                <w:r w:rsidRPr="00F5104A">
                  <w:rPr>
                    <w:rFonts w:ascii="Segoe UI Symbol" w:hAnsi="Segoe UI Symbol" w:cs="Segoe UI Symbol"/>
                    <w:color w:val="auto"/>
                  </w:rPr>
                  <w:t>☒</w:t>
                </w:r>
              </w:p>
            </w:tc>
          </w:sdtContent>
        </w:sdt>
        <w:sdt>
          <w:sdtPr>
            <w:rPr>
              <w:rFonts w:cstheme="minorHAnsi"/>
            </w:rPr>
            <w:id w:val="-1652976843"/>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DE0BB10"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1751867" w14:textId="77777777" w:rsidR="004734B5" w:rsidRPr="00F5104A" w:rsidRDefault="004734B5" w:rsidP="00AB235A">
            <w:pPr>
              <w:rPr>
                <w:rFonts w:cstheme="minorHAnsi"/>
                <w:color w:val="auto"/>
              </w:rPr>
            </w:pPr>
          </w:p>
        </w:tc>
      </w:tr>
      <w:tr w:rsidR="004734B5" w:rsidRPr="009D7CF6" w14:paraId="78887DB6"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02F9F79" w14:textId="77777777" w:rsidR="004734B5" w:rsidRPr="00F5104A" w:rsidRDefault="004734B5" w:rsidP="00AB235A">
            <w:pPr>
              <w:rPr>
                <w:rFonts w:cstheme="minorHAnsi"/>
                <w:color w:val="auto"/>
              </w:rPr>
            </w:pPr>
            <w:r w:rsidRPr="00F5104A">
              <w:rPr>
                <w:rFonts w:cstheme="minorHAnsi"/>
                <w:color w:val="auto"/>
              </w:rPr>
              <w:t>Sutarties netinkamo vykdymo valdymas</w:t>
            </w:r>
          </w:p>
        </w:tc>
        <w:sdt>
          <w:sdtPr>
            <w:rPr>
              <w:rFonts w:cstheme="minorHAnsi"/>
            </w:rPr>
            <w:id w:val="-372226366"/>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5E059C23"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904681131"/>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1843C797"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2015284952"/>
            <w14:checkbox>
              <w14:checked w14:val="1"/>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7B4CB7FB" w14:textId="53CA623F" w:rsidR="004734B5" w:rsidRPr="00F5104A" w:rsidRDefault="00AA4F34" w:rsidP="00AB235A">
                <w:pPr>
                  <w:rPr>
                    <w:rFonts w:cstheme="minorHAnsi"/>
                    <w:color w:val="auto"/>
                  </w:rPr>
                </w:pPr>
                <w:r w:rsidRPr="00F5104A">
                  <w:rPr>
                    <w:rFonts w:ascii="Segoe UI Symbol"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08BA235" w14:textId="2049297E" w:rsidR="00827B07" w:rsidRPr="00F5104A" w:rsidRDefault="00BC3791" w:rsidP="00AB235A">
            <w:pPr>
              <w:rPr>
                <w:rFonts w:cstheme="minorHAnsi"/>
                <w:color w:val="auto"/>
              </w:rPr>
            </w:pPr>
            <w:r w:rsidRPr="00F5104A">
              <w:rPr>
                <w:rFonts w:cstheme="minorHAnsi"/>
                <w:color w:val="auto"/>
              </w:rPr>
              <w:t xml:space="preserve">Sprendimo dėl netesybų taikymo pagrįstumo aplinkybes nurodo </w:t>
            </w:r>
            <w:r w:rsidR="007E546B">
              <w:rPr>
                <w:rFonts w:cstheme="minorHAnsi"/>
                <w:color w:val="auto"/>
              </w:rPr>
              <w:t>S</w:t>
            </w:r>
            <w:r w:rsidR="007E546B" w:rsidRPr="00F5104A">
              <w:rPr>
                <w:rFonts w:cstheme="minorHAnsi"/>
                <w:color w:val="auto"/>
              </w:rPr>
              <w:t xml:space="preserve">utarties </w:t>
            </w:r>
            <w:r w:rsidRPr="00F5104A">
              <w:rPr>
                <w:rFonts w:cstheme="minorHAnsi"/>
                <w:color w:val="auto"/>
              </w:rPr>
              <w:t xml:space="preserve">savininkas, o </w:t>
            </w:r>
            <w:r w:rsidR="006900FF" w:rsidRPr="00F5104A">
              <w:rPr>
                <w:rFonts w:cstheme="minorHAnsi"/>
                <w:color w:val="auto"/>
              </w:rPr>
              <w:t>galutini</w:t>
            </w:r>
            <w:r w:rsidR="006900FF">
              <w:rPr>
                <w:rFonts w:cstheme="minorHAnsi"/>
                <w:color w:val="auto"/>
              </w:rPr>
              <w:t>o</w:t>
            </w:r>
            <w:r w:rsidR="006900FF" w:rsidRPr="00F5104A">
              <w:rPr>
                <w:rFonts w:cstheme="minorHAnsi"/>
                <w:color w:val="auto"/>
              </w:rPr>
              <w:t xml:space="preserve"> sprendim</w:t>
            </w:r>
            <w:r w:rsidR="006900FF">
              <w:rPr>
                <w:rFonts w:cstheme="minorHAnsi"/>
                <w:color w:val="auto"/>
              </w:rPr>
              <w:t>o</w:t>
            </w:r>
            <w:r w:rsidR="006900FF" w:rsidRPr="00F5104A">
              <w:rPr>
                <w:rFonts w:cstheme="minorHAnsi"/>
                <w:color w:val="auto"/>
              </w:rPr>
              <w:t xml:space="preserve"> </w:t>
            </w:r>
            <w:r w:rsidR="00F02370" w:rsidRPr="00F5104A">
              <w:rPr>
                <w:rFonts w:cstheme="minorHAnsi"/>
                <w:color w:val="auto"/>
              </w:rPr>
              <w:t>dėl netesybų taikymo</w:t>
            </w:r>
            <w:r w:rsidR="006900FF">
              <w:rPr>
                <w:rFonts w:cstheme="minorHAnsi"/>
                <w:color w:val="auto"/>
              </w:rPr>
              <w:t xml:space="preserve"> priėmimas</w:t>
            </w:r>
            <w:r w:rsidR="00F02370" w:rsidRPr="00F5104A">
              <w:rPr>
                <w:rFonts w:cstheme="minorHAnsi"/>
                <w:color w:val="auto"/>
              </w:rPr>
              <w:t xml:space="preserve"> </w:t>
            </w:r>
            <w:r w:rsidR="007E546B" w:rsidRPr="00F5104A">
              <w:rPr>
                <w:rFonts w:cstheme="minorHAnsi"/>
                <w:color w:val="auto"/>
              </w:rPr>
              <w:t>priskirt</w:t>
            </w:r>
            <w:r w:rsidR="007E546B">
              <w:rPr>
                <w:rFonts w:cstheme="minorHAnsi"/>
                <w:color w:val="auto"/>
              </w:rPr>
              <w:t>as</w:t>
            </w:r>
            <w:r w:rsidR="007E546B" w:rsidRPr="00F5104A">
              <w:rPr>
                <w:rFonts w:cstheme="minorHAnsi"/>
                <w:color w:val="auto"/>
              </w:rPr>
              <w:t xml:space="preserve"> </w:t>
            </w:r>
            <w:r w:rsidR="00F02370" w:rsidRPr="00F5104A">
              <w:rPr>
                <w:rFonts w:cstheme="minorHAnsi"/>
                <w:color w:val="auto"/>
              </w:rPr>
              <w:t>Sutarties savininko vadovui</w:t>
            </w:r>
            <w:r w:rsidRPr="00F5104A">
              <w:rPr>
                <w:rFonts w:cstheme="minorHAnsi"/>
                <w:color w:val="auto"/>
              </w:rPr>
              <w:t>, tačiau</w:t>
            </w:r>
            <w:r w:rsidR="00F02370" w:rsidRPr="00F5104A">
              <w:rPr>
                <w:rFonts w:cstheme="minorHAnsi"/>
                <w:color w:val="auto"/>
              </w:rPr>
              <w:t xml:space="preserve">, šiame procese dalyvauja ir kiti </w:t>
            </w:r>
            <w:r w:rsidRPr="00F5104A">
              <w:rPr>
                <w:rFonts w:cstheme="minorHAnsi"/>
                <w:color w:val="auto"/>
              </w:rPr>
              <w:t>PV</w:t>
            </w:r>
            <w:r w:rsidR="00F02370" w:rsidRPr="00F5104A">
              <w:rPr>
                <w:rFonts w:cstheme="minorHAnsi"/>
                <w:color w:val="auto"/>
              </w:rPr>
              <w:t xml:space="preserve"> darbuotojai, pavyzdžiui, teisės skyriaus darbuotojai teikia teisines išvadas dėl </w:t>
            </w:r>
            <w:r w:rsidR="00D8689E" w:rsidRPr="00D8689E">
              <w:rPr>
                <w:rFonts w:cstheme="minorHAnsi"/>
                <w:color w:val="auto"/>
              </w:rPr>
              <w:t>teisminio susidariusios skolos išieškojimo inicijavimo</w:t>
            </w:r>
            <w:r w:rsidR="0039645A">
              <w:t xml:space="preserve"> </w:t>
            </w:r>
            <w:r w:rsidR="0039645A">
              <w:rPr>
                <w:rFonts w:cstheme="minorHAnsi"/>
                <w:color w:val="auto"/>
              </w:rPr>
              <w:t>t</w:t>
            </w:r>
            <w:r w:rsidR="0039645A" w:rsidRPr="0039645A">
              <w:rPr>
                <w:rFonts w:cstheme="minorHAnsi"/>
                <w:color w:val="auto"/>
              </w:rPr>
              <w:t xml:space="preserve">uo atveju, jeigu delspinigiai nėra </w:t>
            </w:r>
            <w:r w:rsidR="00CE0E5A">
              <w:rPr>
                <w:rFonts w:cstheme="minorHAnsi"/>
                <w:color w:val="auto"/>
              </w:rPr>
              <w:t>iš</w:t>
            </w:r>
            <w:r w:rsidR="0039645A" w:rsidRPr="0039645A">
              <w:rPr>
                <w:rFonts w:cstheme="minorHAnsi"/>
                <w:color w:val="auto"/>
              </w:rPr>
              <w:t xml:space="preserve">skaitomi iš </w:t>
            </w:r>
            <w:r w:rsidR="00B30954">
              <w:rPr>
                <w:rFonts w:cstheme="minorHAnsi"/>
                <w:color w:val="auto"/>
              </w:rPr>
              <w:t>k</w:t>
            </w:r>
            <w:r w:rsidR="0039645A" w:rsidRPr="0039645A">
              <w:rPr>
                <w:rFonts w:cstheme="minorHAnsi"/>
                <w:color w:val="auto"/>
              </w:rPr>
              <w:t xml:space="preserve">ontrahentui mokėtinų sumų, o </w:t>
            </w:r>
            <w:r w:rsidR="00B30954">
              <w:rPr>
                <w:rFonts w:cstheme="minorHAnsi"/>
                <w:color w:val="auto"/>
              </w:rPr>
              <w:t>k</w:t>
            </w:r>
            <w:r w:rsidR="0039645A" w:rsidRPr="0039645A">
              <w:rPr>
                <w:rFonts w:cstheme="minorHAnsi"/>
                <w:color w:val="auto"/>
              </w:rPr>
              <w:t>ontrahentas jų visa apimtimi geranoriškai nesumoka ilgiau kaip 3 mėnesius</w:t>
            </w:r>
            <w:r w:rsidR="0039645A">
              <w:rPr>
                <w:rFonts w:cstheme="minorHAnsi"/>
                <w:color w:val="auto"/>
              </w:rPr>
              <w:t>.</w:t>
            </w:r>
            <w:r w:rsidR="007B17F1">
              <w:rPr>
                <w:rFonts w:cstheme="minorHAnsi"/>
                <w:color w:val="auto"/>
              </w:rPr>
              <w:t xml:space="preserve"> </w:t>
            </w:r>
            <w:r w:rsidR="00F02370" w:rsidRPr="00F5104A">
              <w:rPr>
                <w:rFonts w:cstheme="minorHAnsi"/>
                <w:color w:val="auto"/>
              </w:rPr>
              <w:t>Taip pat, procese dalyvauja ir Sutartinių įsipareigojimų priežiūros komisija</w:t>
            </w:r>
            <w:r w:rsidRPr="00F5104A">
              <w:rPr>
                <w:rFonts w:cstheme="minorHAnsi"/>
                <w:color w:val="auto"/>
              </w:rPr>
              <w:t xml:space="preserve"> (veikianti pagal komisijos darbą reglamen</w:t>
            </w:r>
            <w:r w:rsidR="004A760B" w:rsidRPr="00F5104A">
              <w:rPr>
                <w:rFonts w:cstheme="minorHAnsi"/>
                <w:color w:val="auto"/>
              </w:rPr>
              <w:t>tą)</w:t>
            </w:r>
            <w:r w:rsidR="00F02370" w:rsidRPr="00F5104A">
              <w:rPr>
                <w:rFonts w:cstheme="minorHAnsi"/>
                <w:color w:val="auto"/>
              </w:rPr>
              <w:t xml:space="preserve">, sprendžianti netesybų mažinimo ar sutarties vykdymo užtikrinimo </w:t>
            </w:r>
            <w:r w:rsidR="00F02370" w:rsidRPr="00F5104A">
              <w:rPr>
                <w:rFonts w:cstheme="minorHAnsi"/>
                <w:color w:val="auto"/>
              </w:rPr>
              <w:lastRenderedPageBreak/>
              <w:t xml:space="preserve">panaudojimo klausimus, kai klausimo suma yra lygi arba viršija 10.000 Eur. </w:t>
            </w:r>
          </w:p>
          <w:p w14:paraId="018482A0" w14:textId="77777777" w:rsidR="00827B07" w:rsidRDefault="00E04719" w:rsidP="00AB235A">
            <w:pPr>
              <w:rPr>
                <w:rFonts w:cstheme="minorHAnsi"/>
                <w:color w:val="auto"/>
              </w:rPr>
            </w:pPr>
            <w:r w:rsidRPr="00F5104A">
              <w:rPr>
                <w:rFonts w:cstheme="minorHAnsi"/>
                <w:color w:val="auto"/>
              </w:rPr>
              <w:t>Atsižvelgiant į tai, kad sprendimų dėl netesybų taikymo priėmime dalyvauja keli atsakingi asmenys, o didesnės vertės sutartims pasitelkiama specializuota komisija, bei įvertinus 2024 m. sudarytų sutarčių skaičių</w:t>
            </w:r>
            <w:r w:rsidR="00110B3A" w:rsidRPr="00F5104A">
              <w:rPr>
                <w:rFonts w:cstheme="minorHAnsi"/>
                <w:color w:val="auto"/>
              </w:rPr>
              <w:t xml:space="preserve"> (501 sutartis iš kurių 12,38 pritaikytos netesybos)</w:t>
            </w:r>
            <w:r w:rsidRPr="00F5104A">
              <w:rPr>
                <w:rFonts w:cstheme="minorHAnsi"/>
                <w:color w:val="auto"/>
              </w:rPr>
              <w:t>, matyti, kad netesybų taikymo procesas nėra tik formalumas, o efektyviai veikianti sistema, užtikrinanti tinkamą sutartinių įsipareigojimų vykdymo priežiūrą.</w:t>
            </w:r>
          </w:p>
          <w:p w14:paraId="493B0701" w14:textId="17F14564" w:rsidR="007F7DE2" w:rsidRPr="00F5104A" w:rsidRDefault="007F7DE2" w:rsidP="00AB235A">
            <w:pPr>
              <w:rPr>
                <w:rFonts w:cstheme="minorHAnsi"/>
                <w:color w:val="auto"/>
              </w:rPr>
            </w:pPr>
            <w:r w:rsidRPr="00F5104A">
              <w:rPr>
                <w:rFonts w:cstheme="minorHAnsi"/>
                <w:color w:val="auto"/>
              </w:rPr>
              <w:t xml:space="preserve">PV nuo 2025-06-20 taikomas Tiekėjų etikos kodeksas, kuris nustato privalomus verslo etikos, žmogaus teisių, darbo standartų, darbuotojų saugos ir aplinkosaugos principus. Kodeksas užtikrina tiekėjų atsakomybę, o nesilaikant standartų </w:t>
            </w:r>
            <w:r>
              <w:rPr>
                <w:rFonts w:cstheme="minorHAnsi"/>
                <w:color w:val="auto"/>
              </w:rPr>
              <w:t>PV</w:t>
            </w:r>
            <w:r w:rsidRPr="00F5104A">
              <w:rPr>
                <w:rFonts w:cstheme="minorHAnsi"/>
                <w:color w:val="auto"/>
              </w:rPr>
              <w:t xml:space="preserve"> gali įvertinti tiekėjų veiksmus ir priimti sprendimus dėl tolimesnio bendradarbiavimo ar sutarties nutraukimo.</w:t>
            </w:r>
          </w:p>
        </w:tc>
      </w:tr>
      <w:tr w:rsidR="004734B5" w:rsidRPr="009D7CF6" w14:paraId="26F17343"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74BB2D8" w14:textId="77777777" w:rsidR="004734B5" w:rsidRPr="009913DC" w:rsidRDefault="004734B5" w:rsidP="00AB235A">
            <w:pPr>
              <w:rPr>
                <w:rFonts w:cstheme="minorHAnsi"/>
                <w:color w:val="auto"/>
              </w:rPr>
            </w:pPr>
            <w:r w:rsidRPr="009913DC">
              <w:rPr>
                <w:rFonts w:cstheme="minorHAnsi"/>
              </w:rPr>
              <w:lastRenderedPageBreak/>
              <w:t>Sutarčių nutraukimo tvarka</w:t>
            </w:r>
          </w:p>
        </w:tc>
        <w:sdt>
          <w:sdtPr>
            <w:rPr>
              <w:rFonts w:cstheme="minorHAnsi"/>
            </w:rPr>
            <w:id w:val="1259714281"/>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1E18C889"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2143846537"/>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37D1EEDC" w14:textId="0140E905" w:rsidR="004734B5" w:rsidRPr="00F5104A" w:rsidRDefault="004830D8" w:rsidP="00AB235A">
                <w:pPr>
                  <w:rPr>
                    <w:rFonts w:cstheme="minorHAnsi"/>
                    <w:color w:val="auto"/>
                  </w:rPr>
                </w:pPr>
                <w:r w:rsidRPr="00F5104A">
                  <w:rPr>
                    <w:rFonts w:ascii="Segoe UI Symbol" w:hAnsi="Segoe UI Symbol" w:cs="Segoe UI Symbol"/>
                    <w:color w:val="auto"/>
                  </w:rPr>
                  <w:t>☒</w:t>
                </w:r>
              </w:p>
            </w:tc>
          </w:sdtContent>
        </w:sdt>
        <w:sdt>
          <w:sdtPr>
            <w:rPr>
              <w:rFonts w:cstheme="minorHAnsi"/>
            </w:rPr>
            <w:id w:val="1375970335"/>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BC54584"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A089965" w14:textId="77777777" w:rsidR="004734B5" w:rsidRPr="00F5104A" w:rsidRDefault="004734B5" w:rsidP="00AB235A">
            <w:pPr>
              <w:rPr>
                <w:rFonts w:cstheme="minorHAnsi"/>
                <w:color w:val="auto"/>
              </w:rPr>
            </w:pPr>
          </w:p>
        </w:tc>
      </w:tr>
      <w:tr w:rsidR="004734B5" w:rsidRPr="009D7CF6" w14:paraId="05C3EC71"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1D339A86" w14:textId="77777777" w:rsidR="004734B5" w:rsidRPr="00F5104A" w:rsidRDefault="004734B5" w:rsidP="00AB235A">
            <w:pPr>
              <w:rPr>
                <w:rFonts w:cstheme="minorHAnsi"/>
                <w:color w:val="auto"/>
              </w:rPr>
            </w:pPr>
            <w:r w:rsidRPr="000F16B9">
              <w:rPr>
                <w:rFonts w:cstheme="minorHAnsi"/>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cstheme="minorHAnsi"/>
            </w:rPr>
            <w:id w:val="-5134553"/>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5FBBCBD6"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640800154"/>
            <w14:checkbox>
              <w14:checked w14:val="1"/>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4287C3AF" w14:textId="71FEBCEF" w:rsidR="004734B5" w:rsidRPr="00F5104A" w:rsidRDefault="009130FA" w:rsidP="00AB235A">
                <w:pPr>
                  <w:rPr>
                    <w:rFonts w:cstheme="minorHAnsi"/>
                    <w:color w:val="auto"/>
                  </w:rPr>
                </w:pPr>
                <w:r w:rsidRPr="00F5104A">
                  <w:rPr>
                    <w:rFonts w:ascii="Segoe UI Symbol" w:hAnsi="Segoe UI Symbol" w:cs="Segoe UI Symbol"/>
                    <w:color w:val="auto"/>
                  </w:rPr>
                  <w:t>☒</w:t>
                </w:r>
              </w:p>
            </w:tc>
          </w:sdtContent>
        </w:sdt>
        <w:sdt>
          <w:sdtPr>
            <w:rPr>
              <w:rFonts w:cstheme="minorHAnsi"/>
            </w:rPr>
            <w:id w:val="-725763175"/>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6D6ADC79" w14:textId="2D2B95EF" w:rsidR="004734B5" w:rsidRPr="00F5104A" w:rsidRDefault="00FC2FD8" w:rsidP="00AB235A">
                <w:pPr>
                  <w:rPr>
                    <w:rFonts w:cstheme="minorHAnsi"/>
                    <w:color w:val="auto"/>
                  </w:rPr>
                </w:pPr>
                <w:r w:rsidRPr="00F5104A">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37990E3C" w14:textId="553E8B4F" w:rsidR="004734B5" w:rsidRPr="00F5104A" w:rsidRDefault="004734B5" w:rsidP="00AB235A">
            <w:pPr>
              <w:rPr>
                <w:rFonts w:cstheme="minorHAnsi"/>
                <w:color w:val="auto"/>
              </w:rPr>
            </w:pPr>
          </w:p>
        </w:tc>
      </w:tr>
      <w:tr w:rsidR="004734B5" w:rsidRPr="009D7CF6" w14:paraId="156CAAB2"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485259F5" w14:textId="77777777" w:rsidR="004734B5" w:rsidRPr="00F5104A" w:rsidRDefault="004734B5" w:rsidP="00AB235A">
            <w:pPr>
              <w:rPr>
                <w:rFonts w:cstheme="minorHAnsi"/>
                <w:color w:val="auto"/>
              </w:rPr>
            </w:pPr>
            <w:r w:rsidRPr="00F5104A">
              <w:rPr>
                <w:rFonts w:cstheme="minorHAnsi"/>
                <w:color w:val="auto"/>
              </w:rPr>
              <w:t>Atsakingų asmenų mokymai</w:t>
            </w:r>
          </w:p>
        </w:tc>
        <w:sdt>
          <w:sdtPr>
            <w:rPr>
              <w:rFonts w:cstheme="minorHAnsi"/>
            </w:rPr>
            <w:id w:val="1410040000"/>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1A51DA9B"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1635944689"/>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513C348A"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428200095"/>
            <w14:checkbox>
              <w14:checked w14:val="1"/>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DB86FDF" w14:textId="51E35ED8" w:rsidR="004734B5" w:rsidRPr="00F5104A" w:rsidRDefault="004B7B96" w:rsidP="00AB235A">
                <w:pPr>
                  <w:rPr>
                    <w:rFonts w:cstheme="minorHAnsi"/>
                    <w:color w:val="auto"/>
                  </w:rPr>
                </w:pPr>
                <w:r w:rsidRPr="00F5104A">
                  <w:rPr>
                    <w:rFonts w:ascii="Segoe UI Symbol"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6817CAFD" w14:textId="0F519F13" w:rsidR="00D43C73" w:rsidRPr="00F5104A" w:rsidRDefault="00D43C73" w:rsidP="00D43C73">
            <w:pPr>
              <w:rPr>
                <w:rFonts w:cstheme="minorHAnsi"/>
                <w:color w:val="auto"/>
              </w:rPr>
            </w:pPr>
            <w:r w:rsidRPr="00F5104A">
              <w:rPr>
                <w:rFonts w:cstheme="minorHAnsi"/>
                <w:color w:val="auto"/>
              </w:rPr>
              <w:t>PV sistemingai, pagal metinį mokymų planą, organizuoja vidinius ir išorinius mokymus, siunčia darbuotojus į konferencijas ir seminarus. Metinis planas rengiamas atsižvelgiant į padalinių vadovų pateiktą poreikį ir kompetencijų matricą. Mokymų turinys kasmet atnaujinamas pagal bendrovės strateginius tikslus ir teisės aktų pokyčius, susijusius su kuruojamomis pirkimo sutartimis.</w:t>
            </w:r>
          </w:p>
          <w:p w14:paraId="0ACB7557" w14:textId="6BD86A68" w:rsidR="00D43C73" w:rsidRPr="00F5104A" w:rsidRDefault="00D43C73" w:rsidP="00D43C73">
            <w:pPr>
              <w:rPr>
                <w:rFonts w:cstheme="minorHAnsi"/>
                <w:color w:val="auto"/>
              </w:rPr>
            </w:pPr>
            <w:r w:rsidRPr="00F5104A">
              <w:rPr>
                <w:rFonts w:cstheme="minorHAnsi"/>
                <w:color w:val="auto"/>
              </w:rPr>
              <w:t>Kiekvienas atsakingas asmuo turi aiškiai apibrėžtą kvalifikacijos kėlimo planą, derinamą su asmeniniais metiniais tikslais. Ugdymo tikslai nustatomi kartu su tiesioginiu vadovu, juos siejant su organizacijos strategija.</w:t>
            </w:r>
          </w:p>
          <w:p w14:paraId="42CD9850" w14:textId="32A3F4FE" w:rsidR="00D43C73" w:rsidRPr="00F5104A" w:rsidRDefault="00D43C73" w:rsidP="00D43C73">
            <w:pPr>
              <w:rPr>
                <w:rFonts w:cstheme="minorHAnsi"/>
                <w:color w:val="auto"/>
              </w:rPr>
            </w:pPr>
            <w:r w:rsidRPr="00F5104A">
              <w:rPr>
                <w:rFonts w:cstheme="minorHAnsi"/>
                <w:color w:val="auto"/>
              </w:rPr>
              <w:t xml:space="preserve">2024 m. </w:t>
            </w:r>
            <w:r w:rsidR="00BE2159">
              <w:rPr>
                <w:rFonts w:cstheme="minorHAnsi"/>
                <w:color w:val="auto"/>
              </w:rPr>
              <w:t xml:space="preserve">atsakingi </w:t>
            </w:r>
            <w:r w:rsidRPr="00F5104A">
              <w:rPr>
                <w:rFonts w:cstheme="minorHAnsi"/>
                <w:color w:val="auto"/>
              </w:rPr>
              <w:t>darbuotojai dalyvavo 15 išorinių konferencijų ir mokymų</w:t>
            </w:r>
            <w:r w:rsidR="003F2F9D" w:rsidRPr="00F5104A">
              <w:rPr>
                <w:rFonts w:cstheme="minorHAnsi"/>
                <w:color w:val="auto"/>
              </w:rPr>
              <w:t xml:space="preserve"> (</w:t>
            </w:r>
            <w:r w:rsidR="00E06435" w:rsidRPr="00F5104A">
              <w:rPr>
                <w:rFonts w:cstheme="minorHAnsi"/>
                <w:color w:val="auto"/>
              </w:rPr>
              <w:t xml:space="preserve">2024 m. </w:t>
            </w:r>
            <w:r w:rsidR="003F2F9D" w:rsidRPr="00F5104A">
              <w:rPr>
                <w:rFonts w:cstheme="minorHAnsi"/>
                <w:color w:val="auto"/>
              </w:rPr>
              <w:t>bendrai dalyvavo 435 PV darbuotojų).</w:t>
            </w:r>
          </w:p>
          <w:p w14:paraId="49247400" w14:textId="309243CB" w:rsidR="00D43C73" w:rsidRPr="00F5104A" w:rsidRDefault="00D43C73" w:rsidP="00D43C73">
            <w:pPr>
              <w:rPr>
                <w:rFonts w:cstheme="minorHAnsi"/>
                <w:color w:val="auto"/>
              </w:rPr>
            </w:pPr>
            <w:r w:rsidRPr="00F5104A">
              <w:rPr>
                <w:rFonts w:cstheme="minorHAnsi"/>
                <w:color w:val="auto"/>
              </w:rPr>
              <w:t xml:space="preserve">Kartą per metus visiems darbuotojams rengiami privalomieji </w:t>
            </w:r>
            <w:r w:rsidR="00CA06F2" w:rsidRPr="00F5104A">
              <w:rPr>
                <w:rFonts w:cstheme="minorHAnsi"/>
                <w:color w:val="auto"/>
              </w:rPr>
              <w:t xml:space="preserve">vidaus </w:t>
            </w:r>
            <w:r w:rsidRPr="00F5104A">
              <w:rPr>
                <w:rFonts w:cstheme="minorHAnsi"/>
                <w:color w:val="auto"/>
              </w:rPr>
              <w:t>teisės aktuose numatyti mokymai (kibernetinio saugumo, antikorupcijos, duomenų apsaugos, tvarumo, darbuotojų saugos ir sveikatos, civilinės saugos srityse).</w:t>
            </w:r>
          </w:p>
          <w:p w14:paraId="3C7E99B0" w14:textId="5A22CE5B" w:rsidR="00D43C73" w:rsidRPr="00F5104A" w:rsidRDefault="00D43C73" w:rsidP="00D43C73">
            <w:pPr>
              <w:rPr>
                <w:rFonts w:cstheme="minorHAnsi"/>
                <w:color w:val="auto"/>
              </w:rPr>
            </w:pPr>
            <w:r w:rsidRPr="00F5104A">
              <w:rPr>
                <w:rFonts w:cstheme="minorHAnsi"/>
                <w:color w:val="auto"/>
              </w:rPr>
              <w:lastRenderedPageBreak/>
              <w:t xml:space="preserve">Papildomai kvalifikaciją kelia asmenys, atsakingi už kelių tiesimo sutarčių vykdymą – dalyvaujama kelių inžinerijos, techninio normavimo, statybos teisinio reguliavimo, matininkų ir geodezininkų kvalifikacijos palaikymo mokymuose </w:t>
            </w:r>
            <w:r w:rsidR="003F2F9D" w:rsidRPr="00F5104A">
              <w:rPr>
                <w:rFonts w:cstheme="minorHAnsi"/>
                <w:color w:val="auto"/>
              </w:rPr>
              <w:t>(</w:t>
            </w:r>
            <w:r w:rsidR="00E06435" w:rsidRPr="00F5104A">
              <w:rPr>
                <w:rFonts w:cstheme="minorHAnsi"/>
                <w:color w:val="auto"/>
              </w:rPr>
              <w:t xml:space="preserve">2024 m. </w:t>
            </w:r>
            <w:r w:rsidR="003F2F9D" w:rsidRPr="00F5104A">
              <w:rPr>
                <w:rFonts w:cstheme="minorHAnsi"/>
                <w:color w:val="auto"/>
              </w:rPr>
              <w:t xml:space="preserve">bendrai dalyvavo 88 PV </w:t>
            </w:r>
            <w:r w:rsidR="00A60D51" w:rsidRPr="00F5104A">
              <w:rPr>
                <w:rFonts w:cstheme="minorHAnsi"/>
                <w:color w:val="auto"/>
              </w:rPr>
              <w:t>darbuotoj</w:t>
            </w:r>
            <w:r w:rsidR="00A60D51">
              <w:rPr>
                <w:rFonts w:cstheme="minorHAnsi"/>
                <w:color w:val="auto"/>
              </w:rPr>
              <w:t>ai</w:t>
            </w:r>
            <w:r w:rsidR="003F2F9D" w:rsidRPr="00F5104A">
              <w:rPr>
                <w:rFonts w:cstheme="minorHAnsi"/>
                <w:color w:val="auto"/>
              </w:rPr>
              <w:t>)</w:t>
            </w:r>
            <w:r w:rsidRPr="00F5104A">
              <w:rPr>
                <w:rFonts w:cstheme="minorHAnsi"/>
                <w:color w:val="auto"/>
              </w:rPr>
              <w:t>. Taip pat organizuojami mokymai finansų valdymo ir klientų aptarnavimo temomis.</w:t>
            </w:r>
          </w:p>
          <w:p w14:paraId="6915F022" w14:textId="39654E37" w:rsidR="00D43C73" w:rsidRPr="00F5104A" w:rsidRDefault="00D43C73" w:rsidP="00D43C73">
            <w:pPr>
              <w:rPr>
                <w:rFonts w:cstheme="minorHAnsi"/>
                <w:color w:val="auto"/>
              </w:rPr>
            </w:pPr>
            <w:r w:rsidRPr="00F5104A">
              <w:rPr>
                <w:rFonts w:cstheme="minorHAnsi"/>
                <w:color w:val="auto"/>
              </w:rPr>
              <w:t>Nuolat vyksta vidiniai nuotoliniai mokymai, kuriuos veda aukštos kvalifikacijos darbuotojai (pvz., apie tiltų priežiūrą, tyrimus, bandymus). Kompetencijų plėtra vyksta ir per šešėliavimą, vidinius seminarus bei diskusijas su teisininkais, viešųjų pirkimų specialistais ir projektų vadovais, dalijantis gerąja praktika.</w:t>
            </w:r>
          </w:p>
          <w:p w14:paraId="63AB8CE5" w14:textId="059E3371" w:rsidR="00D43C73" w:rsidRPr="00F5104A" w:rsidRDefault="00D43C73" w:rsidP="00D43C73">
            <w:pPr>
              <w:rPr>
                <w:rFonts w:cstheme="minorHAnsi"/>
                <w:color w:val="auto"/>
              </w:rPr>
            </w:pPr>
            <w:r w:rsidRPr="00F5104A">
              <w:rPr>
                <w:rFonts w:cstheme="minorHAnsi"/>
                <w:color w:val="auto"/>
              </w:rPr>
              <w:t>Teisės skyrius aktyviai bendradarbiauja su sutartis vykdančiais darbuotojais – teikia konsultacijas, nuo 2025 m. su tam tikrais padaliniais rengia reguliarius susitikimus, pristato aktualią informaciją. Konsultacijos ir mokymų medžiaga (įrašai, skaidrės) pasiekiami intranete.</w:t>
            </w:r>
          </w:p>
          <w:p w14:paraId="4A92737C" w14:textId="77777777" w:rsidR="007353FE" w:rsidRPr="00F5104A" w:rsidRDefault="00D43C73" w:rsidP="00D43C73">
            <w:pPr>
              <w:rPr>
                <w:rFonts w:cstheme="minorHAnsi"/>
                <w:color w:val="auto"/>
              </w:rPr>
            </w:pPr>
            <w:r w:rsidRPr="00F5104A">
              <w:rPr>
                <w:rFonts w:cstheme="minorHAnsi"/>
                <w:color w:val="auto"/>
              </w:rPr>
              <w:t>Po mokymų atsakingi asmenys pildo mokymų efektyvumo klausimyną, vertindami pasitenkinimą, žinių pritaikomumą ir elgsenos pokyčius. Nauji darbuotojai dalyvauja įvadiniuose mokymuose (4–8 val.), o kai kurių mokymų rezultatai vertinami testu.</w:t>
            </w:r>
          </w:p>
          <w:p w14:paraId="77A87A67" w14:textId="15303B0C" w:rsidR="001642E3" w:rsidRPr="00F5104A" w:rsidRDefault="001642E3" w:rsidP="00D43C73">
            <w:pPr>
              <w:rPr>
                <w:rFonts w:cstheme="minorHAnsi"/>
                <w:color w:val="auto"/>
              </w:rPr>
            </w:pPr>
            <w:r w:rsidRPr="00F5104A">
              <w:rPr>
                <w:rFonts w:cstheme="minorHAnsi"/>
                <w:color w:val="auto"/>
              </w:rPr>
              <w:t>Toks nuoseklus požiūris į darbuotojų kompetencijų stiprinimą atspindi PV brandumą, užtikrina aukštą atsakingų darbuotojų kvalifikacijos lygį ir laikytinas gerąja praktika sutartinių procesų valdyme.</w:t>
            </w:r>
          </w:p>
        </w:tc>
      </w:tr>
      <w:tr w:rsidR="004734B5" w:rsidRPr="009D7CF6" w14:paraId="15F6B46B"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04DD2A16" w14:textId="77777777" w:rsidR="004734B5" w:rsidRPr="00F5104A" w:rsidRDefault="004734B5" w:rsidP="00AB235A">
            <w:pPr>
              <w:rPr>
                <w:rFonts w:cstheme="minorHAnsi"/>
                <w:color w:val="auto"/>
              </w:rPr>
            </w:pPr>
            <w:r w:rsidRPr="00F5104A">
              <w:rPr>
                <w:rFonts w:cstheme="minorHAnsi"/>
                <w:color w:val="auto"/>
              </w:rPr>
              <w:lastRenderedPageBreak/>
              <w:t>Tarptautinių sankcijų, nustatančių ribojimus ar draudimus vykdyti pirkimų ir koncesijų sutartis, taikymą nustatančių teisės aktų reikalavimų laikymasis</w:t>
            </w:r>
          </w:p>
        </w:tc>
        <w:sdt>
          <w:sdtPr>
            <w:rPr>
              <w:rFonts w:cstheme="minorHAnsi"/>
            </w:rPr>
            <w:id w:val="616110688"/>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33A4430B"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170542326"/>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3FACC78D"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558324395"/>
            <w14:checkbox>
              <w14:checked w14:val="1"/>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62703BCB" w14:textId="5C1464BA" w:rsidR="004734B5" w:rsidRPr="00F5104A" w:rsidRDefault="006C7EAF" w:rsidP="00AB235A">
                <w:pPr>
                  <w:rPr>
                    <w:rFonts w:cstheme="minorHAnsi"/>
                    <w:color w:val="auto"/>
                  </w:rPr>
                </w:pPr>
                <w:r w:rsidRPr="00F5104A">
                  <w:rPr>
                    <w:rFonts w:ascii="Segoe UI Symbol"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3317D9BF" w14:textId="23E84B1E" w:rsidR="002719E9" w:rsidRPr="00F5104A" w:rsidRDefault="002719E9" w:rsidP="002719E9">
            <w:pPr>
              <w:rPr>
                <w:rFonts w:cstheme="minorHAnsi"/>
                <w:color w:val="auto"/>
              </w:rPr>
            </w:pPr>
            <w:r w:rsidRPr="00F5104A">
              <w:rPr>
                <w:rFonts w:cstheme="minorHAnsi"/>
                <w:color w:val="auto"/>
              </w:rPr>
              <w:t>PV turi patvirtintą Tarptautinių sankcijų taikymo politiką, kurią sistemingai įgyvendina, paskirdama</w:t>
            </w:r>
            <w:r w:rsidR="007F10E1">
              <w:rPr>
                <w:rFonts w:cstheme="minorHAnsi"/>
                <w:color w:val="auto"/>
              </w:rPr>
              <w:t>s</w:t>
            </w:r>
            <w:r w:rsidRPr="00F5104A">
              <w:rPr>
                <w:rFonts w:cstheme="minorHAnsi"/>
                <w:color w:val="auto"/>
              </w:rPr>
              <w:t xml:space="preserve"> atsakingą darbuotoją – </w:t>
            </w:r>
            <w:r w:rsidR="00432ED3" w:rsidRPr="00F5104A">
              <w:rPr>
                <w:rFonts w:cstheme="minorHAnsi"/>
                <w:color w:val="auto"/>
              </w:rPr>
              <w:t>nacionalini</w:t>
            </w:r>
            <w:r w:rsidR="00432ED3">
              <w:rPr>
                <w:rFonts w:cstheme="minorHAnsi"/>
                <w:color w:val="auto"/>
              </w:rPr>
              <w:t>o</w:t>
            </w:r>
            <w:r w:rsidR="00432ED3" w:rsidRPr="00F5104A">
              <w:rPr>
                <w:rFonts w:cstheme="minorHAnsi"/>
                <w:color w:val="auto"/>
              </w:rPr>
              <w:t xml:space="preserve"> saugum</w:t>
            </w:r>
            <w:r w:rsidR="00432ED3">
              <w:rPr>
                <w:rFonts w:cstheme="minorHAnsi"/>
                <w:color w:val="auto"/>
              </w:rPr>
              <w:t>o</w:t>
            </w:r>
            <w:r w:rsidR="00432ED3" w:rsidRPr="00F5104A">
              <w:rPr>
                <w:rFonts w:cstheme="minorHAnsi"/>
                <w:color w:val="auto"/>
              </w:rPr>
              <w:t xml:space="preserve"> </w:t>
            </w:r>
            <w:r w:rsidRPr="00F5104A">
              <w:rPr>
                <w:rFonts w:cstheme="minorHAnsi"/>
                <w:color w:val="auto"/>
              </w:rPr>
              <w:t xml:space="preserve">atitikties vadovą. Šis vadovas vertina tiekėjų pateiktus techninėje specifikacijoje reikalaujamus dokumentus ir fiksuoja vertinimą DVS, susiedamas jį su tikrinamu pirkimu. </w:t>
            </w:r>
            <w:r w:rsidR="008909FD">
              <w:rPr>
                <w:rFonts w:cstheme="minorHAnsi"/>
                <w:color w:val="auto"/>
              </w:rPr>
              <w:t>S</w:t>
            </w:r>
            <w:r w:rsidRPr="00F5104A">
              <w:rPr>
                <w:rFonts w:cstheme="minorHAnsi"/>
                <w:color w:val="auto"/>
              </w:rPr>
              <w:t>utarties vykdymo etape vertinami subrangovai, jeigu jie pasitelkiami projektų vykdymui, siekiant užtikrinti sankcijų laikymąsi ir nacionalinio saugumo reikalavimų įgyvendinimą.</w:t>
            </w:r>
          </w:p>
          <w:p w14:paraId="3FE885CE" w14:textId="1F50DC58" w:rsidR="002719E9" w:rsidRPr="00F5104A" w:rsidRDefault="002719E9" w:rsidP="002719E9">
            <w:pPr>
              <w:rPr>
                <w:rFonts w:cstheme="minorHAnsi"/>
                <w:color w:val="auto"/>
              </w:rPr>
            </w:pPr>
            <w:r w:rsidRPr="00F5104A">
              <w:rPr>
                <w:rFonts w:cstheme="minorHAnsi"/>
                <w:color w:val="auto"/>
              </w:rPr>
              <w:t>Visos vertinimo užduotys formuojamos ir atsakymai pateikiami per DVS, o nusta</w:t>
            </w:r>
            <w:r w:rsidR="00936CD5" w:rsidRPr="00F5104A">
              <w:rPr>
                <w:rFonts w:cstheme="minorHAnsi"/>
                <w:color w:val="auto"/>
              </w:rPr>
              <w:t>či</w:t>
            </w:r>
            <w:r w:rsidRPr="00F5104A">
              <w:rPr>
                <w:rFonts w:cstheme="minorHAnsi"/>
                <w:color w:val="auto"/>
              </w:rPr>
              <w:t xml:space="preserve">us galimas rizikas dėl sankcijų nesilaikymo arba grėsmes nacionaliniam saugumui, inicijuojamas sandorio nutraukimas ar sustabdymas, vertinamos galimybės nutraukti esamas sutartis, apribojamas disponavimas lėšomis ar ištekliais, o per dvi dienas informuojama </w:t>
            </w:r>
            <w:r w:rsidR="001C519B">
              <w:rPr>
                <w:rFonts w:cstheme="minorHAnsi"/>
                <w:color w:val="auto"/>
              </w:rPr>
              <w:t>Finansinių nusikaltimų tyrimų</w:t>
            </w:r>
            <w:r w:rsidR="00E26A58">
              <w:rPr>
                <w:rFonts w:cstheme="minorHAnsi"/>
                <w:color w:val="auto"/>
              </w:rPr>
              <w:t xml:space="preserve"> </w:t>
            </w:r>
            <w:r w:rsidR="00E26A58">
              <w:rPr>
                <w:rFonts w:cstheme="minorHAnsi"/>
                <w:color w:val="auto"/>
              </w:rPr>
              <w:lastRenderedPageBreak/>
              <w:t>tarnyba</w:t>
            </w:r>
            <w:r w:rsidRPr="00F5104A">
              <w:rPr>
                <w:rFonts w:cstheme="minorHAnsi"/>
                <w:color w:val="auto"/>
              </w:rPr>
              <w:t>, jei veiklos partneriai yra subjektai, kuriems taikomos finansinės sankcijos.</w:t>
            </w:r>
          </w:p>
          <w:p w14:paraId="146EE64D" w14:textId="510688A4" w:rsidR="0054276C" w:rsidRPr="00F5104A" w:rsidRDefault="002719E9" w:rsidP="002719E9">
            <w:pPr>
              <w:rPr>
                <w:rFonts w:cstheme="minorHAnsi"/>
                <w:color w:val="auto"/>
              </w:rPr>
            </w:pPr>
            <w:r w:rsidRPr="00F5104A">
              <w:rPr>
                <w:rFonts w:cstheme="minorHAnsi"/>
                <w:color w:val="auto"/>
              </w:rPr>
              <w:t xml:space="preserve">Sutarčių vykdymo metu atliekamas reguliarus veiklos partnerių patikrinimas dėl tarptautinių sankcijų taikymo, o </w:t>
            </w:r>
            <w:r w:rsidR="005928F9">
              <w:rPr>
                <w:rFonts w:cstheme="minorHAnsi"/>
                <w:color w:val="auto"/>
              </w:rPr>
              <w:t>PV v</w:t>
            </w:r>
            <w:r w:rsidR="005928F9" w:rsidRPr="00F5104A">
              <w:rPr>
                <w:rFonts w:cstheme="minorHAnsi"/>
                <w:color w:val="auto"/>
              </w:rPr>
              <w:t>aldybai</w:t>
            </w:r>
            <w:r w:rsidRPr="00F5104A">
              <w:rPr>
                <w:rFonts w:cstheme="minorHAnsi"/>
                <w:color w:val="auto"/>
              </w:rPr>
              <w:t xml:space="preserve"> kas 6 mėnesius teikiama ataskaita apie sankcijų taikymo kontrolę. </w:t>
            </w:r>
          </w:p>
          <w:p w14:paraId="604C236B" w14:textId="77777777" w:rsidR="004734B5" w:rsidRPr="00F5104A" w:rsidRDefault="00092E82" w:rsidP="002719E9">
            <w:pPr>
              <w:rPr>
                <w:rFonts w:cstheme="minorHAnsi"/>
                <w:color w:val="auto"/>
              </w:rPr>
            </w:pPr>
            <w:r w:rsidRPr="00F5104A">
              <w:rPr>
                <w:rFonts w:cstheme="minorHAnsi"/>
                <w:color w:val="auto"/>
              </w:rPr>
              <w:t>PV 2024 m. patikrino 528 veiklos partnerius (tiekėjus ir subtiekėjus), o 2025 m. pirmąjį pusmetį – 220 veiklos partnerių</w:t>
            </w:r>
            <w:r w:rsidR="00105931" w:rsidRPr="00F5104A">
              <w:rPr>
                <w:rFonts w:cstheme="minorHAnsi"/>
                <w:color w:val="auto"/>
              </w:rPr>
              <w:t>.</w:t>
            </w:r>
          </w:p>
          <w:p w14:paraId="06B2D735" w14:textId="78846AD1" w:rsidR="00655F8B" w:rsidRPr="00F5104A" w:rsidRDefault="005673AD" w:rsidP="002719E9">
            <w:pPr>
              <w:rPr>
                <w:rFonts w:cstheme="minorHAnsi"/>
                <w:color w:val="auto"/>
              </w:rPr>
            </w:pPr>
            <w:r w:rsidRPr="00F5104A">
              <w:rPr>
                <w:rFonts w:cstheme="minorHAnsi"/>
                <w:color w:val="auto"/>
              </w:rPr>
              <w:t xml:space="preserve">PV nuoseklumas nacionalinio saugumo atitikties srityje, aiški atsakomybė </w:t>
            </w:r>
            <w:r w:rsidR="002944FB" w:rsidRPr="00A163BB">
              <w:rPr>
                <w:rFonts w:cstheme="minorHAnsi"/>
              </w:rPr>
              <w:t>valdybai</w:t>
            </w:r>
            <w:r w:rsidR="002944FB" w:rsidRPr="00F5104A">
              <w:rPr>
                <w:rFonts w:cstheme="minorHAnsi"/>
                <w:color w:val="auto"/>
              </w:rPr>
              <w:t xml:space="preserve"> </w:t>
            </w:r>
            <w:r w:rsidRPr="00F5104A">
              <w:rPr>
                <w:rFonts w:cstheme="minorHAnsi"/>
                <w:color w:val="auto"/>
              </w:rPr>
              <w:t xml:space="preserve">ir atliktų patikrų skaičius rodo, kad </w:t>
            </w:r>
            <w:r w:rsidR="00412657">
              <w:rPr>
                <w:rFonts w:cstheme="minorHAnsi"/>
                <w:color w:val="auto"/>
              </w:rPr>
              <w:t>PV</w:t>
            </w:r>
            <w:r w:rsidR="00412657" w:rsidRPr="00F5104A">
              <w:rPr>
                <w:rFonts w:cstheme="minorHAnsi"/>
                <w:color w:val="auto"/>
              </w:rPr>
              <w:t xml:space="preserve"> </w:t>
            </w:r>
            <w:r w:rsidRPr="00F5104A">
              <w:rPr>
                <w:rFonts w:cstheme="minorHAnsi"/>
                <w:color w:val="auto"/>
              </w:rPr>
              <w:t xml:space="preserve">skiria ypatingą dėmesį nacionalinio saugumo </w:t>
            </w:r>
            <w:r w:rsidR="00412657">
              <w:rPr>
                <w:rFonts w:cstheme="minorHAnsi"/>
                <w:color w:val="auto"/>
              </w:rPr>
              <w:t xml:space="preserve">ir tarptautinių sankcijų </w:t>
            </w:r>
            <w:r w:rsidRPr="00F5104A">
              <w:rPr>
                <w:rFonts w:cstheme="minorHAnsi"/>
                <w:color w:val="auto"/>
              </w:rPr>
              <w:t>užtikrinimui.</w:t>
            </w:r>
          </w:p>
        </w:tc>
      </w:tr>
      <w:tr w:rsidR="004734B5" w:rsidRPr="009D7CF6" w14:paraId="539D5A2F"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34742E22" w14:textId="77777777" w:rsidR="004734B5" w:rsidRPr="00FC33A8" w:rsidRDefault="004734B5" w:rsidP="00AB235A">
            <w:pPr>
              <w:rPr>
                <w:rFonts w:cstheme="minorHAnsi"/>
                <w:color w:val="auto"/>
              </w:rPr>
            </w:pPr>
            <w:r w:rsidRPr="00FC33A8">
              <w:rPr>
                <w:rFonts w:cstheme="minorHAnsi"/>
                <w:color w:val="auto"/>
                <w:szCs w:val="24"/>
              </w:rPr>
              <w:lastRenderedPageBreak/>
              <w:t>Veiklos ir/ar vidaus kontrolės audito ir (ar) bet kokių kitų patikrinimų (jei tokių buvo) ataskaitų išvadų / rekomendacijų laikymasis</w:t>
            </w:r>
          </w:p>
        </w:tc>
        <w:sdt>
          <w:sdtPr>
            <w:rPr>
              <w:rFonts w:cstheme="minorHAnsi"/>
            </w:rPr>
            <w:id w:val="-2126922659"/>
            <w14:checkbox>
              <w14:checked w14:val="1"/>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681AB035" w14:textId="20FCEDB7" w:rsidR="004734B5" w:rsidRPr="00F5104A" w:rsidRDefault="00B27C75" w:rsidP="00AB235A">
                <w:pPr>
                  <w:rPr>
                    <w:rFonts w:cstheme="minorHAnsi"/>
                    <w:color w:val="auto"/>
                  </w:rPr>
                </w:pPr>
                <w:r w:rsidRPr="00B27C75">
                  <w:rPr>
                    <w:rFonts w:ascii="MS Gothic" w:eastAsia="MS Gothic" w:hAnsi="MS Gothic" w:cs="Segoe UI Symbol" w:hint="eastAsia"/>
                    <w:color w:val="auto"/>
                  </w:rPr>
                  <w:t>☒</w:t>
                </w:r>
              </w:p>
            </w:tc>
          </w:sdtContent>
        </w:sdt>
        <w:sdt>
          <w:sdtPr>
            <w:rPr>
              <w:rFonts w:cstheme="minorHAnsi"/>
            </w:rPr>
            <w:id w:val="-1678343431"/>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62E6C3A2" w14:textId="2912E1D0" w:rsidR="004734B5" w:rsidRPr="00F5104A" w:rsidRDefault="00CA431A" w:rsidP="00AB235A">
                <w:pPr>
                  <w:rPr>
                    <w:rFonts w:cstheme="minorHAnsi"/>
                    <w:color w:val="auto"/>
                  </w:rPr>
                </w:pPr>
                <w:r>
                  <w:rPr>
                    <w:rFonts w:ascii="MS Gothic" w:eastAsia="MS Gothic" w:hAnsi="MS Gothic" w:cstheme="minorHAnsi" w:hint="eastAsia"/>
                  </w:rPr>
                  <w:t>☐</w:t>
                </w:r>
              </w:p>
            </w:tc>
          </w:sdtContent>
        </w:sdt>
        <w:sdt>
          <w:sdtPr>
            <w:rPr>
              <w:rFonts w:cstheme="minorHAnsi"/>
            </w:rPr>
            <w:id w:val="-698942138"/>
            <w14:checkbox>
              <w14:checked w14:val="0"/>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49EC0AA6" w14:textId="488B55BC" w:rsidR="004734B5" w:rsidRPr="00F5104A" w:rsidRDefault="00CA431A" w:rsidP="00AB235A">
                <w:pPr>
                  <w:rPr>
                    <w:rFonts w:cstheme="minorHAnsi"/>
                    <w:color w:val="auto"/>
                  </w:rPr>
                </w:pPr>
                <w:r w:rsidRPr="00CA431A">
                  <w:rPr>
                    <w:rFonts w:cstheme="minorHAnsi" w:hint="eastAsia"/>
                  </w:rPr>
                  <w:t>☐</w:t>
                </w:r>
              </w:p>
            </w:tc>
          </w:sdtContent>
        </w:sdt>
        <w:tc>
          <w:tcPr>
            <w:tcW w:w="2068" w:type="pct"/>
            <w:tcBorders>
              <w:top w:val="single" w:sz="4" w:space="0" w:color="auto"/>
              <w:left w:val="single" w:sz="4" w:space="0" w:color="auto"/>
              <w:bottom w:val="single" w:sz="4" w:space="0" w:color="auto"/>
              <w:right w:val="single" w:sz="4" w:space="0" w:color="auto"/>
            </w:tcBorders>
          </w:tcPr>
          <w:p w14:paraId="5809132F" w14:textId="634C0E7B" w:rsidR="00400940" w:rsidRDefault="00400940" w:rsidP="00400940">
            <w:pPr>
              <w:rPr>
                <w:rFonts w:cstheme="minorHAnsi"/>
                <w:color w:val="auto"/>
              </w:rPr>
            </w:pPr>
            <w:r>
              <w:t xml:space="preserve"> </w:t>
            </w:r>
            <w:r w:rsidRPr="00400940">
              <w:rPr>
                <w:rFonts w:cstheme="minorHAnsi"/>
                <w:color w:val="auto"/>
              </w:rPr>
              <w:t>Vidaus audito veiklos planavimas vykdomas atsižvelgiant į veiklos sričių rizikos vertinimo rezultatus, galiojančių teisės aktų reikalavimus ir gautus pavedimus. Viešųjų pirkimų srities auditai atliekami ne rečiau kaip kartą per trejų metų laikotarpį, o sutarčių vykdymo priežiūros auditai – pagal rizikos vertinimo rezultatus ir esant nustatytam poreikiui.</w:t>
            </w:r>
          </w:p>
          <w:p w14:paraId="7F615240" w14:textId="05384BF9" w:rsidR="004734B5" w:rsidRPr="00F5104A" w:rsidRDefault="006311EE" w:rsidP="00400940">
            <w:pPr>
              <w:rPr>
                <w:rFonts w:cstheme="minorHAnsi"/>
                <w:color w:val="auto"/>
              </w:rPr>
            </w:pPr>
            <w:r>
              <w:rPr>
                <w:rFonts w:cstheme="minorHAnsi"/>
                <w:color w:val="auto"/>
              </w:rPr>
              <w:t>T</w:t>
            </w:r>
            <w:r w:rsidRPr="006311EE">
              <w:rPr>
                <w:rFonts w:cstheme="minorHAnsi"/>
                <w:color w:val="auto"/>
              </w:rPr>
              <w:t xml:space="preserve">ikrinimo metu nustatyta, kad visos </w:t>
            </w:r>
            <w:r w:rsidR="00082EA5" w:rsidRPr="006311EE">
              <w:rPr>
                <w:rFonts w:cstheme="minorHAnsi"/>
                <w:color w:val="auto"/>
              </w:rPr>
              <w:t xml:space="preserve">2024 m. atlikto vidaus audito </w:t>
            </w:r>
            <w:r w:rsidRPr="006311EE">
              <w:rPr>
                <w:rFonts w:cstheme="minorHAnsi"/>
                <w:color w:val="auto"/>
              </w:rPr>
              <w:t xml:space="preserve">rekomendacijos, </w:t>
            </w:r>
            <w:r w:rsidR="00082EA5" w:rsidRPr="006311EE">
              <w:rPr>
                <w:rFonts w:cstheme="minorHAnsi"/>
                <w:color w:val="auto"/>
              </w:rPr>
              <w:t>susijusi</w:t>
            </w:r>
            <w:r w:rsidR="00082EA5">
              <w:rPr>
                <w:rFonts w:cstheme="minorHAnsi"/>
                <w:color w:val="auto"/>
              </w:rPr>
              <w:t>o</w:t>
            </w:r>
            <w:r w:rsidR="00082EA5" w:rsidRPr="006311EE">
              <w:rPr>
                <w:rFonts w:cstheme="minorHAnsi"/>
                <w:color w:val="auto"/>
              </w:rPr>
              <w:t xml:space="preserve">s su viešųjų pirkimų sutarčių valdysena </w:t>
            </w:r>
            <w:r w:rsidR="00B60297">
              <w:rPr>
                <w:rFonts w:cstheme="minorHAnsi"/>
                <w:color w:val="auto"/>
              </w:rPr>
              <w:t xml:space="preserve">ir </w:t>
            </w:r>
            <w:r w:rsidRPr="006311EE">
              <w:rPr>
                <w:rFonts w:cstheme="minorHAnsi"/>
                <w:color w:val="auto"/>
              </w:rPr>
              <w:t>kurių įgyvendinimo terminas jau suėjęs, yra įgyvendintos</w:t>
            </w:r>
            <w:r>
              <w:rPr>
                <w:rFonts w:cstheme="minorHAnsi"/>
                <w:color w:val="auto"/>
              </w:rPr>
              <w:t>, t</w:t>
            </w:r>
            <w:r w:rsidRPr="006311EE">
              <w:rPr>
                <w:rFonts w:cstheme="minorHAnsi"/>
                <w:color w:val="auto"/>
              </w:rPr>
              <w:t>ačiau dalis priemonių buvo įgyvendintos vėluojant – pavyzdžiui, atnaujintas Vadovas, kurio patvirtinimas buvo numatytas iki 2025-06-30, faktiškai patvirtintas tik 2025-12-10. Tarnyba konstatuoja, kad audito rekomendacijų nesavalaikis įgyvendinimas laikytinas ydinga praktika.</w:t>
            </w:r>
          </w:p>
        </w:tc>
      </w:tr>
      <w:tr w:rsidR="004734B5" w:rsidRPr="009D7CF6" w14:paraId="34938368"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56999D82" w14:textId="73E03E1A" w:rsidR="004734B5" w:rsidRPr="00F5104A" w:rsidRDefault="004734B5" w:rsidP="00AB235A">
            <w:pPr>
              <w:rPr>
                <w:rFonts w:cstheme="minorHAnsi"/>
                <w:color w:val="auto"/>
              </w:rPr>
            </w:pPr>
            <w:r w:rsidRPr="00F5104A">
              <w:rPr>
                <w:rFonts w:cstheme="minorHAnsi"/>
                <w:color w:val="auto"/>
              </w:rPr>
              <w:t>Korupcijos prevencija</w:t>
            </w:r>
          </w:p>
        </w:tc>
        <w:sdt>
          <w:sdtPr>
            <w:rPr>
              <w:rFonts w:cstheme="minorHAnsi"/>
            </w:rPr>
            <w:id w:val="1026833472"/>
            <w14:checkbox>
              <w14:checked w14:val="0"/>
              <w14:checkedState w14:val="2612" w14:font="MS Gothic"/>
              <w14:uncheckedState w14:val="2610" w14:font="MS Gothic"/>
            </w14:checkbox>
          </w:sdtPr>
          <w:sdtEndPr/>
          <w:sdtContent>
            <w:tc>
              <w:tcPr>
                <w:tcW w:w="587" w:type="pct"/>
                <w:tcBorders>
                  <w:top w:val="single" w:sz="4" w:space="0" w:color="auto"/>
                  <w:left w:val="single" w:sz="4" w:space="0" w:color="auto"/>
                  <w:bottom w:val="single" w:sz="4" w:space="0" w:color="auto"/>
                  <w:right w:val="single" w:sz="4" w:space="0" w:color="auto"/>
                </w:tcBorders>
              </w:tcPr>
              <w:p w14:paraId="5E3C554C"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1253657476"/>
            <w14:checkbox>
              <w14:checked w14:val="0"/>
              <w14:checkedState w14:val="2612" w14:font="MS Gothic"/>
              <w14:uncheckedState w14:val="2610" w14:font="MS Gothic"/>
            </w14:checkbox>
          </w:sdtPr>
          <w:sdtEndPr/>
          <w:sdtContent>
            <w:tc>
              <w:tcPr>
                <w:tcW w:w="479" w:type="pct"/>
                <w:tcBorders>
                  <w:top w:val="single" w:sz="4" w:space="0" w:color="auto"/>
                  <w:left w:val="single" w:sz="4" w:space="0" w:color="auto"/>
                  <w:bottom w:val="single" w:sz="4" w:space="0" w:color="auto"/>
                  <w:right w:val="single" w:sz="4" w:space="0" w:color="auto"/>
                </w:tcBorders>
              </w:tcPr>
              <w:p w14:paraId="4BA132FA" w14:textId="77777777" w:rsidR="004734B5" w:rsidRPr="00F5104A" w:rsidRDefault="004734B5" w:rsidP="00AB235A">
                <w:pPr>
                  <w:rPr>
                    <w:rFonts w:cstheme="minorHAnsi"/>
                    <w:color w:val="auto"/>
                  </w:rPr>
                </w:pPr>
                <w:r w:rsidRPr="00F5104A">
                  <w:rPr>
                    <w:rFonts w:ascii="Segoe UI Symbol" w:eastAsia="MS Gothic" w:hAnsi="Segoe UI Symbol" w:cs="Segoe UI Symbol"/>
                    <w:color w:val="auto"/>
                  </w:rPr>
                  <w:t>☐</w:t>
                </w:r>
              </w:p>
            </w:tc>
          </w:sdtContent>
        </w:sdt>
        <w:sdt>
          <w:sdtPr>
            <w:rPr>
              <w:rFonts w:cstheme="minorHAnsi"/>
            </w:rPr>
            <w:id w:val="1552886378"/>
            <w14:checkbox>
              <w14:checked w14:val="1"/>
              <w14:checkedState w14:val="2612" w14:font="MS Gothic"/>
              <w14:uncheckedState w14:val="2610" w14:font="MS Gothic"/>
            </w14:checkbox>
          </w:sdtPr>
          <w:sdtEndPr/>
          <w:sdtContent>
            <w:tc>
              <w:tcPr>
                <w:tcW w:w="431" w:type="pct"/>
                <w:tcBorders>
                  <w:top w:val="single" w:sz="4" w:space="0" w:color="auto"/>
                  <w:left w:val="single" w:sz="4" w:space="0" w:color="auto"/>
                  <w:bottom w:val="single" w:sz="4" w:space="0" w:color="auto"/>
                  <w:right w:val="single" w:sz="4" w:space="0" w:color="auto"/>
                </w:tcBorders>
              </w:tcPr>
              <w:p w14:paraId="022D9005" w14:textId="72107E38" w:rsidR="004734B5" w:rsidRPr="00F5104A" w:rsidRDefault="004D7B1D" w:rsidP="00AB235A">
                <w:pPr>
                  <w:rPr>
                    <w:rFonts w:cstheme="minorHAnsi"/>
                    <w:color w:val="auto"/>
                  </w:rPr>
                </w:pPr>
                <w:r w:rsidRPr="00F5104A">
                  <w:rPr>
                    <w:rFonts w:ascii="Segoe UI Symbol"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1498D34A" w14:textId="6E86D741" w:rsidR="004D7B1D" w:rsidRPr="00F5104A" w:rsidRDefault="004D7B1D" w:rsidP="004D7B1D">
            <w:pPr>
              <w:rPr>
                <w:rFonts w:cstheme="minorHAnsi"/>
                <w:color w:val="auto"/>
              </w:rPr>
            </w:pPr>
            <w:r w:rsidRPr="00F5104A">
              <w:rPr>
                <w:rFonts w:cstheme="minorHAnsi"/>
                <w:color w:val="auto"/>
              </w:rPr>
              <w:t xml:space="preserve">Korupcijos rizikų ir jų veiksnių nustatymas </w:t>
            </w:r>
            <w:r w:rsidR="00E606D4">
              <w:rPr>
                <w:rFonts w:cstheme="minorHAnsi"/>
                <w:color w:val="auto"/>
              </w:rPr>
              <w:t>PV</w:t>
            </w:r>
            <w:r w:rsidR="00E606D4" w:rsidRPr="00F5104A">
              <w:rPr>
                <w:rFonts w:cstheme="minorHAnsi"/>
                <w:color w:val="auto"/>
              </w:rPr>
              <w:t xml:space="preserve"> </w:t>
            </w:r>
            <w:r w:rsidRPr="00F5104A">
              <w:rPr>
                <w:rFonts w:cstheme="minorHAnsi"/>
                <w:color w:val="auto"/>
              </w:rPr>
              <w:t>veiklos srityse ir procesuose vykdomas kiekvienais metais iki einamųjų metų rugsėjo 1 d., atliekant korupcijos pasireiškimo tikimybės nustatymą. PV sudaro veiklos sričių sąrašą, skirtą sisteminti informaciją apie šią tikimybę, o 2025 m. buvo parengtas ir liepos 3 d. patvirtintas Bendrovės korupcijos rizikų žemėlapis, kuris iki patvirtinimo buvo pristatytas Audito komitetui. Rizikų žemėlapis peržiūrimas ir aktualizuojamas kiekvienais metais.</w:t>
            </w:r>
          </w:p>
          <w:p w14:paraId="45EE8D62" w14:textId="2EE3FAC3" w:rsidR="004D7B1D" w:rsidRPr="00F5104A" w:rsidRDefault="004D7B1D" w:rsidP="004D7B1D">
            <w:pPr>
              <w:rPr>
                <w:rFonts w:cstheme="minorHAnsi"/>
                <w:color w:val="auto"/>
              </w:rPr>
            </w:pPr>
            <w:r w:rsidRPr="00F5104A">
              <w:rPr>
                <w:rFonts w:cstheme="minorHAnsi"/>
                <w:color w:val="auto"/>
              </w:rPr>
              <w:t xml:space="preserve">Bendrovės darbuotojų privačių interesų deklaracijų duomenų patikros atliekamos periodiškai skirtingais aspektais. PV įdiegė vidinę privačių interesų deklaravimo sistemą, leidžiančią </w:t>
            </w:r>
            <w:r w:rsidRPr="006740AD">
              <w:rPr>
                <w:rFonts w:cstheme="minorHAnsi"/>
              </w:rPr>
              <w:t>Audito komiteto</w:t>
            </w:r>
            <w:r w:rsidRPr="00F5104A">
              <w:rPr>
                <w:rFonts w:cstheme="minorHAnsi"/>
                <w:color w:val="auto"/>
              </w:rPr>
              <w:t xml:space="preserve"> nariams ir darbuotojams atskleisti informaciją, galinčią turėti įtakos interesų konfliktams. Nors dauguma </w:t>
            </w:r>
            <w:r w:rsidR="00E87321">
              <w:rPr>
                <w:rFonts w:cstheme="minorHAnsi"/>
                <w:color w:val="auto"/>
              </w:rPr>
              <w:t>p</w:t>
            </w:r>
            <w:r w:rsidR="00E87321" w:rsidRPr="00F5104A">
              <w:rPr>
                <w:rFonts w:cstheme="minorHAnsi"/>
                <w:color w:val="auto"/>
              </w:rPr>
              <w:t xml:space="preserve">rojektų </w:t>
            </w:r>
            <w:r w:rsidRPr="00F5104A">
              <w:rPr>
                <w:rFonts w:cstheme="minorHAnsi"/>
                <w:color w:val="auto"/>
              </w:rPr>
              <w:t xml:space="preserve">valdymo grupės </w:t>
            </w:r>
            <w:r w:rsidR="00E87321">
              <w:rPr>
                <w:rFonts w:cstheme="minorHAnsi"/>
                <w:color w:val="auto"/>
              </w:rPr>
              <w:t xml:space="preserve">(PV struktūrinio </w:t>
            </w:r>
            <w:r w:rsidR="0057055D">
              <w:rPr>
                <w:rFonts w:cstheme="minorHAnsi"/>
                <w:color w:val="auto"/>
              </w:rPr>
              <w:t xml:space="preserve">padalinio) </w:t>
            </w:r>
            <w:r w:rsidRPr="00F5104A">
              <w:rPr>
                <w:rFonts w:cstheme="minorHAnsi"/>
                <w:color w:val="auto"/>
              </w:rPr>
              <w:t xml:space="preserve">darbuotojų, atsakingų </w:t>
            </w:r>
            <w:r w:rsidRPr="00F5104A">
              <w:rPr>
                <w:rFonts w:cstheme="minorHAnsi"/>
                <w:color w:val="auto"/>
              </w:rPr>
              <w:lastRenderedPageBreak/>
              <w:t>už sutarčių valdymą, pagal Viešųjų ir privačių interesų derinimo įstatymą nėra laikomi deklaruojančiais asmenimis, PV vertinimu, vidinė sistema reikšmingai prisideda prie interesų konfliktų valdymo sutarčių įgyvendinimo procese.</w:t>
            </w:r>
          </w:p>
          <w:p w14:paraId="28FAB236" w14:textId="416DE9EC" w:rsidR="004734B5" w:rsidRPr="00F5104A" w:rsidRDefault="004D7B1D" w:rsidP="00AB235A">
            <w:pPr>
              <w:rPr>
                <w:rFonts w:cstheme="minorHAnsi"/>
                <w:color w:val="auto"/>
              </w:rPr>
            </w:pPr>
            <w:r w:rsidRPr="00F5104A">
              <w:rPr>
                <w:rFonts w:cstheme="minorHAnsi"/>
                <w:color w:val="auto"/>
              </w:rPr>
              <w:t xml:space="preserve">Atsižvelgiant į korupcijos rizikų žemėlapio rezultatus ir naują </w:t>
            </w:r>
            <w:r w:rsidR="009469FE">
              <w:rPr>
                <w:rFonts w:cstheme="minorHAnsi"/>
                <w:color w:val="auto"/>
              </w:rPr>
              <w:t>PV</w:t>
            </w:r>
            <w:r w:rsidR="009469FE" w:rsidRPr="00F5104A">
              <w:rPr>
                <w:rFonts w:cstheme="minorHAnsi"/>
                <w:color w:val="auto"/>
              </w:rPr>
              <w:t xml:space="preserve"> </w:t>
            </w:r>
            <w:r w:rsidRPr="0085056D">
              <w:rPr>
                <w:rFonts w:cstheme="minorHAnsi"/>
                <w:color w:val="auto"/>
              </w:rPr>
              <w:t xml:space="preserve">struktūrą, </w:t>
            </w:r>
            <w:r w:rsidR="0085056D" w:rsidRPr="0085056D">
              <w:rPr>
                <w:rFonts w:cstheme="minorHAnsi"/>
              </w:rPr>
              <w:t xml:space="preserve">projektų </w:t>
            </w:r>
            <w:r w:rsidRPr="0085056D">
              <w:rPr>
                <w:rFonts w:cstheme="minorHAnsi"/>
              </w:rPr>
              <w:t>valdymo grupės</w:t>
            </w:r>
            <w:r w:rsidRPr="0085056D">
              <w:rPr>
                <w:rFonts w:cstheme="minorHAnsi"/>
                <w:color w:val="auto"/>
              </w:rPr>
              <w:t xml:space="preserve"> bei jos </w:t>
            </w:r>
            <w:r w:rsidRPr="00F5104A">
              <w:rPr>
                <w:rFonts w:cstheme="minorHAnsi"/>
                <w:color w:val="auto"/>
              </w:rPr>
              <w:t xml:space="preserve">struktūrinių padalinių vadovų pareigybės įtrauktos į sąrašą, </w:t>
            </w:r>
            <w:r w:rsidR="004F2944" w:rsidRPr="00F5104A">
              <w:rPr>
                <w:rFonts w:cstheme="minorHAnsi"/>
                <w:color w:val="auto"/>
              </w:rPr>
              <w:t>dėl kurių teikiamas prašymas Specialiųjų tyrimų tarnybai pateikti informaciją</w:t>
            </w:r>
            <w:r w:rsidR="00ED1B49">
              <w:t xml:space="preserve"> </w:t>
            </w:r>
            <w:r w:rsidR="00ED1B49" w:rsidRPr="00ED1B49">
              <w:rPr>
                <w:rFonts w:cstheme="minorHAnsi"/>
                <w:color w:val="auto"/>
              </w:rPr>
              <w:t>apie asmenį, siekiantį eiti arba einantį pareigas</w:t>
            </w:r>
            <w:r w:rsidR="008923B0">
              <w:rPr>
                <w:rFonts w:cstheme="minorHAnsi"/>
                <w:color w:val="auto"/>
              </w:rPr>
              <w:t xml:space="preserve"> pagal </w:t>
            </w:r>
            <w:r w:rsidR="001D732A">
              <w:rPr>
                <w:rFonts w:cstheme="minorHAnsi"/>
                <w:color w:val="auto"/>
              </w:rPr>
              <w:t>Lietuvos Respublikos</w:t>
            </w:r>
            <w:r w:rsidR="008923B0">
              <w:rPr>
                <w:rFonts w:cstheme="minorHAnsi"/>
                <w:color w:val="auto"/>
              </w:rPr>
              <w:t xml:space="preserve"> korupcijos prevencijos įstatymo 16 str. nuostatas</w:t>
            </w:r>
            <w:r w:rsidRPr="00F5104A">
              <w:rPr>
                <w:rFonts w:cstheme="minorHAnsi"/>
                <w:color w:val="auto"/>
              </w:rPr>
              <w:t xml:space="preserve">. Periodiškai atliekant patikras arba taikant kitas korupcijai atsparios aplinkos </w:t>
            </w:r>
            <w:r w:rsidR="00B76C0B">
              <w:rPr>
                <w:rFonts w:cstheme="minorHAnsi"/>
                <w:color w:val="auto"/>
              </w:rPr>
              <w:t xml:space="preserve">kūrimo </w:t>
            </w:r>
            <w:r w:rsidRPr="00F5104A">
              <w:rPr>
                <w:rFonts w:cstheme="minorHAnsi"/>
                <w:color w:val="auto"/>
              </w:rPr>
              <w:t xml:space="preserve">priemones, </w:t>
            </w:r>
            <w:r w:rsidR="001140BB" w:rsidRPr="00F5104A">
              <w:rPr>
                <w:rFonts w:cstheme="minorHAnsi"/>
                <w:color w:val="auto"/>
              </w:rPr>
              <w:t>nusta</w:t>
            </w:r>
            <w:r w:rsidR="001140BB">
              <w:rPr>
                <w:rFonts w:cstheme="minorHAnsi"/>
                <w:color w:val="auto"/>
              </w:rPr>
              <w:t xml:space="preserve">čius </w:t>
            </w:r>
            <w:r w:rsidRPr="00F5104A">
              <w:rPr>
                <w:rFonts w:cstheme="minorHAnsi"/>
                <w:color w:val="auto"/>
              </w:rPr>
              <w:t>neatitikimus</w:t>
            </w:r>
            <w:r w:rsidR="001140BB">
              <w:rPr>
                <w:rFonts w:cstheme="minorHAnsi"/>
                <w:color w:val="auto"/>
              </w:rPr>
              <w:t>,</w:t>
            </w:r>
            <w:r w:rsidR="004D5D54">
              <w:rPr>
                <w:rFonts w:cstheme="minorHAnsi"/>
                <w:color w:val="auto"/>
              </w:rPr>
              <w:t xml:space="preserve"> </w:t>
            </w:r>
            <w:r w:rsidRPr="00F5104A">
              <w:rPr>
                <w:rFonts w:cstheme="minorHAnsi"/>
                <w:color w:val="auto"/>
              </w:rPr>
              <w:t xml:space="preserve">darbuotojams nedelsiant teikiamos rekomendacijos, informuojami tiesioginiai vadovai, o pagal poreikį taikomos kitos teisės aktuose nustatytos priemonės, siekiant pašalinti neatitiktis arba suvaldyti nustatytą riziką. </w:t>
            </w:r>
            <w:r w:rsidR="008362FE" w:rsidRPr="00F5104A">
              <w:rPr>
                <w:rFonts w:cstheme="minorHAnsi"/>
                <w:color w:val="auto"/>
              </w:rPr>
              <w:t xml:space="preserve">Tarnybos vertinimu, </w:t>
            </w:r>
            <w:r w:rsidR="00155373" w:rsidRPr="00F5104A">
              <w:rPr>
                <w:rFonts w:cstheme="minorHAnsi"/>
                <w:color w:val="auto"/>
              </w:rPr>
              <w:t>n</w:t>
            </w:r>
            <w:r w:rsidR="008362FE" w:rsidRPr="00F5104A">
              <w:rPr>
                <w:rFonts w:cstheme="minorHAnsi"/>
                <w:color w:val="auto"/>
              </w:rPr>
              <w:t>uoseklus korupcijos rizikų vertinimas, privačių interesų deklaravimas ir periodinės patikros užtikrina aiškią atsakomybę, skaidrumą bei aktyvų rizikų valdymą, todėl PV šioje srityje demonstruoja gerąją praktiką.</w:t>
            </w:r>
          </w:p>
        </w:tc>
      </w:tr>
      <w:tr w:rsidR="004734B5" w:rsidRPr="009D7CF6" w14:paraId="67B2183B"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1A2509B2" w14:textId="77777777" w:rsidR="004734B5" w:rsidRPr="00F5104A" w:rsidRDefault="004734B5" w:rsidP="00AB235A">
            <w:pPr>
              <w:rPr>
                <w:rFonts w:cstheme="minorHAnsi"/>
                <w:color w:val="auto"/>
              </w:rPr>
            </w:pPr>
            <w:r w:rsidRPr="00F5104A">
              <w:rPr>
                <w:rFonts w:cstheme="minorHAnsi"/>
                <w:color w:val="auto"/>
              </w:rPr>
              <w:lastRenderedPageBreak/>
              <w:t>Kitos pastabos</w:t>
            </w:r>
          </w:p>
        </w:tc>
        <w:tc>
          <w:tcPr>
            <w:tcW w:w="3565" w:type="pct"/>
            <w:gridSpan w:val="4"/>
            <w:tcBorders>
              <w:top w:val="single" w:sz="4" w:space="0" w:color="auto"/>
              <w:left w:val="single" w:sz="4" w:space="0" w:color="auto"/>
              <w:bottom w:val="single" w:sz="4" w:space="0" w:color="auto"/>
              <w:right w:val="single" w:sz="4" w:space="0" w:color="auto"/>
            </w:tcBorders>
          </w:tcPr>
          <w:p w14:paraId="19F1AE22" w14:textId="7D27E701" w:rsidR="00994409" w:rsidRPr="00B3165E" w:rsidRDefault="00CD0F8C" w:rsidP="00B3165E">
            <w:pPr>
              <w:rPr>
                <w:rFonts w:cstheme="minorHAnsi"/>
              </w:rPr>
            </w:pPr>
            <w:r w:rsidRPr="00B3165E">
              <w:rPr>
                <w:rFonts w:cstheme="minorHAnsi"/>
                <w:color w:val="auto"/>
              </w:rPr>
              <w:t>PV nevykdė rezervuotų pirkimų, todėl nepasiekė VPĮ nustatyto privalomo rodiklio „Supaprastintų rezervuotų pirkimų vertė“ (</w:t>
            </w:r>
            <w:r w:rsidRPr="00B3165E">
              <w:rPr>
                <w:rFonts w:eastAsia="Calibri" w:cstheme="minorHAnsi"/>
                <w:color w:val="auto"/>
              </w:rPr>
              <w:t>≥</w:t>
            </w:r>
            <w:r w:rsidRPr="00B3165E">
              <w:rPr>
                <w:rFonts w:cstheme="minorHAnsi"/>
                <w:color w:val="auto"/>
              </w:rPr>
              <w:t>2 proc.).</w:t>
            </w:r>
          </w:p>
        </w:tc>
      </w:tr>
    </w:tbl>
    <w:p w14:paraId="0FFCA7C4" w14:textId="14EBE302" w:rsidR="004734B5" w:rsidRPr="009D7CF6" w:rsidRDefault="004734B5" w:rsidP="008C1A46">
      <w:pPr>
        <w:pStyle w:val="Heading1"/>
        <w:spacing w:before="240"/>
        <w:ind w:left="142" w:right="142"/>
        <w:rPr>
          <w:rFonts w:asciiTheme="minorHAnsi" w:hAnsiTheme="minorHAnsi" w:cstheme="minorHAnsi"/>
        </w:rPr>
      </w:pPr>
      <w:r w:rsidRPr="009D7CF6">
        <w:rPr>
          <w:rFonts w:asciiTheme="minorHAnsi" w:hAnsiTheme="minorHAnsi" w:cstheme="minorHAnsi"/>
        </w:rPr>
        <w:t>Išvados</w:t>
      </w:r>
    </w:p>
    <w:tbl>
      <w:tblPr>
        <w:tblStyle w:val="Bsenataskaitoslentel"/>
        <w:tblW w:w="5000" w:type="pct"/>
        <w:tblLayout w:type="fixed"/>
        <w:tblLook w:val="04A0" w:firstRow="1" w:lastRow="0" w:firstColumn="1" w:lastColumn="0" w:noHBand="0" w:noVBand="1"/>
      </w:tblPr>
      <w:tblGrid>
        <w:gridCol w:w="434"/>
        <w:gridCol w:w="13138"/>
      </w:tblGrid>
      <w:tr w:rsidR="004734B5" w:rsidRPr="009D7CF6" w14:paraId="65EDCC12" w14:textId="77777777" w:rsidTr="00AB235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6ABCBEBA"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TIKRinimo ataskaitos C dalies Išvados</w:t>
            </w:r>
          </w:p>
        </w:tc>
      </w:tr>
      <w:tr w:rsidR="004734B5" w:rsidRPr="009D7CF6" w14:paraId="6E47F311" w14:textId="77777777" w:rsidTr="0089084A">
        <w:tc>
          <w:tcPr>
            <w:tcW w:w="160" w:type="pct"/>
            <w:tcBorders>
              <w:top w:val="single" w:sz="4" w:space="0" w:color="auto"/>
              <w:left w:val="single" w:sz="4" w:space="0" w:color="auto"/>
              <w:bottom w:val="single" w:sz="4" w:space="0" w:color="auto"/>
              <w:right w:val="single" w:sz="4" w:space="0" w:color="auto"/>
            </w:tcBorders>
            <w:vAlign w:val="bottom"/>
          </w:tcPr>
          <w:p w14:paraId="6EBABAF5" w14:textId="77777777" w:rsidR="004734B5" w:rsidRPr="009D7CF6" w:rsidRDefault="004734B5" w:rsidP="00AB235A">
            <w:pPr>
              <w:rPr>
                <w:rFonts w:cstheme="minorHAnsi"/>
                <w:color w:val="auto"/>
              </w:rPr>
            </w:pPr>
            <w:r w:rsidRPr="009D7CF6">
              <w:rPr>
                <w:rFonts w:cstheme="minorHAnsi"/>
                <w:color w:val="auto"/>
              </w:rPr>
              <w:t xml:space="preserve">1. </w:t>
            </w:r>
          </w:p>
        </w:tc>
        <w:tc>
          <w:tcPr>
            <w:tcW w:w="4840" w:type="pct"/>
            <w:tcBorders>
              <w:top w:val="single" w:sz="4" w:space="0" w:color="auto"/>
              <w:left w:val="single" w:sz="4" w:space="0" w:color="auto"/>
              <w:bottom w:val="single" w:sz="4" w:space="0" w:color="auto"/>
              <w:right w:val="single" w:sz="4" w:space="0" w:color="auto"/>
            </w:tcBorders>
          </w:tcPr>
          <w:p w14:paraId="0CA342D7" w14:textId="4192F58A" w:rsidR="004734B5" w:rsidRPr="009D7CF6" w:rsidRDefault="00C8583C" w:rsidP="00AB235A">
            <w:pPr>
              <w:rPr>
                <w:rFonts w:cstheme="minorHAnsi"/>
                <w:color w:val="auto"/>
              </w:rPr>
            </w:pPr>
            <w:r w:rsidRPr="009D7CF6">
              <w:rPr>
                <w:rFonts w:cstheme="minorHAnsi"/>
                <w:color w:val="auto"/>
              </w:rPr>
              <w:t xml:space="preserve">Aiški </w:t>
            </w:r>
            <w:r w:rsidR="008B7D48">
              <w:rPr>
                <w:rFonts w:cstheme="minorHAnsi"/>
                <w:color w:val="auto"/>
              </w:rPr>
              <w:t xml:space="preserve">PV </w:t>
            </w:r>
            <w:r w:rsidRPr="009D7CF6">
              <w:rPr>
                <w:rFonts w:cstheme="minorHAnsi"/>
                <w:color w:val="auto"/>
              </w:rPr>
              <w:t>atsakingų asmenų paskyrimo tvarka, papildyta automatizuotais kontrolės mechanizmais, užtikrina, kad kiekviena sutartis turi priskirtus atsakingus darbuotojus ir jų identifikavimas yra paprastas bei skaidrus.</w:t>
            </w:r>
          </w:p>
        </w:tc>
      </w:tr>
      <w:tr w:rsidR="004734B5" w:rsidRPr="009D7CF6" w14:paraId="306E43C0" w14:textId="77777777" w:rsidTr="0089084A">
        <w:tc>
          <w:tcPr>
            <w:tcW w:w="160" w:type="pct"/>
            <w:tcBorders>
              <w:top w:val="single" w:sz="4" w:space="0" w:color="auto"/>
              <w:left w:val="single" w:sz="4" w:space="0" w:color="auto"/>
              <w:bottom w:val="single" w:sz="4" w:space="0" w:color="auto"/>
              <w:right w:val="single" w:sz="4" w:space="0" w:color="auto"/>
            </w:tcBorders>
            <w:vAlign w:val="bottom"/>
          </w:tcPr>
          <w:p w14:paraId="5944BF85" w14:textId="77777777" w:rsidR="004734B5" w:rsidRPr="009D7CF6" w:rsidRDefault="004734B5" w:rsidP="00AB235A">
            <w:pPr>
              <w:rPr>
                <w:rFonts w:cstheme="minorHAnsi"/>
                <w:color w:val="auto"/>
              </w:rPr>
            </w:pPr>
            <w:r w:rsidRPr="009D7CF6">
              <w:rPr>
                <w:rFonts w:cstheme="minorHAnsi"/>
                <w:color w:val="auto"/>
              </w:rPr>
              <w:t xml:space="preserve">2. </w:t>
            </w:r>
          </w:p>
        </w:tc>
        <w:tc>
          <w:tcPr>
            <w:tcW w:w="4840" w:type="pct"/>
            <w:tcBorders>
              <w:top w:val="single" w:sz="4" w:space="0" w:color="auto"/>
              <w:left w:val="single" w:sz="4" w:space="0" w:color="auto"/>
              <w:bottom w:val="single" w:sz="4" w:space="0" w:color="auto"/>
              <w:right w:val="single" w:sz="4" w:space="0" w:color="auto"/>
            </w:tcBorders>
          </w:tcPr>
          <w:p w14:paraId="3D744455" w14:textId="7BD6B7A6" w:rsidR="004734B5" w:rsidRPr="009D7CF6" w:rsidRDefault="0089084A" w:rsidP="00AB235A">
            <w:pPr>
              <w:rPr>
                <w:rFonts w:cstheme="minorHAnsi"/>
                <w:color w:val="auto"/>
              </w:rPr>
            </w:pPr>
            <w:r w:rsidRPr="009D7CF6">
              <w:rPr>
                <w:rFonts w:cstheme="minorHAnsi"/>
                <w:color w:val="auto"/>
              </w:rPr>
              <w:t xml:space="preserve">Nuoseklus </w:t>
            </w:r>
            <w:r w:rsidR="00F13E69" w:rsidRPr="009D7CF6">
              <w:rPr>
                <w:rFonts w:cstheme="minorHAnsi"/>
                <w:color w:val="auto"/>
              </w:rPr>
              <w:t>atsakomyb</w:t>
            </w:r>
            <w:r w:rsidR="00F13E69">
              <w:rPr>
                <w:rFonts w:cstheme="minorHAnsi"/>
                <w:color w:val="auto"/>
              </w:rPr>
              <w:t>ių</w:t>
            </w:r>
            <w:r w:rsidR="00F13E69" w:rsidRPr="009D7CF6">
              <w:rPr>
                <w:rFonts w:cstheme="minorHAnsi"/>
                <w:color w:val="auto"/>
              </w:rPr>
              <w:t xml:space="preserve"> </w:t>
            </w:r>
            <w:r w:rsidRPr="009D7CF6">
              <w:rPr>
                <w:rFonts w:cstheme="minorHAnsi"/>
                <w:color w:val="auto"/>
              </w:rPr>
              <w:t xml:space="preserve">paskirstymas tarp Sutarties savininko, </w:t>
            </w:r>
            <w:r w:rsidR="00F13E69" w:rsidRPr="009D7CF6">
              <w:rPr>
                <w:rFonts w:cstheme="minorHAnsi"/>
                <w:color w:val="auto"/>
              </w:rPr>
              <w:t>Projekt</w:t>
            </w:r>
            <w:r w:rsidR="00F13E69">
              <w:rPr>
                <w:rFonts w:cstheme="minorHAnsi"/>
                <w:color w:val="auto"/>
              </w:rPr>
              <w:t>ų</w:t>
            </w:r>
            <w:r w:rsidR="00F13E69" w:rsidRPr="009D7CF6">
              <w:rPr>
                <w:rFonts w:cstheme="minorHAnsi"/>
                <w:color w:val="auto"/>
              </w:rPr>
              <w:t xml:space="preserve"> </w:t>
            </w:r>
            <w:r w:rsidRPr="009D7CF6">
              <w:rPr>
                <w:rFonts w:cstheme="minorHAnsi"/>
                <w:color w:val="auto"/>
              </w:rPr>
              <w:t xml:space="preserve">vadovo, </w:t>
            </w:r>
            <w:r w:rsidR="00F13E69" w:rsidRPr="009D7CF6">
              <w:rPr>
                <w:rFonts w:cstheme="minorHAnsi"/>
                <w:color w:val="auto"/>
              </w:rPr>
              <w:t>Projekt</w:t>
            </w:r>
            <w:r w:rsidR="00F13E69">
              <w:rPr>
                <w:rFonts w:cstheme="minorHAnsi"/>
                <w:color w:val="auto"/>
              </w:rPr>
              <w:t>ų</w:t>
            </w:r>
            <w:r w:rsidR="00F13E69" w:rsidRPr="009D7CF6">
              <w:rPr>
                <w:rFonts w:cstheme="minorHAnsi"/>
                <w:color w:val="auto"/>
              </w:rPr>
              <w:t xml:space="preserve"> </w:t>
            </w:r>
            <w:r w:rsidRPr="009D7CF6">
              <w:rPr>
                <w:rFonts w:cstheme="minorHAnsi"/>
                <w:color w:val="auto"/>
              </w:rPr>
              <w:t>koordinatoriaus ir teisininkų užtikrina sklandų, savalaikį ir efektyvų sutarčių vykdymo procesų valdymą.</w:t>
            </w:r>
          </w:p>
        </w:tc>
      </w:tr>
      <w:tr w:rsidR="004734B5" w:rsidRPr="009D7CF6" w14:paraId="75A34E55" w14:textId="77777777" w:rsidTr="0089084A">
        <w:tc>
          <w:tcPr>
            <w:tcW w:w="160" w:type="pct"/>
            <w:tcBorders>
              <w:top w:val="single" w:sz="4" w:space="0" w:color="auto"/>
              <w:left w:val="single" w:sz="4" w:space="0" w:color="auto"/>
              <w:bottom w:val="single" w:sz="4" w:space="0" w:color="auto"/>
              <w:right w:val="single" w:sz="4" w:space="0" w:color="auto"/>
            </w:tcBorders>
            <w:vAlign w:val="bottom"/>
          </w:tcPr>
          <w:p w14:paraId="1129F28C" w14:textId="77777777" w:rsidR="004734B5" w:rsidRPr="009D7CF6" w:rsidRDefault="004734B5" w:rsidP="00AB235A">
            <w:pPr>
              <w:rPr>
                <w:rFonts w:cstheme="minorHAnsi"/>
                <w:color w:val="auto"/>
              </w:rPr>
            </w:pPr>
            <w:r w:rsidRPr="009D7CF6">
              <w:rPr>
                <w:rFonts w:cstheme="minorHAnsi"/>
                <w:color w:val="auto"/>
              </w:rPr>
              <w:t xml:space="preserve">3. </w:t>
            </w:r>
          </w:p>
        </w:tc>
        <w:tc>
          <w:tcPr>
            <w:tcW w:w="4840" w:type="pct"/>
            <w:tcBorders>
              <w:top w:val="single" w:sz="4" w:space="0" w:color="auto"/>
              <w:left w:val="single" w:sz="4" w:space="0" w:color="auto"/>
              <w:bottom w:val="single" w:sz="4" w:space="0" w:color="auto"/>
              <w:right w:val="single" w:sz="4" w:space="0" w:color="auto"/>
            </w:tcBorders>
          </w:tcPr>
          <w:p w14:paraId="114A9784" w14:textId="03289AAE" w:rsidR="004734B5" w:rsidRPr="009D7CF6" w:rsidRDefault="00A0331D" w:rsidP="00AB235A">
            <w:pPr>
              <w:rPr>
                <w:rFonts w:cstheme="minorHAnsi"/>
                <w:color w:val="auto"/>
              </w:rPr>
            </w:pPr>
            <w:r w:rsidRPr="009D7CF6">
              <w:rPr>
                <w:rFonts w:cstheme="minorHAnsi"/>
                <w:color w:val="auto"/>
              </w:rPr>
              <w:t>Sutarties netinkamo vykdymo valdymo procesas PV yra struktūruotas</w:t>
            </w:r>
            <w:r w:rsidR="00315A26">
              <w:rPr>
                <w:rFonts w:cstheme="minorHAnsi"/>
                <w:color w:val="auto"/>
              </w:rPr>
              <w:t>. Į procesą</w:t>
            </w:r>
            <w:r w:rsidRPr="009D7CF6">
              <w:rPr>
                <w:rFonts w:cstheme="minorHAnsi"/>
                <w:color w:val="auto"/>
              </w:rPr>
              <w:t xml:space="preserve"> </w:t>
            </w:r>
            <w:r w:rsidR="00315A26" w:rsidRPr="009D7CF6">
              <w:rPr>
                <w:rFonts w:cstheme="minorHAnsi"/>
                <w:color w:val="auto"/>
              </w:rPr>
              <w:t>įtraukia</w:t>
            </w:r>
            <w:r w:rsidR="00315A26">
              <w:rPr>
                <w:rFonts w:cstheme="minorHAnsi"/>
                <w:color w:val="auto"/>
              </w:rPr>
              <w:t>mi</w:t>
            </w:r>
            <w:r w:rsidR="00315A26" w:rsidRPr="009D7CF6">
              <w:rPr>
                <w:rFonts w:cstheme="minorHAnsi"/>
                <w:color w:val="auto"/>
              </w:rPr>
              <w:t xml:space="preserve"> </w:t>
            </w:r>
            <w:r w:rsidRPr="009D7CF6">
              <w:rPr>
                <w:rFonts w:cstheme="minorHAnsi"/>
                <w:color w:val="auto"/>
              </w:rPr>
              <w:t xml:space="preserve">keli </w:t>
            </w:r>
            <w:r w:rsidR="00315A26" w:rsidRPr="009D7CF6">
              <w:rPr>
                <w:rFonts w:cstheme="minorHAnsi"/>
                <w:color w:val="auto"/>
              </w:rPr>
              <w:t>atsaking</w:t>
            </w:r>
            <w:r w:rsidR="00315A26">
              <w:rPr>
                <w:rFonts w:cstheme="minorHAnsi"/>
                <w:color w:val="auto"/>
              </w:rPr>
              <w:t>i</w:t>
            </w:r>
            <w:r w:rsidR="00315A26" w:rsidRPr="009D7CF6">
              <w:rPr>
                <w:rFonts w:cstheme="minorHAnsi"/>
                <w:color w:val="auto"/>
              </w:rPr>
              <w:t xml:space="preserve"> asmen</w:t>
            </w:r>
            <w:r w:rsidR="00315A26">
              <w:rPr>
                <w:rFonts w:cstheme="minorHAnsi"/>
                <w:color w:val="auto"/>
              </w:rPr>
              <w:t>ys,</w:t>
            </w:r>
            <w:r w:rsidR="00315A26" w:rsidRPr="009D7CF6">
              <w:rPr>
                <w:rFonts w:cstheme="minorHAnsi"/>
                <w:color w:val="auto"/>
              </w:rPr>
              <w:t xml:space="preserve"> </w:t>
            </w:r>
            <w:r w:rsidR="00315A26">
              <w:rPr>
                <w:rFonts w:cstheme="minorHAnsi"/>
                <w:color w:val="auto"/>
              </w:rPr>
              <w:t>o</w:t>
            </w:r>
            <w:r w:rsidRPr="009D7CF6">
              <w:rPr>
                <w:rFonts w:cstheme="minorHAnsi"/>
                <w:color w:val="auto"/>
              </w:rPr>
              <w:t xml:space="preserve">, didesnių </w:t>
            </w:r>
            <w:r w:rsidR="00315A26" w:rsidRPr="009D7CF6">
              <w:rPr>
                <w:rFonts w:cstheme="minorHAnsi"/>
                <w:color w:val="auto"/>
              </w:rPr>
              <w:t>ver</w:t>
            </w:r>
            <w:r w:rsidR="00315A26">
              <w:rPr>
                <w:rFonts w:cstheme="minorHAnsi"/>
                <w:color w:val="auto"/>
              </w:rPr>
              <w:t>čių</w:t>
            </w:r>
            <w:r w:rsidR="00315A26" w:rsidRPr="009D7CF6">
              <w:rPr>
                <w:rFonts w:cstheme="minorHAnsi"/>
                <w:color w:val="auto"/>
              </w:rPr>
              <w:t xml:space="preserve"> </w:t>
            </w:r>
            <w:r w:rsidRPr="009D7CF6">
              <w:rPr>
                <w:rFonts w:cstheme="minorHAnsi"/>
                <w:color w:val="auto"/>
              </w:rPr>
              <w:t xml:space="preserve">sutarčių atvejais, </w:t>
            </w:r>
            <w:r w:rsidR="00CE6EB3" w:rsidRPr="009D7CF6">
              <w:rPr>
                <w:rFonts w:cstheme="minorHAnsi"/>
                <w:color w:val="auto"/>
              </w:rPr>
              <w:t>specializuot</w:t>
            </w:r>
            <w:r w:rsidR="00CE6EB3">
              <w:rPr>
                <w:rFonts w:cstheme="minorHAnsi"/>
                <w:color w:val="auto"/>
              </w:rPr>
              <w:t>a</w:t>
            </w:r>
            <w:r w:rsidR="00CE6EB3" w:rsidRPr="009D7CF6">
              <w:rPr>
                <w:rFonts w:cstheme="minorHAnsi"/>
                <w:color w:val="auto"/>
              </w:rPr>
              <w:t xml:space="preserve"> komisij</w:t>
            </w:r>
            <w:r w:rsidR="00CE6EB3">
              <w:rPr>
                <w:rFonts w:cstheme="minorHAnsi"/>
                <w:color w:val="auto"/>
              </w:rPr>
              <w:t>a</w:t>
            </w:r>
            <w:r w:rsidRPr="009D7CF6">
              <w:rPr>
                <w:rFonts w:cstheme="minorHAnsi"/>
                <w:color w:val="auto"/>
              </w:rPr>
              <w:t>, todėl netesybų taikymas vykdomas tiksliai ir pagrįstai.</w:t>
            </w:r>
          </w:p>
        </w:tc>
      </w:tr>
      <w:tr w:rsidR="0083099F" w:rsidRPr="009D7CF6" w14:paraId="3E61C597" w14:textId="77777777" w:rsidTr="0089084A">
        <w:tc>
          <w:tcPr>
            <w:tcW w:w="160" w:type="pct"/>
            <w:tcBorders>
              <w:top w:val="single" w:sz="4" w:space="0" w:color="auto"/>
              <w:left w:val="single" w:sz="4" w:space="0" w:color="auto"/>
              <w:bottom w:val="single" w:sz="4" w:space="0" w:color="auto"/>
              <w:right w:val="single" w:sz="4" w:space="0" w:color="auto"/>
            </w:tcBorders>
            <w:vAlign w:val="bottom"/>
          </w:tcPr>
          <w:p w14:paraId="1501199A" w14:textId="7D40E228" w:rsidR="0083099F" w:rsidRPr="009D7CF6" w:rsidRDefault="0083099F" w:rsidP="0083099F">
            <w:pPr>
              <w:rPr>
                <w:rFonts w:cstheme="minorHAnsi"/>
                <w:color w:val="auto"/>
              </w:rPr>
            </w:pPr>
            <w:r w:rsidRPr="009D7CF6">
              <w:rPr>
                <w:rFonts w:cstheme="minorHAnsi"/>
                <w:color w:val="auto"/>
              </w:rPr>
              <w:t xml:space="preserve">4. </w:t>
            </w:r>
          </w:p>
        </w:tc>
        <w:tc>
          <w:tcPr>
            <w:tcW w:w="4840" w:type="pct"/>
            <w:tcBorders>
              <w:top w:val="single" w:sz="4" w:space="0" w:color="auto"/>
              <w:left w:val="single" w:sz="4" w:space="0" w:color="auto"/>
              <w:bottom w:val="single" w:sz="4" w:space="0" w:color="auto"/>
              <w:right w:val="single" w:sz="4" w:space="0" w:color="auto"/>
            </w:tcBorders>
          </w:tcPr>
          <w:p w14:paraId="663FF332" w14:textId="15EFC67A" w:rsidR="0083099F" w:rsidRPr="009D7CF6" w:rsidRDefault="0083099F" w:rsidP="0083099F">
            <w:pPr>
              <w:rPr>
                <w:rFonts w:cstheme="minorHAnsi"/>
                <w:color w:val="auto"/>
              </w:rPr>
            </w:pPr>
            <w:r w:rsidRPr="009D7CF6">
              <w:rPr>
                <w:rFonts w:cstheme="minorHAnsi"/>
                <w:color w:val="auto"/>
              </w:rPr>
              <w:t>Nuoseklus ir sistemingas atsakingų asmenų mokymų organizavimas PV užtikrina, kad darbuotojai, atsakingi už sutartis, turi reikiamas žinias ir įgūdžius, o tai gerina sutartinių procesų valdymą ir laikytina gerąja praktika.</w:t>
            </w:r>
          </w:p>
        </w:tc>
      </w:tr>
      <w:tr w:rsidR="0083099F" w:rsidRPr="009D7CF6" w14:paraId="3A014E36" w14:textId="77777777" w:rsidTr="0089084A">
        <w:tc>
          <w:tcPr>
            <w:tcW w:w="160" w:type="pct"/>
            <w:tcBorders>
              <w:top w:val="single" w:sz="4" w:space="0" w:color="auto"/>
              <w:left w:val="single" w:sz="4" w:space="0" w:color="auto"/>
              <w:bottom w:val="single" w:sz="4" w:space="0" w:color="auto"/>
              <w:right w:val="single" w:sz="4" w:space="0" w:color="auto"/>
            </w:tcBorders>
            <w:vAlign w:val="bottom"/>
          </w:tcPr>
          <w:p w14:paraId="3EF32647" w14:textId="217D1FCD" w:rsidR="0083099F" w:rsidRPr="009D7CF6" w:rsidRDefault="0083099F" w:rsidP="0083099F">
            <w:pPr>
              <w:rPr>
                <w:rFonts w:cstheme="minorHAnsi"/>
                <w:color w:val="auto"/>
              </w:rPr>
            </w:pPr>
            <w:r w:rsidRPr="009D7CF6">
              <w:rPr>
                <w:rFonts w:cstheme="minorHAnsi"/>
                <w:color w:val="auto"/>
              </w:rPr>
              <w:t xml:space="preserve">5. </w:t>
            </w:r>
          </w:p>
        </w:tc>
        <w:tc>
          <w:tcPr>
            <w:tcW w:w="4840" w:type="pct"/>
            <w:tcBorders>
              <w:top w:val="single" w:sz="4" w:space="0" w:color="auto"/>
              <w:left w:val="single" w:sz="4" w:space="0" w:color="auto"/>
              <w:bottom w:val="single" w:sz="4" w:space="0" w:color="auto"/>
              <w:right w:val="single" w:sz="4" w:space="0" w:color="auto"/>
            </w:tcBorders>
          </w:tcPr>
          <w:p w14:paraId="11105108" w14:textId="64E7655E" w:rsidR="0083099F" w:rsidRPr="009D7CF6" w:rsidRDefault="0083099F" w:rsidP="0083099F">
            <w:pPr>
              <w:rPr>
                <w:rFonts w:cstheme="minorHAnsi"/>
                <w:color w:val="auto"/>
              </w:rPr>
            </w:pPr>
            <w:r w:rsidRPr="009D7CF6">
              <w:rPr>
                <w:rFonts w:cstheme="minorHAnsi"/>
                <w:color w:val="auto"/>
              </w:rPr>
              <w:t xml:space="preserve">PV </w:t>
            </w:r>
            <w:r w:rsidR="00AC60D0">
              <w:rPr>
                <w:rFonts w:cstheme="minorHAnsi"/>
                <w:color w:val="auto"/>
              </w:rPr>
              <w:t>siekis užtikrinti</w:t>
            </w:r>
            <w:r w:rsidRPr="009D7CF6">
              <w:rPr>
                <w:rFonts w:cstheme="minorHAnsi"/>
                <w:color w:val="auto"/>
              </w:rPr>
              <w:t xml:space="preserve"> tarptautinių sankcijų bei nacionalinio saugumo reikalavimų laikymąsi, apimant</w:t>
            </w:r>
            <w:r w:rsidR="00AC60D0">
              <w:rPr>
                <w:rFonts w:cstheme="minorHAnsi"/>
                <w:color w:val="auto"/>
              </w:rPr>
              <w:t>į</w:t>
            </w:r>
            <w:r w:rsidRPr="009D7CF6">
              <w:rPr>
                <w:rFonts w:cstheme="minorHAnsi"/>
                <w:color w:val="auto"/>
              </w:rPr>
              <w:t xml:space="preserve"> tiekėjų ir subtiekėjų patikras, rizikų vertinimą bei atskaitomybę, kartu su atliktų patikrų kiekiu, rodo</w:t>
            </w:r>
            <w:r w:rsidRPr="009D7CF6">
              <w:rPr>
                <w:rFonts w:eastAsia="Times New Roman" w:cstheme="minorHAnsi"/>
                <w:color w:val="auto"/>
                <w:lang w:eastAsia="en-US"/>
              </w:rPr>
              <w:t xml:space="preserve"> </w:t>
            </w:r>
            <w:r w:rsidRPr="009D7CF6">
              <w:rPr>
                <w:rFonts w:cstheme="minorHAnsi"/>
                <w:color w:val="auto"/>
              </w:rPr>
              <w:t>aukštą sutartinių procesų valdymo lygį.</w:t>
            </w:r>
          </w:p>
        </w:tc>
      </w:tr>
      <w:tr w:rsidR="0083099F" w:rsidRPr="009D7CF6" w14:paraId="14DE1657" w14:textId="77777777" w:rsidTr="0089084A">
        <w:tc>
          <w:tcPr>
            <w:tcW w:w="160" w:type="pct"/>
            <w:tcBorders>
              <w:top w:val="single" w:sz="4" w:space="0" w:color="auto"/>
              <w:left w:val="single" w:sz="4" w:space="0" w:color="auto"/>
              <w:bottom w:val="single" w:sz="4" w:space="0" w:color="auto"/>
              <w:right w:val="single" w:sz="4" w:space="0" w:color="auto"/>
            </w:tcBorders>
            <w:vAlign w:val="bottom"/>
          </w:tcPr>
          <w:p w14:paraId="6F8CCE85" w14:textId="3BF5E40A" w:rsidR="0083099F" w:rsidRPr="009D7CF6" w:rsidRDefault="0083099F" w:rsidP="0083099F">
            <w:pPr>
              <w:rPr>
                <w:rFonts w:cstheme="minorHAnsi"/>
                <w:color w:val="auto"/>
              </w:rPr>
            </w:pPr>
            <w:r w:rsidRPr="009D7CF6">
              <w:rPr>
                <w:rFonts w:cstheme="minorHAnsi"/>
                <w:color w:val="auto"/>
              </w:rPr>
              <w:lastRenderedPageBreak/>
              <w:t xml:space="preserve">6. </w:t>
            </w:r>
          </w:p>
        </w:tc>
        <w:tc>
          <w:tcPr>
            <w:tcW w:w="4840" w:type="pct"/>
            <w:tcBorders>
              <w:top w:val="single" w:sz="4" w:space="0" w:color="auto"/>
              <w:left w:val="single" w:sz="4" w:space="0" w:color="auto"/>
              <w:bottom w:val="single" w:sz="4" w:space="0" w:color="auto"/>
              <w:right w:val="single" w:sz="4" w:space="0" w:color="auto"/>
            </w:tcBorders>
          </w:tcPr>
          <w:p w14:paraId="07DBC340" w14:textId="6AF738F0" w:rsidR="0083099F" w:rsidRPr="009D7CF6" w:rsidRDefault="0083099F" w:rsidP="0083099F">
            <w:pPr>
              <w:rPr>
                <w:rFonts w:cstheme="minorHAnsi"/>
                <w:color w:val="auto"/>
              </w:rPr>
            </w:pPr>
            <w:r w:rsidRPr="009D7CF6">
              <w:rPr>
                <w:rFonts w:cstheme="minorHAnsi"/>
                <w:color w:val="auto"/>
              </w:rPr>
              <w:t>PV atsakingas požiūris į korupcijos prevenciją ir plačiai taikomų priemonių rinkinys atspindi organizacijos vadovybės įsipareigojimą užtikrinti procesų skaidrumą ir rizikų valdymą, ypatingą dėmesį skiriant darbuotojų nešališkiems sprendimams, interesų konfliktų prevencijai bei viešųjų pirkimų ir sutarčių vykdymo priežiūrai.</w:t>
            </w:r>
          </w:p>
        </w:tc>
      </w:tr>
    </w:tbl>
    <w:p w14:paraId="47E6186F" w14:textId="77777777" w:rsidR="004734B5" w:rsidRPr="009D7CF6" w:rsidRDefault="004734B5" w:rsidP="004734B5">
      <w:pPr>
        <w:rPr>
          <w:rFonts w:asciiTheme="minorHAnsi" w:hAnsiTheme="minorHAnsi" w:cstheme="minorHAnsi"/>
        </w:rPr>
      </w:pPr>
    </w:p>
    <w:tbl>
      <w:tblPr>
        <w:tblStyle w:val="Bsenataskaitoslentel"/>
        <w:tblW w:w="5000" w:type="pct"/>
        <w:tblLayout w:type="fixed"/>
        <w:tblLook w:val="04A0" w:firstRow="1" w:lastRow="0" w:firstColumn="1" w:lastColumn="0" w:noHBand="0" w:noVBand="1"/>
      </w:tblPr>
      <w:tblGrid>
        <w:gridCol w:w="3899"/>
        <w:gridCol w:w="1443"/>
        <w:gridCol w:w="1733"/>
        <w:gridCol w:w="1589"/>
        <w:gridCol w:w="2601"/>
        <w:gridCol w:w="2297"/>
      </w:tblGrid>
      <w:tr w:rsidR="004734B5" w:rsidRPr="009D7CF6" w14:paraId="70D3E5EF" w14:textId="77777777" w:rsidTr="00AB235A">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61442759" w14:textId="2CEB48D2" w:rsidR="004734B5" w:rsidRPr="009D7CF6" w:rsidRDefault="004734B5" w:rsidP="00AB235A">
            <w:pPr>
              <w:rPr>
                <w:rFonts w:asciiTheme="minorHAnsi" w:hAnsiTheme="minorHAnsi" w:cstheme="minorHAnsi"/>
              </w:rPr>
            </w:pPr>
            <w:r w:rsidRPr="009D7CF6">
              <w:rPr>
                <w:rFonts w:asciiTheme="minorHAnsi" w:hAnsiTheme="minorHAnsi" w:cstheme="minorHAnsi"/>
              </w:rPr>
              <w:t>BENDRAS PIRKIMO VYKDYTOJO  PIRKIMŲ VALDYSENOS VERTINIMAS</w:t>
            </w:r>
          </w:p>
        </w:tc>
        <w:tc>
          <w:tcPr>
            <w:tcW w:w="532" w:type="pct"/>
            <w:tcBorders>
              <w:top w:val="single" w:sz="4" w:space="0" w:color="auto"/>
              <w:left w:val="single" w:sz="4" w:space="0" w:color="auto"/>
              <w:bottom w:val="single" w:sz="4" w:space="0" w:color="auto"/>
              <w:right w:val="single" w:sz="4" w:space="0" w:color="auto"/>
            </w:tcBorders>
          </w:tcPr>
          <w:p w14:paraId="0EA6770C" w14:textId="77777777" w:rsidR="004734B5" w:rsidRPr="009D7CF6" w:rsidRDefault="00C35B30" w:rsidP="00AB235A">
            <w:pPr>
              <w:rPr>
                <w:rFonts w:asciiTheme="minorHAnsi" w:hAnsiTheme="minorHAnsi" w:cstheme="minorHAnsi"/>
              </w:rPr>
            </w:pPr>
            <w:sdt>
              <w:sdtPr>
                <w:rPr>
                  <w:rFonts w:asciiTheme="minorHAnsi" w:hAnsiTheme="minorHAnsi" w:cstheme="minorHAnsi"/>
                </w:rPr>
                <w:id w:val="1557192731"/>
                <w14:checkbox>
                  <w14:checked w14:val="0"/>
                  <w14:checkedState w14:val="2612" w14:font="MS Gothic"/>
                  <w14:uncheckedState w14:val="2610" w14:font="MS Gothic"/>
                </w14:checkbox>
              </w:sdtPr>
              <w:sdtEndPr/>
              <w:sdtContent>
                <w:r w:rsidR="004734B5" w:rsidRPr="009D7CF6">
                  <w:rPr>
                    <w:rFonts w:ascii="Segoe UI Symbol" w:eastAsia="MS Gothic" w:hAnsi="Segoe UI Symbol" w:cs="Segoe UI Symbol"/>
                  </w:rPr>
                  <w:t>☐</w:t>
                </w:r>
              </w:sdtContent>
            </w:sdt>
            <w:r w:rsidR="004734B5" w:rsidRPr="009D7CF6">
              <w:rPr>
                <w:rFonts w:asciiTheme="minorHAnsi" w:hAnsiTheme="minorHAnsi" w:cstheme="minorHAnsi"/>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2331C88D" w14:textId="05CFC4C2" w:rsidR="004734B5" w:rsidRPr="009D7CF6" w:rsidRDefault="00C35B30" w:rsidP="00AB235A">
            <w:pPr>
              <w:rPr>
                <w:rFonts w:asciiTheme="minorHAnsi" w:hAnsiTheme="minorHAnsi" w:cstheme="minorHAnsi"/>
              </w:rPr>
            </w:pPr>
            <w:sdt>
              <w:sdtPr>
                <w:rPr>
                  <w:rFonts w:asciiTheme="minorHAnsi" w:hAnsiTheme="minorHAnsi" w:cstheme="minorHAnsi"/>
                </w:rPr>
                <w:id w:val="-889271054"/>
                <w14:checkbox>
                  <w14:checked w14:val="0"/>
                  <w14:checkedState w14:val="2612" w14:font="MS Gothic"/>
                  <w14:uncheckedState w14:val="2610" w14:font="MS Gothic"/>
                </w14:checkbox>
              </w:sdtPr>
              <w:sdtEndPr/>
              <w:sdtContent>
                <w:r w:rsidR="00927198" w:rsidRPr="00927198">
                  <w:rPr>
                    <w:rFonts w:ascii="MS Gothic" w:hAnsi="MS Gothic" w:cstheme="minorHAnsi" w:hint="eastAsia"/>
                  </w:rPr>
                  <w:t>☐</w:t>
                </w:r>
              </w:sdtContent>
            </w:sdt>
            <w:r w:rsidR="004734B5" w:rsidRPr="009D7CF6">
              <w:rPr>
                <w:rFonts w:asciiTheme="minorHAnsi" w:hAnsiTheme="minorHAnsi" w:cstheme="minorHAnsi"/>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47E77DBF" w14:textId="5FC56BEF" w:rsidR="004734B5" w:rsidRPr="009D7CF6" w:rsidRDefault="00C35B30" w:rsidP="00AB235A">
            <w:pPr>
              <w:rPr>
                <w:rFonts w:asciiTheme="minorHAnsi" w:hAnsiTheme="minorHAnsi" w:cstheme="minorHAnsi"/>
              </w:rPr>
            </w:pPr>
            <w:sdt>
              <w:sdtPr>
                <w:rPr>
                  <w:rFonts w:asciiTheme="minorHAnsi" w:hAnsiTheme="minorHAnsi" w:cstheme="minorHAnsi"/>
                </w:rPr>
                <w:id w:val="-787889793"/>
                <w14:checkbox>
                  <w14:checked w14:val="1"/>
                  <w14:checkedState w14:val="2612" w14:font="MS Gothic"/>
                  <w14:uncheckedState w14:val="2610" w14:font="MS Gothic"/>
                </w14:checkbox>
              </w:sdtPr>
              <w:sdtEndPr/>
              <w:sdtContent>
                <w:r w:rsidR="00927198" w:rsidRPr="00927198">
                  <w:rPr>
                    <w:rFonts w:ascii="MS Gothic" w:hAnsi="MS Gothic" w:cs="Segoe UI Symbol" w:hint="eastAsia"/>
                  </w:rPr>
                  <w:t>☒</w:t>
                </w:r>
              </w:sdtContent>
            </w:sdt>
            <w:r w:rsidR="004734B5" w:rsidRPr="009D7CF6">
              <w:rPr>
                <w:rFonts w:asciiTheme="minorHAnsi" w:hAnsiTheme="minorHAnsi" w:cstheme="minorHAnsi"/>
              </w:rPr>
              <w:t xml:space="preserve"> C (GERA)</w:t>
            </w:r>
          </w:p>
        </w:tc>
        <w:tc>
          <w:tcPr>
            <w:tcW w:w="959" w:type="pct"/>
            <w:tcBorders>
              <w:top w:val="single" w:sz="4" w:space="0" w:color="auto"/>
              <w:left w:val="single" w:sz="4" w:space="0" w:color="auto"/>
              <w:bottom w:val="single" w:sz="4" w:space="0" w:color="auto"/>
              <w:right w:val="single" w:sz="4" w:space="0" w:color="auto"/>
            </w:tcBorders>
          </w:tcPr>
          <w:p w14:paraId="16CFEEE4" w14:textId="77777777" w:rsidR="004734B5" w:rsidRPr="009D7CF6" w:rsidRDefault="00C35B30" w:rsidP="00AB235A">
            <w:pPr>
              <w:rPr>
                <w:rFonts w:asciiTheme="minorHAnsi" w:hAnsiTheme="minorHAnsi" w:cstheme="minorHAnsi"/>
                <w:caps w:val="0"/>
              </w:rPr>
            </w:pPr>
            <w:sdt>
              <w:sdtPr>
                <w:rPr>
                  <w:rFonts w:asciiTheme="minorHAnsi" w:hAnsiTheme="minorHAnsi" w:cstheme="minorHAnsi"/>
                </w:rPr>
                <w:id w:val="2131897808"/>
                <w14:checkbox>
                  <w14:checked w14:val="0"/>
                  <w14:checkedState w14:val="2612" w14:font="MS Gothic"/>
                  <w14:uncheckedState w14:val="2610" w14:font="MS Gothic"/>
                </w14:checkbox>
              </w:sdtPr>
              <w:sdtEndPr/>
              <w:sdtContent>
                <w:r w:rsidR="004734B5" w:rsidRPr="009D7CF6">
                  <w:rPr>
                    <w:rFonts w:ascii="Segoe UI Symbol" w:eastAsia="MS Gothic" w:hAnsi="Segoe UI Symbol" w:cs="Segoe UI Symbol"/>
                  </w:rPr>
                  <w:t>☐</w:t>
                </w:r>
              </w:sdtContent>
            </w:sdt>
            <w:r w:rsidR="004734B5" w:rsidRPr="009D7CF6">
              <w:rPr>
                <w:rFonts w:asciiTheme="minorHAnsi" w:hAnsiTheme="minorHAnsi" w:cstheme="minorHAnsi"/>
              </w:rPr>
              <w:t xml:space="preserve"> D (tenkina minimaliai)</w:t>
            </w:r>
          </w:p>
        </w:tc>
        <w:tc>
          <w:tcPr>
            <w:tcW w:w="848" w:type="pct"/>
            <w:tcBorders>
              <w:top w:val="single" w:sz="4" w:space="0" w:color="auto"/>
              <w:left w:val="single" w:sz="4" w:space="0" w:color="auto"/>
              <w:bottom w:val="single" w:sz="4" w:space="0" w:color="auto"/>
              <w:right w:val="single" w:sz="4" w:space="0" w:color="auto"/>
            </w:tcBorders>
          </w:tcPr>
          <w:p w14:paraId="420C66E3" w14:textId="77777777" w:rsidR="004734B5" w:rsidRPr="009D7CF6" w:rsidRDefault="00C35B30" w:rsidP="00AB235A">
            <w:pPr>
              <w:rPr>
                <w:rFonts w:asciiTheme="minorHAnsi" w:hAnsiTheme="minorHAnsi" w:cstheme="minorHAnsi"/>
              </w:rPr>
            </w:pPr>
            <w:sdt>
              <w:sdtPr>
                <w:rPr>
                  <w:rFonts w:asciiTheme="minorHAnsi" w:hAnsiTheme="minorHAnsi" w:cstheme="minorHAnsi"/>
                </w:rPr>
                <w:id w:val="-304628597"/>
                <w14:checkbox>
                  <w14:checked w14:val="0"/>
                  <w14:checkedState w14:val="2612" w14:font="MS Gothic"/>
                  <w14:uncheckedState w14:val="2610" w14:font="MS Gothic"/>
                </w14:checkbox>
              </w:sdtPr>
              <w:sdtEndPr/>
              <w:sdtContent>
                <w:r w:rsidR="004734B5" w:rsidRPr="009D7CF6">
                  <w:rPr>
                    <w:rFonts w:ascii="Segoe UI Symbol" w:eastAsia="MS Gothic" w:hAnsi="Segoe UI Symbol" w:cs="Segoe UI Symbol"/>
                  </w:rPr>
                  <w:t>☐</w:t>
                </w:r>
              </w:sdtContent>
            </w:sdt>
            <w:r w:rsidR="004734B5" w:rsidRPr="009D7CF6">
              <w:rPr>
                <w:rFonts w:asciiTheme="minorHAnsi" w:hAnsiTheme="minorHAnsi" w:cstheme="minorHAnsi"/>
              </w:rPr>
              <w:t xml:space="preserve"> E (nepatenkinama)</w:t>
            </w:r>
          </w:p>
        </w:tc>
      </w:tr>
    </w:tbl>
    <w:p w14:paraId="0C28E901" w14:textId="77777777" w:rsidR="004734B5" w:rsidRPr="009D7CF6" w:rsidRDefault="004734B5" w:rsidP="004734B5">
      <w:pPr>
        <w:pStyle w:val="Heading1"/>
        <w:spacing w:before="240"/>
        <w:ind w:left="142" w:right="142"/>
        <w:rPr>
          <w:rFonts w:asciiTheme="minorHAnsi" w:hAnsiTheme="minorHAnsi" w:cstheme="minorHAnsi"/>
        </w:rPr>
      </w:pPr>
      <w:r w:rsidRPr="009D7CF6">
        <w:rPr>
          <w:rFonts w:asciiTheme="minorHAnsi" w:hAnsiTheme="minorHAnsi" w:cstheme="minorHAnsi"/>
        </w:rPr>
        <w:t>ĮPAreigojimai</w:t>
      </w:r>
    </w:p>
    <w:tbl>
      <w:tblPr>
        <w:tblStyle w:val="Bsenataskaitoslentel"/>
        <w:tblW w:w="5000" w:type="pct"/>
        <w:tblBorders>
          <w:insideH w:val="none" w:sz="0" w:space="0" w:color="auto"/>
        </w:tblBorders>
        <w:tblLayout w:type="fixed"/>
        <w:tblLook w:val="04A0" w:firstRow="1" w:lastRow="0" w:firstColumn="1" w:lastColumn="0" w:noHBand="0" w:noVBand="1"/>
      </w:tblPr>
      <w:tblGrid>
        <w:gridCol w:w="13572"/>
      </w:tblGrid>
      <w:tr w:rsidR="004734B5" w:rsidRPr="009D7CF6" w14:paraId="6EE407C2" w14:textId="77777777" w:rsidTr="0088644C">
        <w:trPr>
          <w:cnfStyle w:val="100000000000" w:firstRow="1" w:lastRow="0" w:firstColumn="0" w:lastColumn="0" w:oddVBand="0" w:evenVBand="0" w:oddHBand="0" w:evenHBand="0" w:firstRowFirstColumn="0" w:firstRowLastColumn="0" w:lastRowFirstColumn="0" w:lastRowLastColumn="0"/>
        </w:trPr>
        <w:tc>
          <w:tcPr>
            <w:tcW w:w="5000" w:type="pct"/>
          </w:tcPr>
          <w:p w14:paraId="56E95FE3" w14:textId="13E0014A" w:rsidR="004734B5" w:rsidRPr="009D7CF6" w:rsidRDefault="0088644C" w:rsidP="00F81A31">
            <w:pPr>
              <w:spacing w:before="0" w:after="0"/>
              <w:rPr>
                <w:rFonts w:asciiTheme="minorHAnsi" w:hAnsiTheme="minorHAnsi" w:cstheme="minorHAnsi"/>
                <w:bCs/>
              </w:rPr>
            </w:pPr>
            <w:r w:rsidRPr="009D7CF6">
              <w:rPr>
                <w:rFonts w:asciiTheme="minorHAnsi" w:hAnsiTheme="minorHAnsi" w:cstheme="minorHAnsi"/>
                <w:bCs/>
              </w:rPr>
              <w:t>_</w:t>
            </w:r>
          </w:p>
          <w:p w14:paraId="187F837D" w14:textId="4BB94B92" w:rsidR="007E6C6B" w:rsidRPr="009D7CF6" w:rsidRDefault="007E6C6B" w:rsidP="00F81A31">
            <w:pPr>
              <w:spacing w:before="0" w:after="0"/>
              <w:rPr>
                <w:rFonts w:asciiTheme="minorHAnsi" w:hAnsiTheme="minorHAnsi" w:cstheme="minorHAnsi"/>
                <w:caps w:val="0"/>
              </w:rPr>
            </w:pPr>
          </w:p>
        </w:tc>
      </w:tr>
    </w:tbl>
    <w:p w14:paraId="059D5B9C" w14:textId="77777777" w:rsidR="004734B5" w:rsidRPr="009D7CF6" w:rsidRDefault="004734B5" w:rsidP="004734B5">
      <w:pPr>
        <w:pStyle w:val="Heading1"/>
        <w:spacing w:before="240"/>
        <w:ind w:left="142" w:right="142"/>
        <w:rPr>
          <w:rFonts w:asciiTheme="minorHAnsi" w:hAnsiTheme="minorHAnsi" w:cstheme="minorHAnsi"/>
        </w:rPr>
      </w:pPr>
      <w:r w:rsidRPr="009D7CF6">
        <w:rPr>
          <w:rFonts w:asciiTheme="minorHAnsi" w:hAnsiTheme="minorHAnsi" w:cstheme="minorHAnsi"/>
        </w:rPr>
        <w:t>rekomendacijos ir jų įgyvendinimo priemonių planas</w:t>
      </w:r>
    </w:p>
    <w:tbl>
      <w:tblPr>
        <w:tblStyle w:val="Bsenataskaitoslentel"/>
        <w:tblW w:w="5004" w:type="pct"/>
        <w:tblLayout w:type="fixed"/>
        <w:tblLook w:val="04A0" w:firstRow="1" w:lastRow="0" w:firstColumn="1" w:lastColumn="0" w:noHBand="0" w:noVBand="1"/>
      </w:tblPr>
      <w:tblGrid>
        <w:gridCol w:w="2595"/>
        <w:gridCol w:w="3757"/>
        <w:gridCol w:w="2457"/>
        <w:gridCol w:w="2020"/>
        <w:gridCol w:w="2744"/>
      </w:tblGrid>
      <w:tr w:rsidR="004734B5" w:rsidRPr="009D7CF6" w14:paraId="55597D51" w14:textId="77777777" w:rsidTr="00AB235A">
        <w:trPr>
          <w:cnfStyle w:val="100000000000" w:firstRow="1" w:lastRow="0" w:firstColumn="0" w:lastColumn="0" w:oddVBand="0" w:evenVBand="0" w:oddHBand="0" w:evenHBand="0" w:firstRowFirstColumn="0" w:firstRowLastColumn="0" w:lastRowFirstColumn="0" w:lastRowLastColumn="0"/>
          <w:trHeight w:val="162"/>
        </w:trPr>
        <w:tc>
          <w:tcPr>
            <w:tcW w:w="956" w:type="pct"/>
            <w:tcBorders>
              <w:top w:val="single" w:sz="4" w:space="0" w:color="auto"/>
              <w:left w:val="single" w:sz="4" w:space="0" w:color="auto"/>
              <w:bottom w:val="single" w:sz="4" w:space="0" w:color="auto"/>
              <w:right w:val="single" w:sz="4" w:space="0" w:color="auto"/>
            </w:tcBorders>
          </w:tcPr>
          <w:p w14:paraId="23EDB03A"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 xml:space="preserve">Rekomendacijos </w:t>
            </w:r>
            <w:r w:rsidRPr="009D7CF6">
              <w:rPr>
                <w:rFonts w:asciiTheme="minorHAnsi" w:hAnsiTheme="minorHAnsi" w:cstheme="minorHAnsi"/>
                <w:b/>
                <w:bCs/>
              </w:rPr>
              <w:t>C. Dalis</w:t>
            </w:r>
          </w:p>
        </w:tc>
        <w:tc>
          <w:tcPr>
            <w:tcW w:w="1384" w:type="pct"/>
            <w:tcBorders>
              <w:top w:val="single" w:sz="4" w:space="0" w:color="auto"/>
              <w:left w:val="single" w:sz="4" w:space="0" w:color="auto"/>
              <w:bottom w:val="single" w:sz="4" w:space="0" w:color="auto"/>
              <w:right w:val="single" w:sz="4" w:space="0" w:color="auto"/>
            </w:tcBorders>
          </w:tcPr>
          <w:p w14:paraId="708E6374" w14:textId="77777777" w:rsidR="004734B5" w:rsidRPr="009D7CF6" w:rsidRDefault="004734B5" w:rsidP="00AB235A">
            <w:pPr>
              <w:rPr>
                <w:rFonts w:asciiTheme="minorHAnsi" w:hAnsiTheme="minorHAnsi" w:cstheme="minorHAnsi"/>
                <w:caps w:val="0"/>
              </w:rPr>
            </w:pPr>
            <w:r w:rsidRPr="009D7CF6">
              <w:rPr>
                <w:rFonts w:asciiTheme="minorHAnsi" w:hAnsiTheme="minorHAnsi" w:cstheme="minorHAnsi"/>
              </w:rPr>
              <w:t>Rekomendacijos įvykdymo terminas</w:t>
            </w:r>
          </w:p>
        </w:tc>
        <w:tc>
          <w:tcPr>
            <w:tcW w:w="905" w:type="pct"/>
            <w:tcBorders>
              <w:top w:val="single" w:sz="4" w:space="0" w:color="auto"/>
              <w:left w:val="single" w:sz="4" w:space="0" w:color="auto"/>
              <w:bottom w:val="single" w:sz="4" w:space="0" w:color="auto"/>
              <w:right w:val="single" w:sz="4" w:space="0" w:color="auto"/>
            </w:tcBorders>
          </w:tcPr>
          <w:p w14:paraId="218A56CC" w14:textId="77777777" w:rsidR="004734B5" w:rsidRPr="009D7CF6" w:rsidRDefault="004734B5" w:rsidP="00AB235A">
            <w:pPr>
              <w:rPr>
                <w:rFonts w:asciiTheme="minorHAnsi" w:hAnsiTheme="minorHAnsi" w:cstheme="minorHAnsi"/>
                <w:caps w:val="0"/>
              </w:rPr>
            </w:pPr>
            <w:r w:rsidRPr="009D7CF6">
              <w:rPr>
                <w:rFonts w:asciiTheme="minorHAnsi" w:hAnsiTheme="minorHAnsi" w:cstheme="minorHAnsi"/>
                <w:caps w:val="0"/>
              </w:rPr>
              <w:t>ĮGYVENDINIMO PRIEMONĖ</w:t>
            </w:r>
          </w:p>
        </w:tc>
        <w:tc>
          <w:tcPr>
            <w:tcW w:w="744" w:type="pct"/>
            <w:tcBorders>
              <w:top w:val="single" w:sz="4" w:space="0" w:color="auto"/>
              <w:left w:val="single" w:sz="4" w:space="0" w:color="auto"/>
              <w:bottom w:val="single" w:sz="4" w:space="0" w:color="auto"/>
              <w:right w:val="single" w:sz="4" w:space="0" w:color="auto"/>
            </w:tcBorders>
          </w:tcPr>
          <w:p w14:paraId="53309B1D" w14:textId="77777777" w:rsidR="004734B5" w:rsidRPr="009D7CF6" w:rsidRDefault="004734B5" w:rsidP="00AB235A">
            <w:pPr>
              <w:rPr>
                <w:rFonts w:asciiTheme="minorHAnsi" w:hAnsiTheme="minorHAnsi" w:cstheme="minorHAnsi"/>
                <w:caps w:val="0"/>
              </w:rPr>
            </w:pPr>
            <w:r w:rsidRPr="009D7CF6">
              <w:rPr>
                <w:rFonts w:asciiTheme="minorHAnsi" w:hAnsiTheme="minorHAnsi" w:cstheme="minorHAnsi"/>
                <w:caps w:val="0"/>
              </w:rPr>
              <w:t>ATSAKINGI ASMENYS</w:t>
            </w:r>
          </w:p>
        </w:tc>
        <w:tc>
          <w:tcPr>
            <w:tcW w:w="1011" w:type="pct"/>
            <w:tcBorders>
              <w:top w:val="single" w:sz="4" w:space="0" w:color="auto"/>
              <w:left w:val="single" w:sz="4" w:space="0" w:color="auto"/>
              <w:bottom w:val="single" w:sz="4" w:space="0" w:color="auto"/>
              <w:right w:val="single" w:sz="4" w:space="0" w:color="auto"/>
            </w:tcBorders>
          </w:tcPr>
          <w:p w14:paraId="0ABB7A8F" w14:textId="77777777" w:rsidR="004734B5" w:rsidRPr="009D7CF6" w:rsidRDefault="004734B5" w:rsidP="00AB235A">
            <w:pPr>
              <w:rPr>
                <w:rFonts w:asciiTheme="minorHAnsi" w:hAnsiTheme="minorHAnsi" w:cstheme="minorHAnsi"/>
              </w:rPr>
            </w:pPr>
            <w:r w:rsidRPr="009D7CF6">
              <w:rPr>
                <w:rFonts w:asciiTheme="minorHAnsi" w:hAnsiTheme="minorHAnsi" w:cstheme="minorHAnsi"/>
              </w:rPr>
              <w:t>Įgyvendinimo TERMINAS</w:t>
            </w:r>
          </w:p>
        </w:tc>
      </w:tr>
      <w:tr w:rsidR="00782558" w:rsidRPr="00782558" w14:paraId="79ABF246" w14:textId="77777777" w:rsidTr="00AB235A">
        <w:trPr>
          <w:trHeight w:val="162"/>
        </w:trPr>
        <w:tc>
          <w:tcPr>
            <w:tcW w:w="956" w:type="pct"/>
            <w:tcBorders>
              <w:top w:val="single" w:sz="4" w:space="0" w:color="auto"/>
              <w:left w:val="single" w:sz="4" w:space="0" w:color="auto"/>
              <w:bottom w:val="single" w:sz="4" w:space="0" w:color="auto"/>
              <w:right w:val="single" w:sz="4" w:space="0" w:color="auto"/>
            </w:tcBorders>
            <w:vAlign w:val="bottom"/>
          </w:tcPr>
          <w:p w14:paraId="65295D32" w14:textId="77777777" w:rsidR="004734B5" w:rsidRPr="00782558" w:rsidRDefault="004734B5" w:rsidP="00AB235A">
            <w:pPr>
              <w:rPr>
                <w:rFonts w:cstheme="minorHAnsi"/>
                <w:color w:val="auto"/>
              </w:rPr>
            </w:pPr>
            <w:r w:rsidRPr="00782558">
              <w:rPr>
                <w:rFonts w:cstheme="minorHAnsi"/>
                <w:color w:val="auto"/>
              </w:rPr>
              <w:t>[Pildo VPT]</w:t>
            </w:r>
          </w:p>
        </w:tc>
        <w:tc>
          <w:tcPr>
            <w:tcW w:w="1384" w:type="pct"/>
            <w:tcBorders>
              <w:top w:val="single" w:sz="4" w:space="0" w:color="auto"/>
              <w:left w:val="single" w:sz="4" w:space="0" w:color="auto"/>
              <w:bottom w:val="single" w:sz="4" w:space="0" w:color="auto"/>
              <w:right w:val="single" w:sz="4" w:space="0" w:color="auto"/>
            </w:tcBorders>
            <w:vAlign w:val="bottom"/>
          </w:tcPr>
          <w:p w14:paraId="7EE94005" w14:textId="77777777" w:rsidR="004734B5" w:rsidRPr="00782558" w:rsidRDefault="004734B5" w:rsidP="00AB235A">
            <w:pPr>
              <w:rPr>
                <w:rFonts w:cstheme="minorHAnsi"/>
                <w:caps/>
                <w:color w:val="auto"/>
              </w:rPr>
            </w:pPr>
            <w:r w:rsidRPr="00782558">
              <w:rPr>
                <w:rFonts w:cstheme="minorHAnsi"/>
                <w:color w:val="auto"/>
              </w:rPr>
              <w:t>[Pildo VPT]</w:t>
            </w:r>
          </w:p>
        </w:tc>
        <w:tc>
          <w:tcPr>
            <w:tcW w:w="905" w:type="pct"/>
            <w:tcBorders>
              <w:top w:val="single" w:sz="4" w:space="0" w:color="auto"/>
              <w:left w:val="single" w:sz="4" w:space="0" w:color="auto"/>
              <w:bottom w:val="single" w:sz="4" w:space="0" w:color="auto"/>
              <w:right w:val="single" w:sz="4" w:space="0" w:color="auto"/>
            </w:tcBorders>
            <w:vAlign w:val="bottom"/>
          </w:tcPr>
          <w:p w14:paraId="5549FF7E" w14:textId="77777777" w:rsidR="004734B5" w:rsidRPr="00782558" w:rsidRDefault="004734B5" w:rsidP="00AB235A">
            <w:pPr>
              <w:rPr>
                <w:rFonts w:cstheme="minorHAnsi"/>
                <w:caps/>
                <w:color w:val="auto"/>
              </w:rPr>
            </w:pPr>
            <w:r w:rsidRPr="00782558">
              <w:rPr>
                <w:rFonts w:cstheme="minorHAnsi"/>
                <w:color w:val="auto"/>
              </w:rPr>
              <w:t>[Pildo PV]</w:t>
            </w:r>
          </w:p>
        </w:tc>
        <w:tc>
          <w:tcPr>
            <w:tcW w:w="744" w:type="pct"/>
            <w:tcBorders>
              <w:top w:val="single" w:sz="4" w:space="0" w:color="auto"/>
              <w:left w:val="single" w:sz="4" w:space="0" w:color="auto"/>
              <w:bottom w:val="single" w:sz="4" w:space="0" w:color="auto"/>
              <w:right w:val="single" w:sz="4" w:space="0" w:color="auto"/>
            </w:tcBorders>
            <w:vAlign w:val="bottom"/>
          </w:tcPr>
          <w:p w14:paraId="12DB7266" w14:textId="77777777" w:rsidR="004734B5" w:rsidRPr="00782558" w:rsidRDefault="004734B5" w:rsidP="00AB235A">
            <w:pPr>
              <w:rPr>
                <w:rFonts w:cstheme="minorHAnsi"/>
                <w:caps/>
                <w:color w:val="auto"/>
              </w:rPr>
            </w:pPr>
            <w:r w:rsidRPr="00782558">
              <w:rPr>
                <w:rFonts w:cstheme="minorHAnsi"/>
                <w:color w:val="auto"/>
              </w:rPr>
              <w:t>[Pildo PV]</w:t>
            </w:r>
          </w:p>
        </w:tc>
        <w:tc>
          <w:tcPr>
            <w:tcW w:w="1011" w:type="pct"/>
            <w:tcBorders>
              <w:top w:val="single" w:sz="4" w:space="0" w:color="auto"/>
              <w:left w:val="single" w:sz="4" w:space="0" w:color="auto"/>
              <w:bottom w:val="single" w:sz="4" w:space="0" w:color="auto"/>
              <w:right w:val="single" w:sz="4" w:space="0" w:color="auto"/>
            </w:tcBorders>
            <w:vAlign w:val="bottom"/>
          </w:tcPr>
          <w:p w14:paraId="07C05C92" w14:textId="77777777" w:rsidR="004734B5" w:rsidRPr="00782558" w:rsidRDefault="004734B5" w:rsidP="00AB235A">
            <w:pPr>
              <w:rPr>
                <w:rFonts w:cstheme="minorHAnsi"/>
                <w:color w:val="auto"/>
              </w:rPr>
            </w:pPr>
            <w:r w:rsidRPr="00782558">
              <w:rPr>
                <w:rFonts w:cstheme="minorHAnsi"/>
                <w:color w:val="auto"/>
              </w:rPr>
              <w:t>[Pildo PV]</w:t>
            </w:r>
          </w:p>
        </w:tc>
      </w:tr>
      <w:tr w:rsidR="007E6C6B" w:rsidRPr="007E6C6B" w14:paraId="45C48BB8" w14:textId="77777777" w:rsidTr="0084792D">
        <w:tc>
          <w:tcPr>
            <w:tcW w:w="956" w:type="pct"/>
            <w:tcBorders>
              <w:top w:val="single" w:sz="4" w:space="0" w:color="auto"/>
              <w:left w:val="single" w:sz="4" w:space="0" w:color="auto"/>
              <w:bottom w:val="single" w:sz="4" w:space="0" w:color="auto"/>
              <w:right w:val="single" w:sz="4" w:space="0" w:color="auto"/>
            </w:tcBorders>
          </w:tcPr>
          <w:p w14:paraId="534CB482" w14:textId="3E8DCED0" w:rsidR="00447579" w:rsidRDefault="00F41D1F" w:rsidP="00AB235A">
            <w:pPr>
              <w:rPr>
                <w:rFonts w:cstheme="minorHAnsi"/>
                <w:color w:val="auto"/>
              </w:rPr>
            </w:pPr>
            <w:r w:rsidRPr="00F41D1F">
              <w:rPr>
                <w:rFonts w:cstheme="minorHAnsi"/>
                <w:color w:val="auto"/>
              </w:rPr>
              <w:t>Sustiprinti Viešųjų pirkimų skyriaus vadovo veiklą, ją sistemiškai nukreipiant į Švieslentėje fiksuojamų VPĮ privalomų rodiklių (įskaitant Supaprastintų rezervuotų pirkimų vertę) įgyvendinimo nuolatinę stebėseną, priemonių plano šiems rodikliams pasiekti ir gerinti parengimą bei jo tikslinimą pagal poreikį, taip pat nustatytų priemonių įgyvendinimo kontrolę.</w:t>
            </w:r>
          </w:p>
          <w:p w14:paraId="547A7232" w14:textId="6F604908" w:rsidR="004734B5" w:rsidRPr="007E6C6B" w:rsidRDefault="004734B5" w:rsidP="00AB235A">
            <w:pPr>
              <w:rPr>
                <w:rFonts w:cstheme="minorHAnsi"/>
                <w:color w:val="auto"/>
              </w:rPr>
            </w:pPr>
          </w:p>
        </w:tc>
        <w:tc>
          <w:tcPr>
            <w:tcW w:w="1384" w:type="pct"/>
            <w:tcBorders>
              <w:top w:val="single" w:sz="4" w:space="0" w:color="auto"/>
              <w:left w:val="single" w:sz="4" w:space="0" w:color="auto"/>
              <w:bottom w:val="single" w:sz="4" w:space="0" w:color="auto"/>
              <w:right w:val="single" w:sz="4" w:space="0" w:color="auto"/>
            </w:tcBorders>
          </w:tcPr>
          <w:p w14:paraId="787BD149" w14:textId="21293D56" w:rsidR="004734B5" w:rsidRPr="007E6C6B" w:rsidRDefault="00E90255" w:rsidP="00AB235A">
            <w:pPr>
              <w:rPr>
                <w:rFonts w:cstheme="minorHAnsi"/>
                <w:color w:val="auto"/>
              </w:rPr>
            </w:pPr>
            <w:r w:rsidRPr="007E6C6B">
              <w:rPr>
                <w:rFonts w:cstheme="minorHAnsi"/>
                <w:color w:val="auto"/>
              </w:rPr>
              <w:t xml:space="preserve">2026 m. </w:t>
            </w:r>
            <w:r w:rsidR="00F81A31" w:rsidRPr="007E6C6B">
              <w:rPr>
                <w:rFonts w:cstheme="minorHAnsi"/>
                <w:color w:val="auto"/>
              </w:rPr>
              <w:t>sausio mėn.</w:t>
            </w:r>
          </w:p>
        </w:tc>
        <w:tc>
          <w:tcPr>
            <w:tcW w:w="905" w:type="pct"/>
            <w:tcBorders>
              <w:top w:val="single" w:sz="4" w:space="0" w:color="auto"/>
              <w:left w:val="single" w:sz="4" w:space="0" w:color="auto"/>
              <w:bottom w:val="single" w:sz="4" w:space="0" w:color="auto"/>
              <w:right w:val="single" w:sz="4" w:space="0" w:color="auto"/>
            </w:tcBorders>
          </w:tcPr>
          <w:p w14:paraId="4118D7A7" w14:textId="63F6560D" w:rsidR="004734B5" w:rsidRPr="007E6C6B" w:rsidRDefault="00F41D1F" w:rsidP="00AB235A">
            <w:pPr>
              <w:rPr>
                <w:rFonts w:cstheme="minorHAnsi"/>
                <w:color w:val="auto"/>
              </w:rPr>
            </w:pPr>
            <w:r w:rsidRPr="00F41D1F">
              <w:rPr>
                <w:rFonts w:cstheme="minorHAnsi"/>
                <w:color w:val="auto"/>
              </w:rPr>
              <w:t xml:space="preserve">Įvertinti kiekvieno tiekėjo, kurie atitinka VPĮ 23 apibrėžtį, paskelbtų tiekiamų prekių, teikiamų paslaugų ir atliekamų darbų sąrašus ir formuojant 2026 metų bendrovės viešųjų pirkimų planą, esant realiai galimybei, ne mažiau kaip 2 procentus visų per kalendorinius metus supaprastintų pirkimų vertės rezervuoti VPĮ 23 straipsnio 1 dalyje nurodytiems tiekėjams (išskyrus atvejus, kai šie tiekėjai perkančiajai organizacijai reikiamų prekių negamina, paslaugų neteikia ar darbų </w:t>
            </w:r>
            <w:r w:rsidRPr="00F41D1F">
              <w:rPr>
                <w:rFonts w:cstheme="minorHAnsi"/>
                <w:color w:val="auto"/>
              </w:rPr>
              <w:lastRenderedPageBreak/>
              <w:t>neatlieka). Kiekvieną einamųjų metų ketvirtį šio rodiklio įgyvendinimo statusą ir įgyvendinimo rodiklius pristatyti bendrovės Valdybai.</w:t>
            </w:r>
          </w:p>
        </w:tc>
        <w:tc>
          <w:tcPr>
            <w:tcW w:w="744" w:type="pct"/>
            <w:tcBorders>
              <w:top w:val="single" w:sz="4" w:space="0" w:color="auto"/>
              <w:left w:val="single" w:sz="4" w:space="0" w:color="auto"/>
              <w:bottom w:val="single" w:sz="4" w:space="0" w:color="auto"/>
              <w:right w:val="single" w:sz="4" w:space="0" w:color="auto"/>
            </w:tcBorders>
          </w:tcPr>
          <w:p w14:paraId="7115FE80" w14:textId="3BA06260" w:rsidR="004734B5" w:rsidRPr="007E6C6B" w:rsidRDefault="001B47F1" w:rsidP="00AB235A">
            <w:pPr>
              <w:rPr>
                <w:rFonts w:cstheme="minorHAnsi"/>
                <w:color w:val="auto"/>
              </w:rPr>
            </w:pPr>
            <w:r>
              <w:rPr>
                <w:rFonts w:cstheme="minorHAnsi"/>
                <w:color w:val="auto"/>
              </w:rPr>
              <w:lastRenderedPageBreak/>
              <w:t>PV</w:t>
            </w:r>
            <w:r w:rsidR="00886684" w:rsidRPr="00886684">
              <w:rPr>
                <w:rFonts w:cstheme="minorHAnsi"/>
                <w:color w:val="auto"/>
              </w:rPr>
              <w:t xml:space="preserve"> Viešųjų pirkimų skyriaus vadovas.</w:t>
            </w:r>
          </w:p>
        </w:tc>
        <w:tc>
          <w:tcPr>
            <w:tcW w:w="1011" w:type="pct"/>
            <w:tcBorders>
              <w:top w:val="single" w:sz="4" w:space="0" w:color="auto"/>
              <w:left w:val="single" w:sz="4" w:space="0" w:color="auto"/>
              <w:bottom w:val="single" w:sz="4" w:space="0" w:color="auto"/>
              <w:right w:val="single" w:sz="4" w:space="0" w:color="auto"/>
            </w:tcBorders>
          </w:tcPr>
          <w:p w14:paraId="73D176B9" w14:textId="4D92DED6" w:rsidR="004734B5" w:rsidRPr="007E6C6B" w:rsidRDefault="00886684" w:rsidP="00AB235A">
            <w:pPr>
              <w:rPr>
                <w:rFonts w:cstheme="minorHAnsi"/>
                <w:color w:val="auto"/>
              </w:rPr>
            </w:pPr>
            <w:r w:rsidRPr="00886684">
              <w:rPr>
                <w:rFonts w:cstheme="minorHAnsi"/>
                <w:color w:val="auto"/>
              </w:rPr>
              <w:t xml:space="preserve">Iki 2026 m. sausio 31 </w:t>
            </w:r>
            <w:r w:rsidR="001B47F1">
              <w:rPr>
                <w:rFonts w:cstheme="minorHAnsi"/>
                <w:color w:val="auto"/>
              </w:rPr>
              <w:t xml:space="preserve">d. </w:t>
            </w:r>
            <w:r w:rsidRPr="00886684">
              <w:rPr>
                <w:rFonts w:cstheme="minorHAnsi"/>
                <w:color w:val="auto"/>
              </w:rPr>
              <w:t xml:space="preserve">įvertinti 2026 m. </w:t>
            </w:r>
            <w:r w:rsidR="001B47F1">
              <w:rPr>
                <w:rFonts w:cstheme="minorHAnsi"/>
                <w:color w:val="auto"/>
              </w:rPr>
              <w:t>PV</w:t>
            </w:r>
            <w:r w:rsidRPr="00886684">
              <w:rPr>
                <w:rFonts w:cstheme="minorHAnsi"/>
                <w:color w:val="auto"/>
              </w:rPr>
              <w:t xml:space="preserve"> viešųjų pirkimų planą. Tolimesnė rodiklio stebėsena bus vykdoma nuolat ir pristatoma bendrovės Valdybai.</w:t>
            </w:r>
          </w:p>
        </w:tc>
      </w:tr>
    </w:tbl>
    <w:p w14:paraId="5846D164" w14:textId="77777777" w:rsidR="001B47F1" w:rsidRDefault="001B47F1" w:rsidP="001B47F1">
      <w:pPr>
        <w:rPr>
          <w:rFonts w:asciiTheme="minorHAnsi" w:hAnsiTheme="minorHAnsi" w:cstheme="minorHAnsi"/>
          <w:szCs w:val="24"/>
          <w:lang w:eastAsia="lt-LT"/>
        </w:rPr>
      </w:pPr>
    </w:p>
    <w:p w14:paraId="76786F1E" w14:textId="77777777" w:rsidR="001B47F1" w:rsidRDefault="001B47F1" w:rsidP="001B47F1">
      <w:pPr>
        <w:rPr>
          <w:rFonts w:asciiTheme="minorHAnsi" w:hAnsiTheme="minorHAnsi" w:cstheme="minorHAnsi"/>
          <w:szCs w:val="24"/>
          <w:lang w:eastAsia="lt-LT"/>
        </w:rPr>
      </w:pPr>
    </w:p>
    <w:p w14:paraId="481E68BF" w14:textId="5CF0924E" w:rsidR="001B47F1" w:rsidRPr="009D7CF6" w:rsidRDefault="001B47F1" w:rsidP="001B47F1">
      <w:pPr>
        <w:rPr>
          <w:rFonts w:asciiTheme="minorHAnsi" w:hAnsiTheme="minorHAnsi" w:cstheme="minorHAnsi"/>
          <w:szCs w:val="24"/>
          <w:lang w:eastAsia="lt-LT"/>
        </w:rPr>
      </w:pPr>
      <w:r>
        <w:rPr>
          <w:rFonts w:asciiTheme="minorHAnsi" w:hAnsiTheme="minorHAnsi" w:cstheme="minorHAnsi"/>
          <w:szCs w:val="24"/>
          <w:lang w:eastAsia="lt-LT"/>
        </w:rPr>
        <w:t>Direktorius</w:t>
      </w:r>
      <w:r>
        <w:rPr>
          <w:rFonts w:asciiTheme="minorHAnsi" w:hAnsiTheme="minorHAnsi" w:cstheme="minorHAnsi"/>
          <w:szCs w:val="24"/>
          <w:lang w:eastAsia="lt-LT"/>
        </w:rPr>
        <w:tab/>
      </w:r>
      <w:r>
        <w:rPr>
          <w:rFonts w:asciiTheme="minorHAnsi" w:hAnsiTheme="minorHAnsi" w:cstheme="minorHAnsi"/>
          <w:szCs w:val="24"/>
          <w:lang w:eastAsia="lt-LT"/>
        </w:rPr>
        <w:tab/>
      </w:r>
      <w:r>
        <w:rPr>
          <w:rFonts w:asciiTheme="minorHAnsi" w:hAnsiTheme="minorHAnsi" w:cstheme="minorHAnsi"/>
          <w:szCs w:val="24"/>
          <w:lang w:eastAsia="lt-LT"/>
        </w:rPr>
        <w:tab/>
      </w:r>
      <w:r>
        <w:rPr>
          <w:rFonts w:asciiTheme="minorHAnsi" w:hAnsiTheme="minorHAnsi" w:cstheme="minorHAnsi"/>
          <w:szCs w:val="24"/>
          <w:lang w:eastAsia="lt-LT"/>
        </w:rPr>
        <w:tab/>
      </w:r>
      <w:r>
        <w:rPr>
          <w:rFonts w:asciiTheme="minorHAnsi" w:hAnsiTheme="minorHAnsi" w:cstheme="minorHAnsi"/>
          <w:szCs w:val="24"/>
          <w:lang w:eastAsia="lt-LT"/>
        </w:rPr>
        <w:tab/>
      </w:r>
      <w:r>
        <w:rPr>
          <w:rFonts w:asciiTheme="minorHAnsi" w:hAnsiTheme="minorHAnsi" w:cstheme="minorHAnsi"/>
          <w:szCs w:val="24"/>
          <w:lang w:eastAsia="lt-LT"/>
        </w:rPr>
        <w:tab/>
      </w:r>
      <w:r>
        <w:rPr>
          <w:rFonts w:asciiTheme="minorHAnsi" w:hAnsiTheme="minorHAnsi" w:cstheme="minorHAnsi"/>
          <w:szCs w:val="24"/>
          <w:lang w:eastAsia="lt-LT"/>
        </w:rPr>
        <w:tab/>
      </w:r>
      <w:r>
        <w:rPr>
          <w:rFonts w:asciiTheme="minorHAnsi" w:hAnsiTheme="minorHAnsi" w:cstheme="minorHAnsi"/>
          <w:szCs w:val="24"/>
          <w:lang w:eastAsia="lt-LT"/>
        </w:rPr>
        <w:tab/>
        <w:t>Darius Vedrickas</w:t>
      </w:r>
    </w:p>
    <w:sectPr w:rsidR="001B47F1" w:rsidRPr="009D7CF6" w:rsidSect="007B29AF">
      <w:pgSz w:w="15840" w:h="12240" w:orient="landscape" w:code="1"/>
      <w:pgMar w:top="1134" w:right="567" w:bottom="1134" w:left="1701"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DADBD" w14:textId="77777777" w:rsidR="00300F7E" w:rsidRDefault="00300F7E">
      <w:pPr>
        <w:ind w:firstLine="720"/>
        <w:rPr>
          <w:rFonts w:ascii="Arial" w:hAnsi="Arial" w:cs="Arial"/>
          <w:sz w:val="20"/>
          <w:lang w:eastAsia="lt-LT"/>
        </w:rPr>
      </w:pPr>
      <w:r>
        <w:rPr>
          <w:rFonts w:ascii="Arial" w:hAnsi="Arial" w:cs="Arial"/>
          <w:sz w:val="20"/>
          <w:lang w:eastAsia="lt-LT"/>
        </w:rPr>
        <w:separator/>
      </w:r>
    </w:p>
  </w:endnote>
  <w:endnote w:type="continuationSeparator" w:id="0">
    <w:p w14:paraId="593C54BC" w14:textId="77777777" w:rsidR="00300F7E" w:rsidRDefault="00300F7E">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DC5A5" w14:textId="77777777" w:rsidR="00300F7E" w:rsidRDefault="00300F7E">
      <w:pPr>
        <w:ind w:firstLine="720"/>
        <w:rPr>
          <w:rFonts w:ascii="Arial" w:hAnsi="Arial" w:cs="Arial"/>
          <w:sz w:val="20"/>
          <w:lang w:eastAsia="lt-LT"/>
        </w:rPr>
      </w:pPr>
      <w:r>
        <w:rPr>
          <w:rFonts w:ascii="Arial" w:hAnsi="Arial" w:cs="Arial"/>
          <w:sz w:val="20"/>
          <w:lang w:eastAsia="lt-LT"/>
        </w:rPr>
        <w:separator/>
      </w:r>
    </w:p>
  </w:footnote>
  <w:footnote w:type="continuationSeparator" w:id="0">
    <w:p w14:paraId="2E53F509" w14:textId="77777777" w:rsidR="00300F7E" w:rsidRDefault="00300F7E">
      <w:pPr>
        <w:ind w:firstLine="720"/>
        <w:rPr>
          <w:rFonts w:ascii="Arial" w:hAnsi="Arial" w:cs="Arial"/>
          <w:sz w:val="20"/>
          <w:lang w:eastAsia="lt-LT"/>
        </w:rPr>
      </w:pPr>
      <w:r>
        <w:rPr>
          <w:rFonts w:ascii="Arial" w:hAnsi="Arial" w:cs="Arial"/>
          <w:sz w:val="20"/>
          <w:lang w:eastAsia="lt-LT"/>
        </w:rPr>
        <w:continuationSeparator/>
      </w:r>
    </w:p>
  </w:footnote>
  <w:footnote w:id="1">
    <w:p w14:paraId="1152F896" w14:textId="0D7AEE6B" w:rsidR="00490288" w:rsidRPr="00B37DFF" w:rsidRDefault="00490288">
      <w:pPr>
        <w:pStyle w:val="FootnoteText"/>
        <w:rPr>
          <w:rFonts w:asciiTheme="minorHAnsi" w:hAnsiTheme="minorHAnsi" w:cstheme="minorHAnsi"/>
        </w:rPr>
      </w:pPr>
      <w:r w:rsidRPr="00B37DFF">
        <w:rPr>
          <w:rStyle w:val="FootnoteReference"/>
          <w:rFonts w:asciiTheme="minorHAnsi" w:hAnsiTheme="minorHAnsi" w:cstheme="minorHAnsi"/>
        </w:rPr>
        <w:footnoteRef/>
      </w:r>
      <w:r w:rsidRPr="00B37DFF">
        <w:rPr>
          <w:rFonts w:asciiTheme="minorHAnsi" w:hAnsiTheme="minorHAnsi" w:cstheme="minorHAnsi"/>
        </w:rPr>
        <w:t xml:space="preserve"> Tikrinama PV 2024 m. </w:t>
      </w:r>
      <w:r w:rsidR="00B37DFF" w:rsidRPr="00B37DFF">
        <w:rPr>
          <w:rFonts w:asciiTheme="minorHAnsi" w:hAnsiTheme="minorHAnsi" w:cstheme="minorHAnsi"/>
        </w:rPr>
        <w:t>pirkimo sutarčių valdysena.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5373"/>
    <w:multiLevelType w:val="hybridMultilevel"/>
    <w:tmpl w:val="48AEBED4"/>
    <w:lvl w:ilvl="0" w:tplc="CA3CECFC">
      <w:start w:val="1"/>
      <w:numFmt w:val="upperLetter"/>
      <w:lvlText w:val="%1."/>
      <w:lvlJc w:val="left"/>
      <w:pPr>
        <w:ind w:left="5490" w:hanging="360"/>
      </w:pPr>
      <w:rPr>
        <w:rFonts w:hint="default"/>
      </w:rPr>
    </w:lvl>
    <w:lvl w:ilvl="1" w:tplc="04270019" w:tentative="1">
      <w:start w:val="1"/>
      <w:numFmt w:val="lowerLetter"/>
      <w:lvlText w:val="%2."/>
      <w:lvlJc w:val="left"/>
      <w:pPr>
        <w:ind w:left="6210" w:hanging="360"/>
      </w:pPr>
    </w:lvl>
    <w:lvl w:ilvl="2" w:tplc="0427001B" w:tentative="1">
      <w:start w:val="1"/>
      <w:numFmt w:val="lowerRoman"/>
      <w:lvlText w:val="%3."/>
      <w:lvlJc w:val="right"/>
      <w:pPr>
        <w:ind w:left="6930" w:hanging="180"/>
      </w:pPr>
    </w:lvl>
    <w:lvl w:ilvl="3" w:tplc="0427000F" w:tentative="1">
      <w:start w:val="1"/>
      <w:numFmt w:val="decimal"/>
      <w:lvlText w:val="%4."/>
      <w:lvlJc w:val="left"/>
      <w:pPr>
        <w:ind w:left="7650" w:hanging="360"/>
      </w:pPr>
    </w:lvl>
    <w:lvl w:ilvl="4" w:tplc="04270019" w:tentative="1">
      <w:start w:val="1"/>
      <w:numFmt w:val="lowerLetter"/>
      <w:lvlText w:val="%5."/>
      <w:lvlJc w:val="left"/>
      <w:pPr>
        <w:ind w:left="8370" w:hanging="360"/>
      </w:pPr>
    </w:lvl>
    <w:lvl w:ilvl="5" w:tplc="0427001B" w:tentative="1">
      <w:start w:val="1"/>
      <w:numFmt w:val="lowerRoman"/>
      <w:lvlText w:val="%6."/>
      <w:lvlJc w:val="right"/>
      <w:pPr>
        <w:ind w:left="9090" w:hanging="180"/>
      </w:pPr>
    </w:lvl>
    <w:lvl w:ilvl="6" w:tplc="0427000F" w:tentative="1">
      <w:start w:val="1"/>
      <w:numFmt w:val="decimal"/>
      <w:lvlText w:val="%7."/>
      <w:lvlJc w:val="left"/>
      <w:pPr>
        <w:ind w:left="9810" w:hanging="360"/>
      </w:pPr>
    </w:lvl>
    <w:lvl w:ilvl="7" w:tplc="04270019" w:tentative="1">
      <w:start w:val="1"/>
      <w:numFmt w:val="lowerLetter"/>
      <w:lvlText w:val="%8."/>
      <w:lvlJc w:val="left"/>
      <w:pPr>
        <w:ind w:left="10530" w:hanging="360"/>
      </w:pPr>
    </w:lvl>
    <w:lvl w:ilvl="8" w:tplc="0427001B" w:tentative="1">
      <w:start w:val="1"/>
      <w:numFmt w:val="lowerRoman"/>
      <w:lvlText w:val="%9."/>
      <w:lvlJc w:val="right"/>
      <w:pPr>
        <w:ind w:left="11250" w:hanging="180"/>
      </w:pPr>
    </w:lvl>
  </w:abstractNum>
  <w:abstractNum w:abstractNumId="1"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072AE0"/>
    <w:multiLevelType w:val="hybridMultilevel"/>
    <w:tmpl w:val="21CA9334"/>
    <w:lvl w:ilvl="0" w:tplc="C45C8A48">
      <w:start w:val="1"/>
      <w:numFmt w:val="decimal"/>
      <w:lvlText w:val="%1)"/>
      <w:lvlJc w:val="left"/>
      <w:pPr>
        <w:ind w:left="1080" w:hanging="360"/>
      </w:pPr>
    </w:lvl>
    <w:lvl w:ilvl="1" w:tplc="8952ADB6">
      <w:start w:val="1"/>
      <w:numFmt w:val="decimal"/>
      <w:lvlText w:val="%2)"/>
      <w:lvlJc w:val="left"/>
      <w:pPr>
        <w:ind w:left="1080" w:hanging="360"/>
      </w:pPr>
    </w:lvl>
    <w:lvl w:ilvl="2" w:tplc="928EFEE2">
      <w:start w:val="1"/>
      <w:numFmt w:val="decimal"/>
      <w:lvlText w:val="%3)"/>
      <w:lvlJc w:val="left"/>
      <w:pPr>
        <w:ind w:left="1080" w:hanging="360"/>
      </w:pPr>
    </w:lvl>
    <w:lvl w:ilvl="3" w:tplc="E1C4DC98">
      <w:start w:val="1"/>
      <w:numFmt w:val="decimal"/>
      <w:lvlText w:val="%4)"/>
      <w:lvlJc w:val="left"/>
      <w:pPr>
        <w:ind w:left="1080" w:hanging="360"/>
      </w:pPr>
    </w:lvl>
    <w:lvl w:ilvl="4" w:tplc="5532D5F4">
      <w:start w:val="1"/>
      <w:numFmt w:val="decimal"/>
      <w:lvlText w:val="%5)"/>
      <w:lvlJc w:val="left"/>
      <w:pPr>
        <w:ind w:left="1080" w:hanging="360"/>
      </w:pPr>
    </w:lvl>
    <w:lvl w:ilvl="5" w:tplc="A39AD44E">
      <w:start w:val="1"/>
      <w:numFmt w:val="decimal"/>
      <w:lvlText w:val="%6)"/>
      <w:lvlJc w:val="left"/>
      <w:pPr>
        <w:ind w:left="1080" w:hanging="360"/>
      </w:pPr>
    </w:lvl>
    <w:lvl w:ilvl="6" w:tplc="32381638">
      <w:start w:val="1"/>
      <w:numFmt w:val="decimal"/>
      <w:lvlText w:val="%7)"/>
      <w:lvlJc w:val="left"/>
      <w:pPr>
        <w:ind w:left="1080" w:hanging="360"/>
      </w:pPr>
    </w:lvl>
    <w:lvl w:ilvl="7" w:tplc="E1925876">
      <w:start w:val="1"/>
      <w:numFmt w:val="decimal"/>
      <w:lvlText w:val="%8)"/>
      <w:lvlJc w:val="left"/>
      <w:pPr>
        <w:ind w:left="1080" w:hanging="360"/>
      </w:pPr>
    </w:lvl>
    <w:lvl w:ilvl="8" w:tplc="124A0F10">
      <w:start w:val="1"/>
      <w:numFmt w:val="decimal"/>
      <w:lvlText w:val="%9)"/>
      <w:lvlJc w:val="left"/>
      <w:pPr>
        <w:ind w:left="1080" w:hanging="360"/>
      </w:pPr>
    </w:lvl>
  </w:abstractNum>
  <w:abstractNum w:abstractNumId="3" w15:restartNumberingAfterBreak="0">
    <w:nsid w:val="264735FE"/>
    <w:multiLevelType w:val="hybridMultilevel"/>
    <w:tmpl w:val="1C3A6640"/>
    <w:lvl w:ilvl="0" w:tplc="0C06AAD0">
      <w:start w:val="1"/>
      <w:numFmt w:val="decimal"/>
      <w:lvlText w:val="%1."/>
      <w:lvlJc w:val="left"/>
      <w:pPr>
        <w:ind w:left="1020" w:hanging="360"/>
      </w:pPr>
    </w:lvl>
    <w:lvl w:ilvl="1" w:tplc="7250FB96">
      <w:start w:val="1"/>
      <w:numFmt w:val="decimal"/>
      <w:lvlText w:val="%2."/>
      <w:lvlJc w:val="left"/>
      <w:pPr>
        <w:ind w:left="1020" w:hanging="360"/>
      </w:pPr>
    </w:lvl>
    <w:lvl w:ilvl="2" w:tplc="3758B818">
      <w:start w:val="1"/>
      <w:numFmt w:val="decimal"/>
      <w:lvlText w:val="%3."/>
      <w:lvlJc w:val="left"/>
      <w:pPr>
        <w:ind w:left="1020" w:hanging="360"/>
      </w:pPr>
    </w:lvl>
    <w:lvl w:ilvl="3" w:tplc="08B8B4AE">
      <w:start w:val="1"/>
      <w:numFmt w:val="decimal"/>
      <w:lvlText w:val="%4."/>
      <w:lvlJc w:val="left"/>
      <w:pPr>
        <w:ind w:left="1020" w:hanging="360"/>
      </w:pPr>
    </w:lvl>
    <w:lvl w:ilvl="4" w:tplc="09DEF9AA">
      <w:start w:val="1"/>
      <w:numFmt w:val="decimal"/>
      <w:lvlText w:val="%5."/>
      <w:lvlJc w:val="left"/>
      <w:pPr>
        <w:ind w:left="1020" w:hanging="360"/>
      </w:pPr>
    </w:lvl>
    <w:lvl w:ilvl="5" w:tplc="8A00CDCE">
      <w:start w:val="1"/>
      <w:numFmt w:val="decimal"/>
      <w:lvlText w:val="%6."/>
      <w:lvlJc w:val="left"/>
      <w:pPr>
        <w:ind w:left="1020" w:hanging="360"/>
      </w:pPr>
    </w:lvl>
    <w:lvl w:ilvl="6" w:tplc="CF8AA0AC">
      <w:start w:val="1"/>
      <w:numFmt w:val="decimal"/>
      <w:lvlText w:val="%7."/>
      <w:lvlJc w:val="left"/>
      <w:pPr>
        <w:ind w:left="1020" w:hanging="360"/>
      </w:pPr>
    </w:lvl>
    <w:lvl w:ilvl="7" w:tplc="8CDAED72">
      <w:start w:val="1"/>
      <w:numFmt w:val="decimal"/>
      <w:lvlText w:val="%8."/>
      <w:lvlJc w:val="left"/>
      <w:pPr>
        <w:ind w:left="1020" w:hanging="360"/>
      </w:pPr>
    </w:lvl>
    <w:lvl w:ilvl="8" w:tplc="F296EF92">
      <w:start w:val="1"/>
      <w:numFmt w:val="decimal"/>
      <w:lvlText w:val="%9."/>
      <w:lvlJc w:val="left"/>
      <w:pPr>
        <w:ind w:left="1020" w:hanging="360"/>
      </w:pPr>
    </w:lvl>
  </w:abstractNum>
  <w:abstractNum w:abstractNumId="4" w15:restartNumberingAfterBreak="0">
    <w:nsid w:val="447F0CE0"/>
    <w:multiLevelType w:val="hybridMultilevel"/>
    <w:tmpl w:val="33BC0FA4"/>
    <w:lvl w:ilvl="0" w:tplc="6784D49C">
      <w:start w:val="1"/>
      <w:numFmt w:val="decimal"/>
      <w:lvlText w:val="%1)"/>
      <w:lvlJc w:val="left"/>
      <w:pPr>
        <w:ind w:left="1020" w:hanging="360"/>
      </w:pPr>
    </w:lvl>
    <w:lvl w:ilvl="1" w:tplc="1C1EEE78">
      <w:start w:val="1"/>
      <w:numFmt w:val="decimal"/>
      <w:lvlText w:val="%2)"/>
      <w:lvlJc w:val="left"/>
      <w:pPr>
        <w:ind w:left="1020" w:hanging="360"/>
      </w:pPr>
    </w:lvl>
    <w:lvl w:ilvl="2" w:tplc="22EE4BCC">
      <w:start w:val="1"/>
      <w:numFmt w:val="decimal"/>
      <w:lvlText w:val="%3)"/>
      <w:lvlJc w:val="left"/>
      <w:pPr>
        <w:ind w:left="1020" w:hanging="360"/>
      </w:pPr>
    </w:lvl>
    <w:lvl w:ilvl="3" w:tplc="53F8C7AA">
      <w:start w:val="1"/>
      <w:numFmt w:val="decimal"/>
      <w:lvlText w:val="%4)"/>
      <w:lvlJc w:val="left"/>
      <w:pPr>
        <w:ind w:left="1020" w:hanging="360"/>
      </w:pPr>
    </w:lvl>
    <w:lvl w:ilvl="4" w:tplc="65001234">
      <w:start w:val="1"/>
      <w:numFmt w:val="decimal"/>
      <w:lvlText w:val="%5)"/>
      <w:lvlJc w:val="left"/>
      <w:pPr>
        <w:ind w:left="1020" w:hanging="360"/>
      </w:pPr>
    </w:lvl>
    <w:lvl w:ilvl="5" w:tplc="962EE8F8">
      <w:start w:val="1"/>
      <w:numFmt w:val="decimal"/>
      <w:lvlText w:val="%6)"/>
      <w:lvlJc w:val="left"/>
      <w:pPr>
        <w:ind w:left="1020" w:hanging="360"/>
      </w:pPr>
    </w:lvl>
    <w:lvl w:ilvl="6" w:tplc="3300E5A2">
      <w:start w:val="1"/>
      <w:numFmt w:val="decimal"/>
      <w:lvlText w:val="%7)"/>
      <w:lvlJc w:val="left"/>
      <w:pPr>
        <w:ind w:left="1020" w:hanging="360"/>
      </w:pPr>
    </w:lvl>
    <w:lvl w:ilvl="7" w:tplc="130286A8">
      <w:start w:val="1"/>
      <w:numFmt w:val="decimal"/>
      <w:lvlText w:val="%8)"/>
      <w:lvlJc w:val="left"/>
      <w:pPr>
        <w:ind w:left="1020" w:hanging="360"/>
      </w:pPr>
    </w:lvl>
    <w:lvl w:ilvl="8" w:tplc="77F6B818">
      <w:start w:val="1"/>
      <w:numFmt w:val="decimal"/>
      <w:lvlText w:val="%9)"/>
      <w:lvlJc w:val="left"/>
      <w:pPr>
        <w:ind w:left="1020" w:hanging="360"/>
      </w:pPr>
    </w:lvl>
  </w:abstractNum>
  <w:abstractNum w:abstractNumId="5"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FD42E48"/>
    <w:multiLevelType w:val="hybridMultilevel"/>
    <w:tmpl w:val="CA7A2D60"/>
    <w:lvl w:ilvl="0" w:tplc="E4565C3C">
      <w:start w:val="3"/>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56996850"/>
    <w:multiLevelType w:val="hybridMultilevel"/>
    <w:tmpl w:val="2C8A2E74"/>
    <w:lvl w:ilvl="0" w:tplc="A6C8CFAE">
      <w:start w:val="1"/>
      <w:numFmt w:val="decimal"/>
      <w:lvlText w:val="%1)"/>
      <w:lvlJc w:val="left"/>
      <w:pPr>
        <w:ind w:left="1080" w:hanging="360"/>
      </w:pPr>
    </w:lvl>
    <w:lvl w:ilvl="1" w:tplc="DF765E58">
      <w:start w:val="1"/>
      <w:numFmt w:val="decimal"/>
      <w:lvlText w:val="%2)"/>
      <w:lvlJc w:val="left"/>
      <w:pPr>
        <w:ind w:left="1080" w:hanging="360"/>
      </w:pPr>
    </w:lvl>
    <w:lvl w:ilvl="2" w:tplc="F31E79C0">
      <w:start w:val="1"/>
      <w:numFmt w:val="decimal"/>
      <w:lvlText w:val="%3)"/>
      <w:lvlJc w:val="left"/>
      <w:pPr>
        <w:ind w:left="1080" w:hanging="360"/>
      </w:pPr>
    </w:lvl>
    <w:lvl w:ilvl="3" w:tplc="5CB283D6">
      <w:start w:val="1"/>
      <w:numFmt w:val="decimal"/>
      <w:lvlText w:val="%4)"/>
      <w:lvlJc w:val="left"/>
      <w:pPr>
        <w:ind w:left="1080" w:hanging="360"/>
      </w:pPr>
    </w:lvl>
    <w:lvl w:ilvl="4" w:tplc="1AA8E4F0">
      <w:start w:val="1"/>
      <w:numFmt w:val="decimal"/>
      <w:lvlText w:val="%5)"/>
      <w:lvlJc w:val="left"/>
      <w:pPr>
        <w:ind w:left="1080" w:hanging="360"/>
      </w:pPr>
    </w:lvl>
    <w:lvl w:ilvl="5" w:tplc="8A6264EE">
      <w:start w:val="1"/>
      <w:numFmt w:val="decimal"/>
      <w:lvlText w:val="%6)"/>
      <w:lvlJc w:val="left"/>
      <w:pPr>
        <w:ind w:left="1080" w:hanging="360"/>
      </w:pPr>
    </w:lvl>
    <w:lvl w:ilvl="6" w:tplc="94760174">
      <w:start w:val="1"/>
      <w:numFmt w:val="decimal"/>
      <w:lvlText w:val="%7)"/>
      <w:lvlJc w:val="left"/>
      <w:pPr>
        <w:ind w:left="1080" w:hanging="360"/>
      </w:pPr>
    </w:lvl>
    <w:lvl w:ilvl="7" w:tplc="277AD832">
      <w:start w:val="1"/>
      <w:numFmt w:val="decimal"/>
      <w:lvlText w:val="%8)"/>
      <w:lvlJc w:val="left"/>
      <w:pPr>
        <w:ind w:left="1080" w:hanging="360"/>
      </w:pPr>
    </w:lvl>
    <w:lvl w:ilvl="8" w:tplc="B54004AA">
      <w:start w:val="1"/>
      <w:numFmt w:val="decimal"/>
      <w:lvlText w:val="%9)"/>
      <w:lvlJc w:val="left"/>
      <w:pPr>
        <w:ind w:left="1080" w:hanging="360"/>
      </w:pPr>
    </w:lvl>
  </w:abstractNum>
  <w:abstractNum w:abstractNumId="8" w15:restartNumberingAfterBreak="0">
    <w:nsid w:val="5D705FAA"/>
    <w:multiLevelType w:val="hybridMultilevel"/>
    <w:tmpl w:val="8E0A9D4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8C7303C"/>
    <w:multiLevelType w:val="hybridMultilevel"/>
    <w:tmpl w:val="62AA95AE"/>
    <w:lvl w:ilvl="0" w:tplc="C5BC3830">
      <w:start w:val="1"/>
      <w:numFmt w:val="decimal"/>
      <w:lvlText w:val="%1."/>
      <w:lvlJc w:val="left"/>
      <w:pPr>
        <w:ind w:left="1020" w:hanging="360"/>
      </w:pPr>
    </w:lvl>
    <w:lvl w:ilvl="1" w:tplc="F6A01CE8">
      <w:start w:val="1"/>
      <w:numFmt w:val="decimal"/>
      <w:lvlText w:val="%2."/>
      <w:lvlJc w:val="left"/>
      <w:pPr>
        <w:ind w:left="1020" w:hanging="360"/>
      </w:pPr>
    </w:lvl>
    <w:lvl w:ilvl="2" w:tplc="45DA2650">
      <w:start w:val="1"/>
      <w:numFmt w:val="decimal"/>
      <w:lvlText w:val="%3."/>
      <w:lvlJc w:val="left"/>
      <w:pPr>
        <w:ind w:left="1020" w:hanging="360"/>
      </w:pPr>
    </w:lvl>
    <w:lvl w:ilvl="3" w:tplc="31C4AC8A">
      <w:start w:val="1"/>
      <w:numFmt w:val="decimal"/>
      <w:lvlText w:val="%4."/>
      <w:lvlJc w:val="left"/>
      <w:pPr>
        <w:ind w:left="1020" w:hanging="360"/>
      </w:pPr>
    </w:lvl>
    <w:lvl w:ilvl="4" w:tplc="9BC41D2A">
      <w:start w:val="1"/>
      <w:numFmt w:val="decimal"/>
      <w:lvlText w:val="%5."/>
      <w:lvlJc w:val="left"/>
      <w:pPr>
        <w:ind w:left="1020" w:hanging="360"/>
      </w:pPr>
    </w:lvl>
    <w:lvl w:ilvl="5" w:tplc="1D7EEE9E">
      <w:start w:val="1"/>
      <w:numFmt w:val="decimal"/>
      <w:lvlText w:val="%6."/>
      <w:lvlJc w:val="left"/>
      <w:pPr>
        <w:ind w:left="1020" w:hanging="360"/>
      </w:pPr>
    </w:lvl>
    <w:lvl w:ilvl="6" w:tplc="D82E19BA">
      <w:start w:val="1"/>
      <w:numFmt w:val="decimal"/>
      <w:lvlText w:val="%7."/>
      <w:lvlJc w:val="left"/>
      <w:pPr>
        <w:ind w:left="1020" w:hanging="360"/>
      </w:pPr>
    </w:lvl>
    <w:lvl w:ilvl="7" w:tplc="7C4E1DAE">
      <w:start w:val="1"/>
      <w:numFmt w:val="decimal"/>
      <w:lvlText w:val="%8."/>
      <w:lvlJc w:val="left"/>
      <w:pPr>
        <w:ind w:left="1020" w:hanging="360"/>
      </w:pPr>
    </w:lvl>
    <w:lvl w:ilvl="8" w:tplc="E2CE7A54">
      <w:start w:val="1"/>
      <w:numFmt w:val="decimal"/>
      <w:lvlText w:val="%9."/>
      <w:lvlJc w:val="left"/>
      <w:pPr>
        <w:ind w:left="1020" w:hanging="360"/>
      </w:pPr>
    </w:lvl>
  </w:abstractNum>
  <w:abstractNum w:abstractNumId="10" w15:restartNumberingAfterBreak="0">
    <w:nsid w:val="7F5D753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541848">
    <w:abstractNumId w:val="5"/>
  </w:num>
  <w:num w:numId="2" w16cid:durableId="276450448">
    <w:abstractNumId w:val="0"/>
  </w:num>
  <w:num w:numId="3" w16cid:durableId="1711800484">
    <w:abstractNumId w:val="1"/>
  </w:num>
  <w:num w:numId="4" w16cid:durableId="2035762903">
    <w:abstractNumId w:val="6"/>
  </w:num>
  <w:num w:numId="5" w16cid:durableId="511189917">
    <w:abstractNumId w:val="10"/>
  </w:num>
  <w:num w:numId="6" w16cid:durableId="637029805">
    <w:abstractNumId w:val="9"/>
  </w:num>
  <w:num w:numId="7" w16cid:durableId="525827365">
    <w:abstractNumId w:val="3"/>
  </w:num>
  <w:num w:numId="8" w16cid:durableId="807355570">
    <w:abstractNumId w:val="7"/>
  </w:num>
  <w:num w:numId="9" w16cid:durableId="403987880">
    <w:abstractNumId w:val="2"/>
  </w:num>
  <w:num w:numId="10" w16cid:durableId="95832789">
    <w:abstractNumId w:val="4"/>
  </w:num>
  <w:num w:numId="11" w16cid:durableId="1318071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2457"/>
    <w:rsid w:val="00002DA1"/>
    <w:rsid w:val="000035DE"/>
    <w:rsid w:val="00003917"/>
    <w:rsid w:val="00003D58"/>
    <w:rsid w:val="000079E2"/>
    <w:rsid w:val="000103EA"/>
    <w:rsid w:val="00012D14"/>
    <w:rsid w:val="000132B7"/>
    <w:rsid w:val="00014FA2"/>
    <w:rsid w:val="000156F5"/>
    <w:rsid w:val="00017B8C"/>
    <w:rsid w:val="000227EA"/>
    <w:rsid w:val="00022A11"/>
    <w:rsid w:val="00023B47"/>
    <w:rsid w:val="0002438B"/>
    <w:rsid w:val="00024A7F"/>
    <w:rsid w:val="00025EDF"/>
    <w:rsid w:val="0002615B"/>
    <w:rsid w:val="00026AC9"/>
    <w:rsid w:val="00030A44"/>
    <w:rsid w:val="000339D0"/>
    <w:rsid w:val="000341FE"/>
    <w:rsid w:val="000351DA"/>
    <w:rsid w:val="000358CB"/>
    <w:rsid w:val="00037F12"/>
    <w:rsid w:val="00040120"/>
    <w:rsid w:val="00040D9C"/>
    <w:rsid w:val="000420D5"/>
    <w:rsid w:val="000420E4"/>
    <w:rsid w:val="00044A45"/>
    <w:rsid w:val="00044B56"/>
    <w:rsid w:val="00045C7B"/>
    <w:rsid w:val="00047B7D"/>
    <w:rsid w:val="00061BB7"/>
    <w:rsid w:val="0006416B"/>
    <w:rsid w:val="000644A2"/>
    <w:rsid w:val="00064ABA"/>
    <w:rsid w:val="00065756"/>
    <w:rsid w:val="00066E44"/>
    <w:rsid w:val="0007134C"/>
    <w:rsid w:val="00074F68"/>
    <w:rsid w:val="00076015"/>
    <w:rsid w:val="00076A43"/>
    <w:rsid w:val="000770CE"/>
    <w:rsid w:val="000800C0"/>
    <w:rsid w:val="00080301"/>
    <w:rsid w:val="00082EA5"/>
    <w:rsid w:val="00086F64"/>
    <w:rsid w:val="00086F95"/>
    <w:rsid w:val="000908F1"/>
    <w:rsid w:val="00091D4E"/>
    <w:rsid w:val="00092E82"/>
    <w:rsid w:val="00096FCB"/>
    <w:rsid w:val="000A136C"/>
    <w:rsid w:val="000A1567"/>
    <w:rsid w:val="000A197D"/>
    <w:rsid w:val="000A3E4B"/>
    <w:rsid w:val="000B0D9D"/>
    <w:rsid w:val="000B1D7F"/>
    <w:rsid w:val="000B3BE7"/>
    <w:rsid w:val="000C0717"/>
    <w:rsid w:val="000C1223"/>
    <w:rsid w:val="000C2ADB"/>
    <w:rsid w:val="000C415D"/>
    <w:rsid w:val="000C60F8"/>
    <w:rsid w:val="000C610D"/>
    <w:rsid w:val="000C7313"/>
    <w:rsid w:val="000C7D93"/>
    <w:rsid w:val="000D1D69"/>
    <w:rsid w:val="000D2471"/>
    <w:rsid w:val="000D426F"/>
    <w:rsid w:val="000D7762"/>
    <w:rsid w:val="000E00A5"/>
    <w:rsid w:val="000E1859"/>
    <w:rsid w:val="000E4F56"/>
    <w:rsid w:val="000E5078"/>
    <w:rsid w:val="000F0922"/>
    <w:rsid w:val="000F0E57"/>
    <w:rsid w:val="000F1090"/>
    <w:rsid w:val="000F16B9"/>
    <w:rsid w:val="000F4081"/>
    <w:rsid w:val="000F52AA"/>
    <w:rsid w:val="000F6F0F"/>
    <w:rsid w:val="00100129"/>
    <w:rsid w:val="0010238C"/>
    <w:rsid w:val="00105931"/>
    <w:rsid w:val="00107F0D"/>
    <w:rsid w:val="00110B3A"/>
    <w:rsid w:val="00111176"/>
    <w:rsid w:val="0011122C"/>
    <w:rsid w:val="0011350F"/>
    <w:rsid w:val="001140BB"/>
    <w:rsid w:val="0011738F"/>
    <w:rsid w:val="00121F86"/>
    <w:rsid w:val="0012316F"/>
    <w:rsid w:val="001279C6"/>
    <w:rsid w:val="00131F1C"/>
    <w:rsid w:val="00133604"/>
    <w:rsid w:val="00133E4B"/>
    <w:rsid w:val="00135019"/>
    <w:rsid w:val="00140756"/>
    <w:rsid w:val="00140AA2"/>
    <w:rsid w:val="00147802"/>
    <w:rsid w:val="00152FD3"/>
    <w:rsid w:val="00153DB3"/>
    <w:rsid w:val="00154E1A"/>
    <w:rsid w:val="00155373"/>
    <w:rsid w:val="001610CE"/>
    <w:rsid w:val="001642E3"/>
    <w:rsid w:val="001659BD"/>
    <w:rsid w:val="00166D7C"/>
    <w:rsid w:val="00170324"/>
    <w:rsid w:val="0017332F"/>
    <w:rsid w:val="0017406E"/>
    <w:rsid w:val="00180F2C"/>
    <w:rsid w:val="00181D7D"/>
    <w:rsid w:val="00184AD6"/>
    <w:rsid w:val="001903BC"/>
    <w:rsid w:val="001906DA"/>
    <w:rsid w:val="00192697"/>
    <w:rsid w:val="001928C2"/>
    <w:rsid w:val="00192E74"/>
    <w:rsid w:val="001937EE"/>
    <w:rsid w:val="00194D82"/>
    <w:rsid w:val="001A0651"/>
    <w:rsid w:val="001A0CF1"/>
    <w:rsid w:val="001A1CF2"/>
    <w:rsid w:val="001A28E2"/>
    <w:rsid w:val="001A2E43"/>
    <w:rsid w:val="001A7203"/>
    <w:rsid w:val="001B0D84"/>
    <w:rsid w:val="001B47F1"/>
    <w:rsid w:val="001B6934"/>
    <w:rsid w:val="001C1F78"/>
    <w:rsid w:val="001C386F"/>
    <w:rsid w:val="001C519B"/>
    <w:rsid w:val="001C6014"/>
    <w:rsid w:val="001C6386"/>
    <w:rsid w:val="001D2F79"/>
    <w:rsid w:val="001D5496"/>
    <w:rsid w:val="001D6B93"/>
    <w:rsid w:val="001D732A"/>
    <w:rsid w:val="001D76C8"/>
    <w:rsid w:val="001E015A"/>
    <w:rsid w:val="001E0625"/>
    <w:rsid w:val="001E4E99"/>
    <w:rsid w:val="001E61A8"/>
    <w:rsid w:val="001E61AA"/>
    <w:rsid w:val="001E7AD2"/>
    <w:rsid w:val="001F2ADF"/>
    <w:rsid w:val="001F3D30"/>
    <w:rsid w:val="001F47A5"/>
    <w:rsid w:val="002008CC"/>
    <w:rsid w:val="00204776"/>
    <w:rsid w:val="00204A17"/>
    <w:rsid w:val="00204E53"/>
    <w:rsid w:val="002063CD"/>
    <w:rsid w:val="002079F6"/>
    <w:rsid w:val="0021265A"/>
    <w:rsid w:val="00213F05"/>
    <w:rsid w:val="00216A95"/>
    <w:rsid w:val="00217CF7"/>
    <w:rsid w:val="00217FD1"/>
    <w:rsid w:val="00220C68"/>
    <w:rsid w:val="00222701"/>
    <w:rsid w:val="0022291D"/>
    <w:rsid w:val="00223035"/>
    <w:rsid w:val="00223639"/>
    <w:rsid w:val="0022389F"/>
    <w:rsid w:val="0023041A"/>
    <w:rsid w:val="00230950"/>
    <w:rsid w:val="00231938"/>
    <w:rsid w:val="00231D90"/>
    <w:rsid w:val="00233507"/>
    <w:rsid w:val="002343C7"/>
    <w:rsid w:val="00240050"/>
    <w:rsid w:val="00241708"/>
    <w:rsid w:val="00242CC2"/>
    <w:rsid w:val="002444EA"/>
    <w:rsid w:val="0024566D"/>
    <w:rsid w:val="002460D4"/>
    <w:rsid w:val="00246303"/>
    <w:rsid w:val="002478EA"/>
    <w:rsid w:val="00250A5E"/>
    <w:rsid w:val="00253DAF"/>
    <w:rsid w:val="00255E7F"/>
    <w:rsid w:val="002577AF"/>
    <w:rsid w:val="0025784A"/>
    <w:rsid w:val="0026275A"/>
    <w:rsid w:val="002630EA"/>
    <w:rsid w:val="002634FF"/>
    <w:rsid w:val="002640E8"/>
    <w:rsid w:val="002651C3"/>
    <w:rsid w:val="0026595F"/>
    <w:rsid w:val="00267127"/>
    <w:rsid w:val="002719E9"/>
    <w:rsid w:val="002726D2"/>
    <w:rsid w:val="00272B8D"/>
    <w:rsid w:val="002764DB"/>
    <w:rsid w:val="00276F65"/>
    <w:rsid w:val="00277189"/>
    <w:rsid w:val="00280818"/>
    <w:rsid w:val="00280E47"/>
    <w:rsid w:val="00281A03"/>
    <w:rsid w:val="00282174"/>
    <w:rsid w:val="00283B67"/>
    <w:rsid w:val="00286907"/>
    <w:rsid w:val="0028721A"/>
    <w:rsid w:val="00287F1C"/>
    <w:rsid w:val="002900F7"/>
    <w:rsid w:val="00290400"/>
    <w:rsid w:val="002944FB"/>
    <w:rsid w:val="00297194"/>
    <w:rsid w:val="0029747A"/>
    <w:rsid w:val="002A03BD"/>
    <w:rsid w:val="002A055D"/>
    <w:rsid w:val="002A0ECF"/>
    <w:rsid w:val="002A2CB9"/>
    <w:rsid w:val="002A54E7"/>
    <w:rsid w:val="002A5ACF"/>
    <w:rsid w:val="002A605C"/>
    <w:rsid w:val="002B39BE"/>
    <w:rsid w:val="002B3D4A"/>
    <w:rsid w:val="002B695A"/>
    <w:rsid w:val="002B7838"/>
    <w:rsid w:val="002C4DDA"/>
    <w:rsid w:val="002C5664"/>
    <w:rsid w:val="002D01DD"/>
    <w:rsid w:val="002D22E6"/>
    <w:rsid w:val="002D2432"/>
    <w:rsid w:val="002D521B"/>
    <w:rsid w:val="002D6357"/>
    <w:rsid w:val="002D74B6"/>
    <w:rsid w:val="002D7C80"/>
    <w:rsid w:val="002D7F51"/>
    <w:rsid w:val="002E1DE4"/>
    <w:rsid w:val="002E5336"/>
    <w:rsid w:val="002E5C5E"/>
    <w:rsid w:val="002F005E"/>
    <w:rsid w:val="002F3A61"/>
    <w:rsid w:val="002F4A43"/>
    <w:rsid w:val="002F5349"/>
    <w:rsid w:val="002F566D"/>
    <w:rsid w:val="00300F7E"/>
    <w:rsid w:val="0030475B"/>
    <w:rsid w:val="0030639D"/>
    <w:rsid w:val="00307069"/>
    <w:rsid w:val="00310A02"/>
    <w:rsid w:val="00311F35"/>
    <w:rsid w:val="00315A26"/>
    <w:rsid w:val="0031702F"/>
    <w:rsid w:val="00317682"/>
    <w:rsid w:val="00320506"/>
    <w:rsid w:val="003216F9"/>
    <w:rsid w:val="00324882"/>
    <w:rsid w:val="00325EBF"/>
    <w:rsid w:val="00331D37"/>
    <w:rsid w:val="00334386"/>
    <w:rsid w:val="00334C5C"/>
    <w:rsid w:val="003352A2"/>
    <w:rsid w:val="00335CFA"/>
    <w:rsid w:val="00336A42"/>
    <w:rsid w:val="00336B56"/>
    <w:rsid w:val="0033788C"/>
    <w:rsid w:val="00337C7E"/>
    <w:rsid w:val="00341732"/>
    <w:rsid w:val="00341939"/>
    <w:rsid w:val="0034320C"/>
    <w:rsid w:val="003438A8"/>
    <w:rsid w:val="00350090"/>
    <w:rsid w:val="003514CB"/>
    <w:rsid w:val="003517A6"/>
    <w:rsid w:val="00353E89"/>
    <w:rsid w:val="0036184C"/>
    <w:rsid w:val="0036283D"/>
    <w:rsid w:val="003631DA"/>
    <w:rsid w:val="00363458"/>
    <w:rsid w:val="00365D7F"/>
    <w:rsid w:val="00366C7F"/>
    <w:rsid w:val="003709CE"/>
    <w:rsid w:val="00370D05"/>
    <w:rsid w:val="003712FB"/>
    <w:rsid w:val="00373B2B"/>
    <w:rsid w:val="00374068"/>
    <w:rsid w:val="00375FF9"/>
    <w:rsid w:val="00385D4C"/>
    <w:rsid w:val="003860A7"/>
    <w:rsid w:val="0039017B"/>
    <w:rsid w:val="003919BC"/>
    <w:rsid w:val="003920E8"/>
    <w:rsid w:val="00393F09"/>
    <w:rsid w:val="003950C7"/>
    <w:rsid w:val="003959AC"/>
    <w:rsid w:val="003959B3"/>
    <w:rsid w:val="0039645A"/>
    <w:rsid w:val="00396F70"/>
    <w:rsid w:val="00397243"/>
    <w:rsid w:val="003A09DF"/>
    <w:rsid w:val="003A0DE5"/>
    <w:rsid w:val="003A276C"/>
    <w:rsid w:val="003A56DB"/>
    <w:rsid w:val="003A5BC9"/>
    <w:rsid w:val="003A6385"/>
    <w:rsid w:val="003A6BBD"/>
    <w:rsid w:val="003A7E70"/>
    <w:rsid w:val="003B0B9B"/>
    <w:rsid w:val="003B10BA"/>
    <w:rsid w:val="003B6243"/>
    <w:rsid w:val="003B62ED"/>
    <w:rsid w:val="003B64D2"/>
    <w:rsid w:val="003B778C"/>
    <w:rsid w:val="003C1F69"/>
    <w:rsid w:val="003C4C42"/>
    <w:rsid w:val="003C4D54"/>
    <w:rsid w:val="003D117B"/>
    <w:rsid w:val="003E063A"/>
    <w:rsid w:val="003E0A0F"/>
    <w:rsid w:val="003E5215"/>
    <w:rsid w:val="003E5EAC"/>
    <w:rsid w:val="003F2F9D"/>
    <w:rsid w:val="003F7C7E"/>
    <w:rsid w:val="004008A8"/>
    <w:rsid w:val="00400940"/>
    <w:rsid w:val="00402EC1"/>
    <w:rsid w:val="004047CC"/>
    <w:rsid w:val="00407183"/>
    <w:rsid w:val="00410473"/>
    <w:rsid w:val="00411FB6"/>
    <w:rsid w:val="0041235C"/>
    <w:rsid w:val="00412657"/>
    <w:rsid w:val="00412B5F"/>
    <w:rsid w:val="00412DD9"/>
    <w:rsid w:val="00414AFB"/>
    <w:rsid w:val="00416E75"/>
    <w:rsid w:val="00420B30"/>
    <w:rsid w:val="00423EB6"/>
    <w:rsid w:val="00425AE4"/>
    <w:rsid w:val="00430BD3"/>
    <w:rsid w:val="00432ED3"/>
    <w:rsid w:val="00440D9A"/>
    <w:rsid w:val="0044225D"/>
    <w:rsid w:val="00445BD9"/>
    <w:rsid w:val="00447579"/>
    <w:rsid w:val="00455C99"/>
    <w:rsid w:val="00456768"/>
    <w:rsid w:val="00463421"/>
    <w:rsid w:val="0046419A"/>
    <w:rsid w:val="00465C34"/>
    <w:rsid w:val="004661D4"/>
    <w:rsid w:val="0046726C"/>
    <w:rsid w:val="00467E72"/>
    <w:rsid w:val="00472D0C"/>
    <w:rsid w:val="004734B5"/>
    <w:rsid w:val="004807A4"/>
    <w:rsid w:val="0048106B"/>
    <w:rsid w:val="00481919"/>
    <w:rsid w:val="004830D8"/>
    <w:rsid w:val="0048389D"/>
    <w:rsid w:val="00483CA1"/>
    <w:rsid w:val="00490288"/>
    <w:rsid w:val="00491600"/>
    <w:rsid w:val="00491B31"/>
    <w:rsid w:val="00493E6C"/>
    <w:rsid w:val="0049516D"/>
    <w:rsid w:val="0049617B"/>
    <w:rsid w:val="0049695F"/>
    <w:rsid w:val="00497802"/>
    <w:rsid w:val="004A232B"/>
    <w:rsid w:val="004A730B"/>
    <w:rsid w:val="004A760B"/>
    <w:rsid w:val="004B2B78"/>
    <w:rsid w:val="004B5858"/>
    <w:rsid w:val="004B64C1"/>
    <w:rsid w:val="004B7B96"/>
    <w:rsid w:val="004C6193"/>
    <w:rsid w:val="004C69E0"/>
    <w:rsid w:val="004C7617"/>
    <w:rsid w:val="004D2F70"/>
    <w:rsid w:val="004D5D54"/>
    <w:rsid w:val="004D7B1D"/>
    <w:rsid w:val="004D7BC6"/>
    <w:rsid w:val="004E00D7"/>
    <w:rsid w:val="004E3033"/>
    <w:rsid w:val="004E31A3"/>
    <w:rsid w:val="004E4BA8"/>
    <w:rsid w:val="004E4DE9"/>
    <w:rsid w:val="004E6E0A"/>
    <w:rsid w:val="004E7FE1"/>
    <w:rsid w:val="004F0765"/>
    <w:rsid w:val="004F2944"/>
    <w:rsid w:val="004F45B7"/>
    <w:rsid w:val="004F521B"/>
    <w:rsid w:val="004F5522"/>
    <w:rsid w:val="004F58F0"/>
    <w:rsid w:val="004F6646"/>
    <w:rsid w:val="004F6B9E"/>
    <w:rsid w:val="004F71BC"/>
    <w:rsid w:val="004F71F9"/>
    <w:rsid w:val="00503554"/>
    <w:rsid w:val="00503DE1"/>
    <w:rsid w:val="0051005F"/>
    <w:rsid w:val="00511AC6"/>
    <w:rsid w:val="00521DF2"/>
    <w:rsid w:val="005235CD"/>
    <w:rsid w:val="005246AE"/>
    <w:rsid w:val="005246B0"/>
    <w:rsid w:val="00526C42"/>
    <w:rsid w:val="005305CE"/>
    <w:rsid w:val="00532FB0"/>
    <w:rsid w:val="0053554D"/>
    <w:rsid w:val="00541A06"/>
    <w:rsid w:val="005423D1"/>
    <w:rsid w:val="0054276C"/>
    <w:rsid w:val="00543637"/>
    <w:rsid w:val="0054565A"/>
    <w:rsid w:val="00545A99"/>
    <w:rsid w:val="00545CF6"/>
    <w:rsid w:val="005464AF"/>
    <w:rsid w:val="00550749"/>
    <w:rsid w:val="0055243A"/>
    <w:rsid w:val="00553C27"/>
    <w:rsid w:val="0055442D"/>
    <w:rsid w:val="005556C0"/>
    <w:rsid w:val="00557797"/>
    <w:rsid w:val="0056002B"/>
    <w:rsid w:val="0056235B"/>
    <w:rsid w:val="005666E0"/>
    <w:rsid w:val="005667D8"/>
    <w:rsid w:val="00567101"/>
    <w:rsid w:val="005673AD"/>
    <w:rsid w:val="0057055D"/>
    <w:rsid w:val="00571F7D"/>
    <w:rsid w:val="00572FA9"/>
    <w:rsid w:val="00577DDB"/>
    <w:rsid w:val="00582E3B"/>
    <w:rsid w:val="00583B67"/>
    <w:rsid w:val="005854A5"/>
    <w:rsid w:val="005928F9"/>
    <w:rsid w:val="005931F1"/>
    <w:rsid w:val="0059537A"/>
    <w:rsid w:val="00595AE7"/>
    <w:rsid w:val="005973F2"/>
    <w:rsid w:val="005A2410"/>
    <w:rsid w:val="005A307B"/>
    <w:rsid w:val="005A41D3"/>
    <w:rsid w:val="005A5732"/>
    <w:rsid w:val="005A6417"/>
    <w:rsid w:val="005B0D9E"/>
    <w:rsid w:val="005B3165"/>
    <w:rsid w:val="005B4521"/>
    <w:rsid w:val="005B55C1"/>
    <w:rsid w:val="005B65F7"/>
    <w:rsid w:val="005B69F6"/>
    <w:rsid w:val="005C1CC3"/>
    <w:rsid w:val="005C214F"/>
    <w:rsid w:val="005C279E"/>
    <w:rsid w:val="005C6082"/>
    <w:rsid w:val="005C7CF0"/>
    <w:rsid w:val="005D1466"/>
    <w:rsid w:val="005D1F2A"/>
    <w:rsid w:val="005D482C"/>
    <w:rsid w:val="005D58B8"/>
    <w:rsid w:val="005D58BD"/>
    <w:rsid w:val="005D6264"/>
    <w:rsid w:val="005E01B1"/>
    <w:rsid w:val="005E0DAC"/>
    <w:rsid w:val="005E2225"/>
    <w:rsid w:val="005E2D8B"/>
    <w:rsid w:val="005E3583"/>
    <w:rsid w:val="005E52AB"/>
    <w:rsid w:val="005E7C38"/>
    <w:rsid w:val="005F129A"/>
    <w:rsid w:val="005F2844"/>
    <w:rsid w:val="005F382E"/>
    <w:rsid w:val="005F636F"/>
    <w:rsid w:val="00600751"/>
    <w:rsid w:val="00601843"/>
    <w:rsid w:val="00602CC5"/>
    <w:rsid w:val="006051A8"/>
    <w:rsid w:val="00607EBB"/>
    <w:rsid w:val="00610A50"/>
    <w:rsid w:val="0061237C"/>
    <w:rsid w:val="00614D3F"/>
    <w:rsid w:val="00616D63"/>
    <w:rsid w:val="00616D94"/>
    <w:rsid w:val="00617CCD"/>
    <w:rsid w:val="006224EE"/>
    <w:rsid w:val="00626817"/>
    <w:rsid w:val="0062764C"/>
    <w:rsid w:val="00630D25"/>
    <w:rsid w:val="006311EE"/>
    <w:rsid w:val="00635256"/>
    <w:rsid w:val="00636DD3"/>
    <w:rsid w:val="00640B1C"/>
    <w:rsid w:val="00641A3B"/>
    <w:rsid w:val="00642124"/>
    <w:rsid w:val="006445B6"/>
    <w:rsid w:val="00644867"/>
    <w:rsid w:val="00644DB0"/>
    <w:rsid w:val="00647816"/>
    <w:rsid w:val="00650469"/>
    <w:rsid w:val="00651782"/>
    <w:rsid w:val="0065472C"/>
    <w:rsid w:val="00655F8B"/>
    <w:rsid w:val="006567D4"/>
    <w:rsid w:val="006627C4"/>
    <w:rsid w:val="00664F17"/>
    <w:rsid w:val="0066757F"/>
    <w:rsid w:val="0067195F"/>
    <w:rsid w:val="006740AD"/>
    <w:rsid w:val="006748CC"/>
    <w:rsid w:val="00674EA9"/>
    <w:rsid w:val="00681567"/>
    <w:rsid w:val="00683C8B"/>
    <w:rsid w:val="00684909"/>
    <w:rsid w:val="006852C4"/>
    <w:rsid w:val="00685EF5"/>
    <w:rsid w:val="006900FF"/>
    <w:rsid w:val="006927F7"/>
    <w:rsid w:val="00696535"/>
    <w:rsid w:val="006A27F5"/>
    <w:rsid w:val="006A6752"/>
    <w:rsid w:val="006B0E12"/>
    <w:rsid w:val="006B1970"/>
    <w:rsid w:val="006B1F5A"/>
    <w:rsid w:val="006B2AD1"/>
    <w:rsid w:val="006B33DC"/>
    <w:rsid w:val="006B4AB1"/>
    <w:rsid w:val="006C33EE"/>
    <w:rsid w:val="006C61BA"/>
    <w:rsid w:val="006C6B4D"/>
    <w:rsid w:val="006C7EAF"/>
    <w:rsid w:val="006D0B37"/>
    <w:rsid w:val="006D4E55"/>
    <w:rsid w:val="006D5B0B"/>
    <w:rsid w:val="006D6034"/>
    <w:rsid w:val="006E192C"/>
    <w:rsid w:val="006E521E"/>
    <w:rsid w:val="006E7F80"/>
    <w:rsid w:val="006F22CF"/>
    <w:rsid w:val="006F2905"/>
    <w:rsid w:val="006F4E79"/>
    <w:rsid w:val="00700339"/>
    <w:rsid w:val="007026DD"/>
    <w:rsid w:val="00702928"/>
    <w:rsid w:val="0070360E"/>
    <w:rsid w:val="00710965"/>
    <w:rsid w:val="0071208A"/>
    <w:rsid w:val="00717BB7"/>
    <w:rsid w:val="00720233"/>
    <w:rsid w:val="00721CDC"/>
    <w:rsid w:val="0072528B"/>
    <w:rsid w:val="00725F80"/>
    <w:rsid w:val="007266C4"/>
    <w:rsid w:val="00730E1E"/>
    <w:rsid w:val="007353FE"/>
    <w:rsid w:val="00737D8D"/>
    <w:rsid w:val="00742EE5"/>
    <w:rsid w:val="00743BFE"/>
    <w:rsid w:val="0074431E"/>
    <w:rsid w:val="00746491"/>
    <w:rsid w:val="0075037D"/>
    <w:rsid w:val="00753D1B"/>
    <w:rsid w:val="00755275"/>
    <w:rsid w:val="00761D2C"/>
    <w:rsid w:val="00761E18"/>
    <w:rsid w:val="0076382B"/>
    <w:rsid w:val="0076550D"/>
    <w:rsid w:val="00765A7D"/>
    <w:rsid w:val="00770708"/>
    <w:rsid w:val="00770C76"/>
    <w:rsid w:val="00773B9E"/>
    <w:rsid w:val="00773C5B"/>
    <w:rsid w:val="00774153"/>
    <w:rsid w:val="007765B8"/>
    <w:rsid w:val="0078009B"/>
    <w:rsid w:val="00780105"/>
    <w:rsid w:val="00780DA7"/>
    <w:rsid w:val="0078141B"/>
    <w:rsid w:val="00782558"/>
    <w:rsid w:val="00783E9A"/>
    <w:rsid w:val="007866C7"/>
    <w:rsid w:val="00786FE3"/>
    <w:rsid w:val="00790328"/>
    <w:rsid w:val="007918E1"/>
    <w:rsid w:val="0079272B"/>
    <w:rsid w:val="00792DCC"/>
    <w:rsid w:val="00793B31"/>
    <w:rsid w:val="0079528B"/>
    <w:rsid w:val="00795BC8"/>
    <w:rsid w:val="007A2EFA"/>
    <w:rsid w:val="007A5230"/>
    <w:rsid w:val="007A6366"/>
    <w:rsid w:val="007A7C3B"/>
    <w:rsid w:val="007B17F1"/>
    <w:rsid w:val="007B29AF"/>
    <w:rsid w:val="007B38CA"/>
    <w:rsid w:val="007B5D14"/>
    <w:rsid w:val="007B6194"/>
    <w:rsid w:val="007B6EE3"/>
    <w:rsid w:val="007B75E6"/>
    <w:rsid w:val="007C27B6"/>
    <w:rsid w:val="007C4322"/>
    <w:rsid w:val="007C4328"/>
    <w:rsid w:val="007C55B9"/>
    <w:rsid w:val="007C5CE4"/>
    <w:rsid w:val="007C7EC9"/>
    <w:rsid w:val="007D0413"/>
    <w:rsid w:val="007D0574"/>
    <w:rsid w:val="007D13EF"/>
    <w:rsid w:val="007D3E02"/>
    <w:rsid w:val="007E18B1"/>
    <w:rsid w:val="007E48B8"/>
    <w:rsid w:val="007E5427"/>
    <w:rsid w:val="007E546B"/>
    <w:rsid w:val="007E6C6B"/>
    <w:rsid w:val="007E6CCA"/>
    <w:rsid w:val="007F10E1"/>
    <w:rsid w:val="007F1FBB"/>
    <w:rsid w:val="007F2EC6"/>
    <w:rsid w:val="007F3B27"/>
    <w:rsid w:val="007F61D4"/>
    <w:rsid w:val="007F7DE2"/>
    <w:rsid w:val="00800A19"/>
    <w:rsid w:val="00800A63"/>
    <w:rsid w:val="00804519"/>
    <w:rsid w:val="008069AD"/>
    <w:rsid w:val="00807478"/>
    <w:rsid w:val="0081115A"/>
    <w:rsid w:val="00812E2D"/>
    <w:rsid w:val="00813D13"/>
    <w:rsid w:val="008174BA"/>
    <w:rsid w:val="008203B1"/>
    <w:rsid w:val="00822DDC"/>
    <w:rsid w:val="0082324C"/>
    <w:rsid w:val="008232C2"/>
    <w:rsid w:val="00824874"/>
    <w:rsid w:val="00827B07"/>
    <w:rsid w:val="00827B8A"/>
    <w:rsid w:val="0083099F"/>
    <w:rsid w:val="008328A3"/>
    <w:rsid w:val="0083308C"/>
    <w:rsid w:val="00833D7B"/>
    <w:rsid w:val="008352FA"/>
    <w:rsid w:val="008360F8"/>
    <w:rsid w:val="008362FE"/>
    <w:rsid w:val="00836B9E"/>
    <w:rsid w:val="00840063"/>
    <w:rsid w:val="00841456"/>
    <w:rsid w:val="00842112"/>
    <w:rsid w:val="0084657A"/>
    <w:rsid w:val="0084792D"/>
    <w:rsid w:val="0085056D"/>
    <w:rsid w:val="0085435E"/>
    <w:rsid w:val="00856041"/>
    <w:rsid w:val="008569C2"/>
    <w:rsid w:val="008608F1"/>
    <w:rsid w:val="008630EB"/>
    <w:rsid w:val="00863BA0"/>
    <w:rsid w:val="008646B6"/>
    <w:rsid w:val="008646BB"/>
    <w:rsid w:val="00865E44"/>
    <w:rsid w:val="00866558"/>
    <w:rsid w:val="00866F87"/>
    <w:rsid w:val="00867936"/>
    <w:rsid w:val="00867A30"/>
    <w:rsid w:val="008706CF"/>
    <w:rsid w:val="00872675"/>
    <w:rsid w:val="00872A13"/>
    <w:rsid w:val="008735D5"/>
    <w:rsid w:val="00874AF1"/>
    <w:rsid w:val="008775E2"/>
    <w:rsid w:val="00880354"/>
    <w:rsid w:val="0088083E"/>
    <w:rsid w:val="00880E7F"/>
    <w:rsid w:val="008814B8"/>
    <w:rsid w:val="00882D48"/>
    <w:rsid w:val="0088644C"/>
    <w:rsid w:val="00886684"/>
    <w:rsid w:val="00886A5C"/>
    <w:rsid w:val="008874F9"/>
    <w:rsid w:val="00887B70"/>
    <w:rsid w:val="008904D2"/>
    <w:rsid w:val="0089084A"/>
    <w:rsid w:val="008909FD"/>
    <w:rsid w:val="00891645"/>
    <w:rsid w:val="00891C64"/>
    <w:rsid w:val="008923B0"/>
    <w:rsid w:val="008941A2"/>
    <w:rsid w:val="00894462"/>
    <w:rsid w:val="0089648A"/>
    <w:rsid w:val="0089764D"/>
    <w:rsid w:val="008978B9"/>
    <w:rsid w:val="00897B2D"/>
    <w:rsid w:val="008A5EE0"/>
    <w:rsid w:val="008A6BD4"/>
    <w:rsid w:val="008B1E06"/>
    <w:rsid w:val="008B2FD6"/>
    <w:rsid w:val="008B3199"/>
    <w:rsid w:val="008B5FDF"/>
    <w:rsid w:val="008B73ED"/>
    <w:rsid w:val="008B7D48"/>
    <w:rsid w:val="008C1A46"/>
    <w:rsid w:val="008C4E4F"/>
    <w:rsid w:val="008C7F0F"/>
    <w:rsid w:val="008D18AD"/>
    <w:rsid w:val="008D2249"/>
    <w:rsid w:val="008D250B"/>
    <w:rsid w:val="008D2786"/>
    <w:rsid w:val="008D2869"/>
    <w:rsid w:val="008D481E"/>
    <w:rsid w:val="008D59C3"/>
    <w:rsid w:val="008D5B36"/>
    <w:rsid w:val="008D5D3D"/>
    <w:rsid w:val="008D69B6"/>
    <w:rsid w:val="008E235C"/>
    <w:rsid w:val="008E33BA"/>
    <w:rsid w:val="008E5056"/>
    <w:rsid w:val="008F06A0"/>
    <w:rsid w:val="008F0DD6"/>
    <w:rsid w:val="008F14BD"/>
    <w:rsid w:val="008F724C"/>
    <w:rsid w:val="00901960"/>
    <w:rsid w:val="00905511"/>
    <w:rsid w:val="00907CD7"/>
    <w:rsid w:val="0091294B"/>
    <w:rsid w:val="0091297D"/>
    <w:rsid w:val="00912E48"/>
    <w:rsid w:val="009130FA"/>
    <w:rsid w:val="00920535"/>
    <w:rsid w:val="00921778"/>
    <w:rsid w:val="009224A8"/>
    <w:rsid w:val="00925544"/>
    <w:rsid w:val="009256D9"/>
    <w:rsid w:val="00925BE0"/>
    <w:rsid w:val="00926C1F"/>
    <w:rsid w:val="00927198"/>
    <w:rsid w:val="00933FC1"/>
    <w:rsid w:val="00934C12"/>
    <w:rsid w:val="00934E44"/>
    <w:rsid w:val="00936CD5"/>
    <w:rsid w:val="00937210"/>
    <w:rsid w:val="00940243"/>
    <w:rsid w:val="00941B01"/>
    <w:rsid w:val="00943870"/>
    <w:rsid w:val="00945F85"/>
    <w:rsid w:val="009469FE"/>
    <w:rsid w:val="00950604"/>
    <w:rsid w:val="009514B0"/>
    <w:rsid w:val="009532E0"/>
    <w:rsid w:val="00953BED"/>
    <w:rsid w:val="00953F3C"/>
    <w:rsid w:val="0095791F"/>
    <w:rsid w:val="00961261"/>
    <w:rsid w:val="009706B4"/>
    <w:rsid w:val="00970ED0"/>
    <w:rsid w:val="00971453"/>
    <w:rsid w:val="0097238D"/>
    <w:rsid w:val="009743BC"/>
    <w:rsid w:val="00974CC5"/>
    <w:rsid w:val="00976A57"/>
    <w:rsid w:val="00977B1B"/>
    <w:rsid w:val="009819BC"/>
    <w:rsid w:val="009820AD"/>
    <w:rsid w:val="0098328E"/>
    <w:rsid w:val="00984B90"/>
    <w:rsid w:val="009862FB"/>
    <w:rsid w:val="00986AC2"/>
    <w:rsid w:val="009873E9"/>
    <w:rsid w:val="009900A2"/>
    <w:rsid w:val="009913DC"/>
    <w:rsid w:val="00991ACC"/>
    <w:rsid w:val="00992A57"/>
    <w:rsid w:val="00994409"/>
    <w:rsid w:val="00997440"/>
    <w:rsid w:val="00997B50"/>
    <w:rsid w:val="009A0B3A"/>
    <w:rsid w:val="009A4332"/>
    <w:rsid w:val="009A4AD8"/>
    <w:rsid w:val="009A5870"/>
    <w:rsid w:val="009A66B3"/>
    <w:rsid w:val="009B0E0A"/>
    <w:rsid w:val="009B0E58"/>
    <w:rsid w:val="009B2665"/>
    <w:rsid w:val="009B6089"/>
    <w:rsid w:val="009B6E45"/>
    <w:rsid w:val="009B6FF7"/>
    <w:rsid w:val="009B7923"/>
    <w:rsid w:val="009B7B3D"/>
    <w:rsid w:val="009B7ECF"/>
    <w:rsid w:val="009B7F56"/>
    <w:rsid w:val="009C14A0"/>
    <w:rsid w:val="009C16D8"/>
    <w:rsid w:val="009C1BCB"/>
    <w:rsid w:val="009C22B2"/>
    <w:rsid w:val="009C3C0F"/>
    <w:rsid w:val="009C4742"/>
    <w:rsid w:val="009C4A8B"/>
    <w:rsid w:val="009C5F03"/>
    <w:rsid w:val="009C6C87"/>
    <w:rsid w:val="009D0F8D"/>
    <w:rsid w:val="009D137D"/>
    <w:rsid w:val="009D1E37"/>
    <w:rsid w:val="009D3AE5"/>
    <w:rsid w:val="009D5F8C"/>
    <w:rsid w:val="009D7880"/>
    <w:rsid w:val="009D7CF6"/>
    <w:rsid w:val="009E1E4E"/>
    <w:rsid w:val="009E2A09"/>
    <w:rsid w:val="009E50D8"/>
    <w:rsid w:val="009E772A"/>
    <w:rsid w:val="009F0AED"/>
    <w:rsid w:val="009F1A14"/>
    <w:rsid w:val="009F1C5E"/>
    <w:rsid w:val="009F4326"/>
    <w:rsid w:val="00A00DDB"/>
    <w:rsid w:val="00A0331D"/>
    <w:rsid w:val="00A037FA"/>
    <w:rsid w:val="00A053D1"/>
    <w:rsid w:val="00A07870"/>
    <w:rsid w:val="00A07D5A"/>
    <w:rsid w:val="00A07E86"/>
    <w:rsid w:val="00A13BAD"/>
    <w:rsid w:val="00A147E0"/>
    <w:rsid w:val="00A14A5B"/>
    <w:rsid w:val="00A163BB"/>
    <w:rsid w:val="00A16530"/>
    <w:rsid w:val="00A167D6"/>
    <w:rsid w:val="00A23266"/>
    <w:rsid w:val="00A24090"/>
    <w:rsid w:val="00A25392"/>
    <w:rsid w:val="00A27DC1"/>
    <w:rsid w:val="00A30B8B"/>
    <w:rsid w:val="00A30D4E"/>
    <w:rsid w:val="00A328EC"/>
    <w:rsid w:val="00A32E22"/>
    <w:rsid w:val="00A364A5"/>
    <w:rsid w:val="00A37B1F"/>
    <w:rsid w:val="00A442B0"/>
    <w:rsid w:val="00A511A4"/>
    <w:rsid w:val="00A52AB8"/>
    <w:rsid w:val="00A54499"/>
    <w:rsid w:val="00A562B7"/>
    <w:rsid w:val="00A56E93"/>
    <w:rsid w:val="00A60478"/>
    <w:rsid w:val="00A60D51"/>
    <w:rsid w:val="00A6107D"/>
    <w:rsid w:val="00A61C2D"/>
    <w:rsid w:val="00A623EF"/>
    <w:rsid w:val="00A64EC6"/>
    <w:rsid w:val="00A65743"/>
    <w:rsid w:val="00A65E50"/>
    <w:rsid w:val="00A662A8"/>
    <w:rsid w:val="00A66619"/>
    <w:rsid w:val="00A71EB0"/>
    <w:rsid w:val="00A72C5C"/>
    <w:rsid w:val="00A775E1"/>
    <w:rsid w:val="00A80073"/>
    <w:rsid w:val="00A8287A"/>
    <w:rsid w:val="00A837DF"/>
    <w:rsid w:val="00A83C42"/>
    <w:rsid w:val="00A84E6D"/>
    <w:rsid w:val="00A86F36"/>
    <w:rsid w:val="00A872E6"/>
    <w:rsid w:val="00A8797D"/>
    <w:rsid w:val="00A914AB"/>
    <w:rsid w:val="00A9409A"/>
    <w:rsid w:val="00A95825"/>
    <w:rsid w:val="00A96972"/>
    <w:rsid w:val="00AA4F34"/>
    <w:rsid w:val="00AA5100"/>
    <w:rsid w:val="00AA56CB"/>
    <w:rsid w:val="00AA7E4A"/>
    <w:rsid w:val="00AB03EB"/>
    <w:rsid w:val="00AB17CC"/>
    <w:rsid w:val="00AB228D"/>
    <w:rsid w:val="00AB4170"/>
    <w:rsid w:val="00AB4DC6"/>
    <w:rsid w:val="00AB5465"/>
    <w:rsid w:val="00AB5987"/>
    <w:rsid w:val="00AB77D9"/>
    <w:rsid w:val="00AC2F8F"/>
    <w:rsid w:val="00AC4345"/>
    <w:rsid w:val="00AC4BAC"/>
    <w:rsid w:val="00AC5906"/>
    <w:rsid w:val="00AC60D0"/>
    <w:rsid w:val="00AC61D9"/>
    <w:rsid w:val="00AD1792"/>
    <w:rsid w:val="00AD4265"/>
    <w:rsid w:val="00AD45D2"/>
    <w:rsid w:val="00AD48CD"/>
    <w:rsid w:val="00AD52D3"/>
    <w:rsid w:val="00AD561F"/>
    <w:rsid w:val="00AE25FF"/>
    <w:rsid w:val="00AE35D7"/>
    <w:rsid w:val="00AE3C28"/>
    <w:rsid w:val="00AE3C81"/>
    <w:rsid w:val="00AE561D"/>
    <w:rsid w:val="00AE6DAF"/>
    <w:rsid w:val="00AE7656"/>
    <w:rsid w:val="00AF22F1"/>
    <w:rsid w:val="00AF5770"/>
    <w:rsid w:val="00AF5968"/>
    <w:rsid w:val="00AF5C44"/>
    <w:rsid w:val="00B00338"/>
    <w:rsid w:val="00B0125E"/>
    <w:rsid w:val="00B01378"/>
    <w:rsid w:val="00B015C0"/>
    <w:rsid w:val="00B01C97"/>
    <w:rsid w:val="00B05267"/>
    <w:rsid w:val="00B05BD0"/>
    <w:rsid w:val="00B06E99"/>
    <w:rsid w:val="00B07C6E"/>
    <w:rsid w:val="00B07F51"/>
    <w:rsid w:val="00B100DE"/>
    <w:rsid w:val="00B11F18"/>
    <w:rsid w:val="00B1219D"/>
    <w:rsid w:val="00B16F3F"/>
    <w:rsid w:val="00B21600"/>
    <w:rsid w:val="00B21775"/>
    <w:rsid w:val="00B22907"/>
    <w:rsid w:val="00B22D16"/>
    <w:rsid w:val="00B23A6D"/>
    <w:rsid w:val="00B2686D"/>
    <w:rsid w:val="00B27C75"/>
    <w:rsid w:val="00B27EFF"/>
    <w:rsid w:val="00B30954"/>
    <w:rsid w:val="00B3165E"/>
    <w:rsid w:val="00B31CD9"/>
    <w:rsid w:val="00B328CF"/>
    <w:rsid w:val="00B33373"/>
    <w:rsid w:val="00B3466D"/>
    <w:rsid w:val="00B34BF2"/>
    <w:rsid w:val="00B34FB9"/>
    <w:rsid w:val="00B35818"/>
    <w:rsid w:val="00B37DFF"/>
    <w:rsid w:val="00B40801"/>
    <w:rsid w:val="00B40DA2"/>
    <w:rsid w:val="00B415E8"/>
    <w:rsid w:val="00B43186"/>
    <w:rsid w:val="00B43F07"/>
    <w:rsid w:val="00B44158"/>
    <w:rsid w:val="00B45850"/>
    <w:rsid w:val="00B45EC1"/>
    <w:rsid w:val="00B4763C"/>
    <w:rsid w:val="00B5064F"/>
    <w:rsid w:val="00B51A4F"/>
    <w:rsid w:val="00B51CA5"/>
    <w:rsid w:val="00B54A42"/>
    <w:rsid w:val="00B60297"/>
    <w:rsid w:val="00B60A8C"/>
    <w:rsid w:val="00B6240F"/>
    <w:rsid w:val="00B62712"/>
    <w:rsid w:val="00B677E5"/>
    <w:rsid w:val="00B72F8A"/>
    <w:rsid w:val="00B7330E"/>
    <w:rsid w:val="00B76C0B"/>
    <w:rsid w:val="00B81E27"/>
    <w:rsid w:val="00B8320D"/>
    <w:rsid w:val="00B85341"/>
    <w:rsid w:val="00B85405"/>
    <w:rsid w:val="00B86F48"/>
    <w:rsid w:val="00B87794"/>
    <w:rsid w:val="00B87C11"/>
    <w:rsid w:val="00B90DD6"/>
    <w:rsid w:val="00B92871"/>
    <w:rsid w:val="00B92C5A"/>
    <w:rsid w:val="00B9353C"/>
    <w:rsid w:val="00B93949"/>
    <w:rsid w:val="00B94C78"/>
    <w:rsid w:val="00B94CD7"/>
    <w:rsid w:val="00B94F50"/>
    <w:rsid w:val="00B9544D"/>
    <w:rsid w:val="00B95B60"/>
    <w:rsid w:val="00BA397F"/>
    <w:rsid w:val="00BA7A25"/>
    <w:rsid w:val="00BB04F5"/>
    <w:rsid w:val="00BB0CC5"/>
    <w:rsid w:val="00BB10FB"/>
    <w:rsid w:val="00BB2E4E"/>
    <w:rsid w:val="00BB564E"/>
    <w:rsid w:val="00BB61CD"/>
    <w:rsid w:val="00BB6661"/>
    <w:rsid w:val="00BC1270"/>
    <w:rsid w:val="00BC2BE9"/>
    <w:rsid w:val="00BC2C66"/>
    <w:rsid w:val="00BC3791"/>
    <w:rsid w:val="00BC438E"/>
    <w:rsid w:val="00BC563F"/>
    <w:rsid w:val="00BD03AF"/>
    <w:rsid w:val="00BD0E3D"/>
    <w:rsid w:val="00BD18AC"/>
    <w:rsid w:val="00BD2A2C"/>
    <w:rsid w:val="00BD3887"/>
    <w:rsid w:val="00BD58D7"/>
    <w:rsid w:val="00BD76F7"/>
    <w:rsid w:val="00BE2159"/>
    <w:rsid w:val="00BE2B6A"/>
    <w:rsid w:val="00BE4073"/>
    <w:rsid w:val="00BE52DE"/>
    <w:rsid w:val="00BE5BFE"/>
    <w:rsid w:val="00BF140E"/>
    <w:rsid w:val="00BF1BFF"/>
    <w:rsid w:val="00BF2494"/>
    <w:rsid w:val="00BF473A"/>
    <w:rsid w:val="00BF47A5"/>
    <w:rsid w:val="00C00A80"/>
    <w:rsid w:val="00C0174F"/>
    <w:rsid w:val="00C0531F"/>
    <w:rsid w:val="00C10A33"/>
    <w:rsid w:val="00C10E20"/>
    <w:rsid w:val="00C13249"/>
    <w:rsid w:val="00C16626"/>
    <w:rsid w:val="00C1720D"/>
    <w:rsid w:val="00C17C39"/>
    <w:rsid w:val="00C2026A"/>
    <w:rsid w:val="00C203AB"/>
    <w:rsid w:val="00C209B7"/>
    <w:rsid w:val="00C23939"/>
    <w:rsid w:val="00C25374"/>
    <w:rsid w:val="00C35B30"/>
    <w:rsid w:val="00C3618C"/>
    <w:rsid w:val="00C366D8"/>
    <w:rsid w:val="00C43C61"/>
    <w:rsid w:val="00C44073"/>
    <w:rsid w:val="00C445BF"/>
    <w:rsid w:val="00C45E2C"/>
    <w:rsid w:val="00C46011"/>
    <w:rsid w:val="00C46D48"/>
    <w:rsid w:val="00C519F6"/>
    <w:rsid w:val="00C53C4A"/>
    <w:rsid w:val="00C54727"/>
    <w:rsid w:val="00C55611"/>
    <w:rsid w:val="00C57AF2"/>
    <w:rsid w:val="00C57EA1"/>
    <w:rsid w:val="00C60E9C"/>
    <w:rsid w:val="00C63BF7"/>
    <w:rsid w:val="00C63D2A"/>
    <w:rsid w:val="00C64DEA"/>
    <w:rsid w:val="00C67D2E"/>
    <w:rsid w:val="00C702B2"/>
    <w:rsid w:val="00C706C2"/>
    <w:rsid w:val="00C72025"/>
    <w:rsid w:val="00C72DE7"/>
    <w:rsid w:val="00C734A6"/>
    <w:rsid w:val="00C754F7"/>
    <w:rsid w:val="00C816A8"/>
    <w:rsid w:val="00C82851"/>
    <w:rsid w:val="00C82948"/>
    <w:rsid w:val="00C83DC4"/>
    <w:rsid w:val="00C841D6"/>
    <w:rsid w:val="00C8474E"/>
    <w:rsid w:val="00C8583C"/>
    <w:rsid w:val="00C86B72"/>
    <w:rsid w:val="00C87811"/>
    <w:rsid w:val="00C92F37"/>
    <w:rsid w:val="00C9347C"/>
    <w:rsid w:val="00C9533C"/>
    <w:rsid w:val="00C9608A"/>
    <w:rsid w:val="00CA045F"/>
    <w:rsid w:val="00CA06F2"/>
    <w:rsid w:val="00CA1F43"/>
    <w:rsid w:val="00CA252F"/>
    <w:rsid w:val="00CA2E39"/>
    <w:rsid w:val="00CA431A"/>
    <w:rsid w:val="00CA4AEE"/>
    <w:rsid w:val="00CA7364"/>
    <w:rsid w:val="00CB3570"/>
    <w:rsid w:val="00CB53AD"/>
    <w:rsid w:val="00CB64FE"/>
    <w:rsid w:val="00CC0F4B"/>
    <w:rsid w:val="00CC1041"/>
    <w:rsid w:val="00CC234A"/>
    <w:rsid w:val="00CC335A"/>
    <w:rsid w:val="00CC6728"/>
    <w:rsid w:val="00CC7FC9"/>
    <w:rsid w:val="00CD0F8C"/>
    <w:rsid w:val="00CD1082"/>
    <w:rsid w:val="00CD5ACE"/>
    <w:rsid w:val="00CD60C2"/>
    <w:rsid w:val="00CD6834"/>
    <w:rsid w:val="00CE0E5A"/>
    <w:rsid w:val="00CE1850"/>
    <w:rsid w:val="00CE4F7C"/>
    <w:rsid w:val="00CE6EB3"/>
    <w:rsid w:val="00CF0696"/>
    <w:rsid w:val="00CF23DF"/>
    <w:rsid w:val="00CF50F3"/>
    <w:rsid w:val="00CF5A2B"/>
    <w:rsid w:val="00CF74D8"/>
    <w:rsid w:val="00D01411"/>
    <w:rsid w:val="00D047C0"/>
    <w:rsid w:val="00D05D17"/>
    <w:rsid w:val="00D05D66"/>
    <w:rsid w:val="00D05F13"/>
    <w:rsid w:val="00D06C16"/>
    <w:rsid w:val="00D07127"/>
    <w:rsid w:val="00D1137A"/>
    <w:rsid w:val="00D12019"/>
    <w:rsid w:val="00D133E0"/>
    <w:rsid w:val="00D13B63"/>
    <w:rsid w:val="00D1582B"/>
    <w:rsid w:val="00D159F1"/>
    <w:rsid w:val="00D2003A"/>
    <w:rsid w:val="00D234C7"/>
    <w:rsid w:val="00D24B61"/>
    <w:rsid w:val="00D25162"/>
    <w:rsid w:val="00D3014C"/>
    <w:rsid w:val="00D3088E"/>
    <w:rsid w:val="00D3330E"/>
    <w:rsid w:val="00D37BE9"/>
    <w:rsid w:val="00D41B46"/>
    <w:rsid w:val="00D432D8"/>
    <w:rsid w:val="00D43C73"/>
    <w:rsid w:val="00D451AE"/>
    <w:rsid w:val="00D459C4"/>
    <w:rsid w:val="00D47808"/>
    <w:rsid w:val="00D51308"/>
    <w:rsid w:val="00D524C7"/>
    <w:rsid w:val="00D54427"/>
    <w:rsid w:val="00D61B28"/>
    <w:rsid w:val="00D620FE"/>
    <w:rsid w:val="00D63494"/>
    <w:rsid w:val="00D66DA6"/>
    <w:rsid w:val="00D67873"/>
    <w:rsid w:val="00D67901"/>
    <w:rsid w:val="00D707CA"/>
    <w:rsid w:val="00D71963"/>
    <w:rsid w:val="00D73791"/>
    <w:rsid w:val="00D76C99"/>
    <w:rsid w:val="00D77349"/>
    <w:rsid w:val="00D777CF"/>
    <w:rsid w:val="00D83CE9"/>
    <w:rsid w:val="00D83EC2"/>
    <w:rsid w:val="00D85C1B"/>
    <w:rsid w:val="00D8689E"/>
    <w:rsid w:val="00D86EC5"/>
    <w:rsid w:val="00D87CA5"/>
    <w:rsid w:val="00D87FF7"/>
    <w:rsid w:val="00D90E14"/>
    <w:rsid w:val="00D93E1E"/>
    <w:rsid w:val="00D95ACD"/>
    <w:rsid w:val="00D9655C"/>
    <w:rsid w:val="00D96848"/>
    <w:rsid w:val="00DA0F74"/>
    <w:rsid w:val="00DA2BB0"/>
    <w:rsid w:val="00DA3957"/>
    <w:rsid w:val="00DA5145"/>
    <w:rsid w:val="00DA53B6"/>
    <w:rsid w:val="00DA5EC4"/>
    <w:rsid w:val="00DA7AFC"/>
    <w:rsid w:val="00DB055E"/>
    <w:rsid w:val="00DB117A"/>
    <w:rsid w:val="00DB3E7F"/>
    <w:rsid w:val="00DB618A"/>
    <w:rsid w:val="00DC14C3"/>
    <w:rsid w:val="00DC43FC"/>
    <w:rsid w:val="00DC5B0B"/>
    <w:rsid w:val="00DC5D9C"/>
    <w:rsid w:val="00DC7D49"/>
    <w:rsid w:val="00DD5010"/>
    <w:rsid w:val="00DD6BC1"/>
    <w:rsid w:val="00DD75B2"/>
    <w:rsid w:val="00DD7B09"/>
    <w:rsid w:val="00DE1743"/>
    <w:rsid w:val="00DE2D2A"/>
    <w:rsid w:val="00DE733A"/>
    <w:rsid w:val="00DE78CC"/>
    <w:rsid w:val="00DF2E88"/>
    <w:rsid w:val="00DF399F"/>
    <w:rsid w:val="00DF3D99"/>
    <w:rsid w:val="00DF58FB"/>
    <w:rsid w:val="00E01519"/>
    <w:rsid w:val="00E035E0"/>
    <w:rsid w:val="00E04719"/>
    <w:rsid w:val="00E05390"/>
    <w:rsid w:val="00E05A59"/>
    <w:rsid w:val="00E06435"/>
    <w:rsid w:val="00E073E1"/>
    <w:rsid w:val="00E079F9"/>
    <w:rsid w:val="00E1070F"/>
    <w:rsid w:val="00E10B2E"/>
    <w:rsid w:val="00E149D5"/>
    <w:rsid w:val="00E17742"/>
    <w:rsid w:val="00E203D5"/>
    <w:rsid w:val="00E20537"/>
    <w:rsid w:val="00E20FA1"/>
    <w:rsid w:val="00E26A58"/>
    <w:rsid w:val="00E27D7C"/>
    <w:rsid w:val="00E31D41"/>
    <w:rsid w:val="00E33C93"/>
    <w:rsid w:val="00E33D26"/>
    <w:rsid w:val="00E35DFD"/>
    <w:rsid w:val="00E3701E"/>
    <w:rsid w:val="00E400CD"/>
    <w:rsid w:val="00E40396"/>
    <w:rsid w:val="00E40651"/>
    <w:rsid w:val="00E45E0C"/>
    <w:rsid w:val="00E515C6"/>
    <w:rsid w:val="00E554F1"/>
    <w:rsid w:val="00E57395"/>
    <w:rsid w:val="00E606BD"/>
    <w:rsid w:val="00E606D4"/>
    <w:rsid w:val="00E66D77"/>
    <w:rsid w:val="00E679D2"/>
    <w:rsid w:val="00E71A26"/>
    <w:rsid w:val="00E725CC"/>
    <w:rsid w:val="00E7281B"/>
    <w:rsid w:val="00E74578"/>
    <w:rsid w:val="00E747C5"/>
    <w:rsid w:val="00E75FBF"/>
    <w:rsid w:val="00E80F83"/>
    <w:rsid w:val="00E817A5"/>
    <w:rsid w:val="00E82035"/>
    <w:rsid w:val="00E840D6"/>
    <w:rsid w:val="00E87321"/>
    <w:rsid w:val="00E90103"/>
    <w:rsid w:val="00E90255"/>
    <w:rsid w:val="00E91FDD"/>
    <w:rsid w:val="00E94CEB"/>
    <w:rsid w:val="00E951DC"/>
    <w:rsid w:val="00E95893"/>
    <w:rsid w:val="00E95F0B"/>
    <w:rsid w:val="00E971FD"/>
    <w:rsid w:val="00EA1CDA"/>
    <w:rsid w:val="00EA2935"/>
    <w:rsid w:val="00EA3848"/>
    <w:rsid w:val="00EA5AB5"/>
    <w:rsid w:val="00EB1819"/>
    <w:rsid w:val="00EB3B1D"/>
    <w:rsid w:val="00EC0C57"/>
    <w:rsid w:val="00EC2C5F"/>
    <w:rsid w:val="00EC3A15"/>
    <w:rsid w:val="00ED1B49"/>
    <w:rsid w:val="00ED423A"/>
    <w:rsid w:val="00ED624C"/>
    <w:rsid w:val="00EE163A"/>
    <w:rsid w:val="00EE4F92"/>
    <w:rsid w:val="00EF0776"/>
    <w:rsid w:val="00EF0940"/>
    <w:rsid w:val="00EF4EC7"/>
    <w:rsid w:val="00EF5A79"/>
    <w:rsid w:val="00EF7F22"/>
    <w:rsid w:val="00F0033A"/>
    <w:rsid w:val="00F02370"/>
    <w:rsid w:val="00F02D32"/>
    <w:rsid w:val="00F03165"/>
    <w:rsid w:val="00F034AB"/>
    <w:rsid w:val="00F03E32"/>
    <w:rsid w:val="00F0625A"/>
    <w:rsid w:val="00F0639B"/>
    <w:rsid w:val="00F07A79"/>
    <w:rsid w:val="00F112D6"/>
    <w:rsid w:val="00F11E6D"/>
    <w:rsid w:val="00F13E69"/>
    <w:rsid w:val="00F15E84"/>
    <w:rsid w:val="00F17D5C"/>
    <w:rsid w:val="00F17DD0"/>
    <w:rsid w:val="00F20794"/>
    <w:rsid w:val="00F20E18"/>
    <w:rsid w:val="00F2113A"/>
    <w:rsid w:val="00F21236"/>
    <w:rsid w:val="00F233AD"/>
    <w:rsid w:val="00F256E6"/>
    <w:rsid w:val="00F25B8F"/>
    <w:rsid w:val="00F304DF"/>
    <w:rsid w:val="00F31F5B"/>
    <w:rsid w:val="00F36CFE"/>
    <w:rsid w:val="00F36D98"/>
    <w:rsid w:val="00F3781F"/>
    <w:rsid w:val="00F4110D"/>
    <w:rsid w:val="00F41D1F"/>
    <w:rsid w:val="00F4298D"/>
    <w:rsid w:val="00F42C04"/>
    <w:rsid w:val="00F433DD"/>
    <w:rsid w:val="00F473F5"/>
    <w:rsid w:val="00F50251"/>
    <w:rsid w:val="00F50DD6"/>
    <w:rsid w:val="00F5104A"/>
    <w:rsid w:val="00F5248D"/>
    <w:rsid w:val="00F562F0"/>
    <w:rsid w:val="00F56F57"/>
    <w:rsid w:val="00F61BAD"/>
    <w:rsid w:val="00F652BF"/>
    <w:rsid w:val="00F710CF"/>
    <w:rsid w:val="00F7118F"/>
    <w:rsid w:val="00F75554"/>
    <w:rsid w:val="00F75952"/>
    <w:rsid w:val="00F81A31"/>
    <w:rsid w:val="00F860A2"/>
    <w:rsid w:val="00F862DB"/>
    <w:rsid w:val="00F8750D"/>
    <w:rsid w:val="00F943C3"/>
    <w:rsid w:val="00F94D9D"/>
    <w:rsid w:val="00F952AE"/>
    <w:rsid w:val="00F96099"/>
    <w:rsid w:val="00F969B2"/>
    <w:rsid w:val="00F97C5E"/>
    <w:rsid w:val="00FA000F"/>
    <w:rsid w:val="00FA0C9B"/>
    <w:rsid w:val="00FA1E56"/>
    <w:rsid w:val="00FA5A9B"/>
    <w:rsid w:val="00FA5E0B"/>
    <w:rsid w:val="00FB011E"/>
    <w:rsid w:val="00FB1554"/>
    <w:rsid w:val="00FB25E4"/>
    <w:rsid w:val="00FB29E0"/>
    <w:rsid w:val="00FB6072"/>
    <w:rsid w:val="00FC0D14"/>
    <w:rsid w:val="00FC2EEF"/>
    <w:rsid w:val="00FC2FD8"/>
    <w:rsid w:val="00FC33A8"/>
    <w:rsid w:val="00FC4573"/>
    <w:rsid w:val="00FC7CF7"/>
    <w:rsid w:val="00FD1668"/>
    <w:rsid w:val="00FE04CE"/>
    <w:rsid w:val="00FE1D44"/>
    <w:rsid w:val="00FE2363"/>
    <w:rsid w:val="00FE6617"/>
    <w:rsid w:val="00FE7623"/>
    <w:rsid w:val="00FF0E73"/>
    <w:rsid w:val="00FF1710"/>
    <w:rsid w:val="00FF34EE"/>
    <w:rsid w:val="00FF55D3"/>
    <w:rsid w:val="00FF6155"/>
    <w:rsid w:val="00FF76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85E0"/>
  <w15:docId w15:val="{2493A589-96EF-4CA3-BAD4-CA192BC9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320506"/>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ind w:left="144" w:right="144"/>
      <w:outlineLvl w:val="0"/>
    </w:pPr>
    <w:rPr>
      <w:rFonts w:asciiTheme="majorHAnsi" w:eastAsiaTheme="majorEastAsia" w:hAnsiTheme="majorHAnsi" w:cstheme="majorBidi"/>
      <w:caps/>
      <w:color w:val="FFFFFF" w:themeColor="background1"/>
      <w:kern w:val="20"/>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92C"/>
    <w:pPr>
      <w:tabs>
        <w:tab w:val="center" w:pos="4819"/>
        <w:tab w:val="right" w:pos="9638"/>
      </w:tabs>
    </w:pPr>
  </w:style>
  <w:style w:type="character" w:customStyle="1" w:styleId="HeaderChar">
    <w:name w:val="Header Char"/>
    <w:basedOn w:val="DefaultParagraphFont"/>
    <w:link w:val="Header"/>
    <w:uiPriority w:val="99"/>
    <w:rsid w:val="006E192C"/>
  </w:style>
  <w:style w:type="paragraph" w:styleId="Footer">
    <w:name w:val="footer"/>
    <w:basedOn w:val="Normal"/>
    <w:link w:val="FooterChar"/>
    <w:uiPriority w:val="99"/>
    <w:unhideWhenUsed/>
    <w:rsid w:val="006E192C"/>
    <w:pPr>
      <w:tabs>
        <w:tab w:val="center" w:pos="4819"/>
        <w:tab w:val="right" w:pos="9638"/>
      </w:tabs>
    </w:pPr>
  </w:style>
  <w:style w:type="character" w:customStyle="1" w:styleId="FooterChar">
    <w:name w:val="Footer Char"/>
    <w:basedOn w:val="DefaultParagraphFont"/>
    <w:link w:val="Footer"/>
    <w:uiPriority w:val="99"/>
    <w:rsid w:val="006E192C"/>
  </w:style>
  <w:style w:type="character" w:styleId="PlaceholderText">
    <w:name w:val="Placeholder Text"/>
    <w:basedOn w:val="DefaultParagraphFont"/>
    <w:uiPriority w:val="99"/>
    <w:rsid w:val="00602CC5"/>
    <w:rPr>
      <w:color w:val="808080"/>
    </w:rPr>
  </w:style>
  <w:style w:type="paragraph" w:styleId="Revision">
    <w:name w:val="Revision"/>
    <w:hidden/>
    <w:uiPriority w:val="99"/>
    <w:semiHidden/>
    <w:rsid w:val="00D07127"/>
  </w:style>
  <w:style w:type="character" w:styleId="CommentReference">
    <w:name w:val="annotation reference"/>
    <w:basedOn w:val="DefaultParagraphFont"/>
    <w:uiPriority w:val="99"/>
    <w:unhideWhenUsed/>
    <w:rsid w:val="002D22E6"/>
    <w:rPr>
      <w:sz w:val="16"/>
      <w:szCs w:val="16"/>
    </w:rPr>
  </w:style>
  <w:style w:type="paragraph" w:styleId="CommentText">
    <w:name w:val="annotation text"/>
    <w:basedOn w:val="Normal"/>
    <w:link w:val="CommentTextChar"/>
    <w:uiPriority w:val="99"/>
    <w:unhideWhenUsed/>
    <w:rsid w:val="002D22E6"/>
    <w:rPr>
      <w:sz w:val="20"/>
    </w:rPr>
  </w:style>
  <w:style w:type="character" w:customStyle="1" w:styleId="CommentTextChar">
    <w:name w:val="Comment Text Char"/>
    <w:basedOn w:val="DefaultParagraphFont"/>
    <w:link w:val="CommentText"/>
    <w:uiPriority w:val="99"/>
    <w:rsid w:val="002D22E6"/>
    <w:rPr>
      <w:sz w:val="20"/>
    </w:rPr>
  </w:style>
  <w:style w:type="paragraph" w:styleId="CommentSubject">
    <w:name w:val="annotation subject"/>
    <w:basedOn w:val="CommentText"/>
    <w:next w:val="CommentText"/>
    <w:link w:val="CommentSubjectChar"/>
    <w:uiPriority w:val="99"/>
    <w:semiHidden/>
    <w:unhideWhenUsed/>
    <w:rsid w:val="002D22E6"/>
    <w:rPr>
      <w:b/>
      <w:bCs/>
    </w:rPr>
  </w:style>
  <w:style w:type="character" w:customStyle="1" w:styleId="CommentSubjectChar">
    <w:name w:val="Comment Subject Char"/>
    <w:basedOn w:val="CommentTextChar"/>
    <w:link w:val="CommentSubject"/>
    <w:uiPriority w:val="99"/>
    <w:semiHidden/>
    <w:rsid w:val="002D22E6"/>
    <w:rPr>
      <w:b/>
      <w:bCs/>
      <w:sz w:val="20"/>
    </w:rPr>
  </w:style>
  <w:style w:type="character" w:styleId="Hyperlink">
    <w:name w:val="Hyperlink"/>
    <w:basedOn w:val="DefaultParagraphFont"/>
    <w:uiPriority w:val="99"/>
    <w:unhideWhenUsed/>
    <w:rsid w:val="002D22E6"/>
    <w:rPr>
      <w:color w:val="0563C1" w:themeColor="hyperlink"/>
      <w:u w:val="single"/>
    </w:rPr>
  </w:style>
  <w:style w:type="character" w:styleId="UnresolvedMention">
    <w:name w:val="Unresolved Mention"/>
    <w:basedOn w:val="DefaultParagraphFont"/>
    <w:uiPriority w:val="99"/>
    <w:semiHidden/>
    <w:unhideWhenUsed/>
    <w:rsid w:val="002D22E6"/>
    <w:rPr>
      <w:color w:val="605E5C"/>
      <w:shd w:val="clear" w:color="auto" w:fill="E1DFDD"/>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uiPriority w:val="34"/>
    <w:qFormat/>
    <w:rsid w:val="00D47808"/>
    <w:pPr>
      <w:ind w:left="720"/>
      <w:contextualSpacing/>
    </w:pPr>
  </w:style>
  <w:style w:type="paragraph" w:customStyle="1" w:styleId="paragraph">
    <w:name w:val="paragraph"/>
    <w:basedOn w:val="Normal"/>
    <w:rsid w:val="00D451AE"/>
    <w:pPr>
      <w:spacing w:before="100" w:beforeAutospacing="1" w:after="100" w:afterAutospacing="1"/>
    </w:pPr>
    <w:rPr>
      <w:szCs w:val="24"/>
      <w:lang w:eastAsia="lt-LT"/>
    </w:rPr>
  </w:style>
  <w:style w:type="character" w:customStyle="1" w:styleId="normaltextrun">
    <w:name w:val="normaltextrun"/>
    <w:basedOn w:val="DefaultParagraphFont"/>
    <w:rsid w:val="00D451AE"/>
  </w:style>
  <w:style w:type="character" w:customStyle="1" w:styleId="eop">
    <w:name w:val="eop"/>
    <w:basedOn w:val="DefaultParagraphFont"/>
    <w:rsid w:val="00D451AE"/>
  </w:style>
  <w:style w:type="character" w:customStyle="1" w:styleId="superscript">
    <w:name w:val="superscript"/>
    <w:basedOn w:val="DefaultParagraphFont"/>
    <w:rsid w:val="00D451AE"/>
  </w:style>
  <w:style w:type="character" w:customStyle="1" w:styleId="tabchar">
    <w:name w:val="tabchar"/>
    <w:basedOn w:val="DefaultParagraphFont"/>
    <w:rsid w:val="00D451AE"/>
  </w:style>
  <w:style w:type="table" w:styleId="TableGrid">
    <w:name w:val="Table Grid"/>
    <w:basedOn w:val="TableNormal"/>
    <w:uiPriority w:val="59"/>
    <w:rsid w:val="00D4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506"/>
    <w:rPr>
      <w:rFonts w:asciiTheme="majorHAnsi" w:eastAsiaTheme="majorEastAsia" w:hAnsiTheme="majorHAnsi" w:cstheme="majorBidi"/>
      <w:caps/>
      <w:color w:val="FFFFFF" w:themeColor="background1"/>
      <w:kern w:val="20"/>
      <w:sz w:val="22"/>
      <w:szCs w:val="22"/>
      <w:shd w:val="clear" w:color="auto" w:fill="4472C4" w:themeFill="accent1"/>
      <w:lang w:eastAsia="lt-LT"/>
    </w:rPr>
  </w:style>
  <w:style w:type="paragraph" w:styleId="NoSpacing">
    <w:name w:val="No Spacing"/>
    <w:link w:val="NoSpacingChar"/>
    <w:uiPriority w:val="1"/>
    <w:qFormat/>
    <w:rsid w:val="00320506"/>
    <w:rPr>
      <w:rFonts w:asciiTheme="minorHAnsi" w:eastAsiaTheme="minorHAnsi" w:hAnsiTheme="minorHAnsi" w:cstheme="minorBidi"/>
      <w:color w:val="595959" w:themeColor="text1" w:themeTint="A6"/>
      <w:sz w:val="20"/>
      <w:lang w:eastAsia="lt-LT"/>
    </w:rPr>
  </w:style>
  <w:style w:type="character" w:styleId="Strong">
    <w:name w:val="Strong"/>
    <w:basedOn w:val="DefaultParagraphFont"/>
    <w:uiPriority w:val="22"/>
    <w:unhideWhenUsed/>
    <w:qFormat/>
    <w:rsid w:val="00320506"/>
    <w:rPr>
      <w:b/>
      <w:bCs/>
    </w:rPr>
  </w:style>
  <w:style w:type="character" w:customStyle="1" w:styleId="NoSpacingChar">
    <w:name w:val="No Spacing Char"/>
    <w:basedOn w:val="DefaultParagraphFont"/>
    <w:link w:val="NoSpacing"/>
    <w:uiPriority w:val="1"/>
    <w:rsid w:val="00320506"/>
    <w:rPr>
      <w:rFonts w:asciiTheme="minorHAnsi" w:eastAsiaTheme="minorHAnsi" w:hAnsiTheme="minorHAnsi" w:cstheme="minorBidi"/>
      <w:color w:val="595959" w:themeColor="text1" w:themeTint="A6"/>
      <w:sz w:val="20"/>
      <w:lang w:eastAsia="lt-LT"/>
    </w:rPr>
  </w:style>
  <w:style w:type="paragraph" w:styleId="Title">
    <w:name w:val="Title"/>
    <w:basedOn w:val="Normal"/>
    <w:next w:val="Normal"/>
    <w:link w:val="TitleChar"/>
    <w:uiPriority w:val="10"/>
    <w:qFormat/>
    <w:rsid w:val="00320506"/>
    <w:pPr>
      <w:spacing w:before="480" w:after="160"/>
    </w:pPr>
    <w:rPr>
      <w:rFonts w:asciiTheme="majorHAnsi" w:eastAsiaTheme="majorEastAsia" w:hAnsiTheme="majorHAnsi" w:cstheme="majorBidi"/>
      <w:caps/>
      <w:color w:val="4472C4" w:themeColor="accent1"/>
      <w:kern w:val="28"/>
      <w:sz w:val="48"/>
      <w:szCs w:val="48"/>
      <w:lang w:eastAsia="lt-LT"/>
    </w:rPr>
  </w:style>
  <w:style w:type="character" w:customStyle="1" w:styleId="TitleChar">
    <w:name w:val="Title Char"/>
    <w:basedOn w:val="DefaultParagraphFont"/>
    <w:link w:val="Title"/>
    <w:uiPriority w:val="10"/>
    <w:rsid w:val="00320506"/>
    <w:rPr>
      <w:rFonts w:asciiTheme="majorHAnsi" w:eastAsiaTheme="majorEastAsia" w:hAnsiTheme="majorHAnsi" w:cstheme="majorBidi"/>
      <w:caps/>
      <w:color w:val="4472C4" w:themeColor="accent1"/>
      <w:kern w:val="28"/>
      <w:sz w:val="48"/>
      <w:szCs w:val="48"/>
      <w:lang w:eastAsia="lt-LT"/>
    </w:rPr>
  </w:style>
  <w:style w:type="paragraph" w:styleId="Closing">
    <w:name w:val="Closing"/>
    <w:basedOn w:val="Normal"/>
    <w:link w:val="ClosingChar"/>
    <w:uiPriority w:val="99"/>
    <w:unhideWhenUsed/>
    <w:rsid w:val="00320506"/>
    <w:pPr>
      <w:spacing w:before="600" w:after="80"/>
    </w:pPr>
    <w:rPr>
      <w:rFonts w:asciiTheme="minorHAnsi" w:eastAsiaTheme="minorHAnsi" w:hAnsiTheme="minorHAnsi" w:cstheme="minorBidi"/>
      <w:color w:val="595959" w:themeColor="text1" w:themeTint="A6"/>
      <w:kern w:val="20"/>
      <w:sz w:val="20"/>
      <w:lang w:eastAsia="lt-LT"/>
    </w:rPr>
  </w:style>
  <w:style w:type="character" w:customStyle="1" w:styleId="ClosingChar">
    <w:name w:val="Closing Char"/>
    <w:basedOn w:val="DefaultParagraphFont"/>
    <w:link w:val="Closing"/>
    <w:uiPriority w:val="99"/>
    <w:rsid w:val="00320506"/>
    <w:rPr>
      <w:rFonts w:asciiTheme="minorHAnsi" w:eastAsiaTheme="minorHAnsi" w:hAnsiTheme="minorHAnsi" w:cstheme="minorBidi"/>
      <w:color w:val="595959" w:themeColor="text1" w:themeTint="A6"/>
      <w:kern w:val="20"/>
      <w:sz w:val="20"/>
      <w:lang w:eastAsia="lt-LT"/>
    </w:rPr>
  </w:style>
  <w:style w:type="table" w:customStyle="1" w:styleId="Bsenataskaitoslentel">
    <w:name w:val="Būsenų ataskaitos lentelė"/>
    <w:basedOn w:val="TableNormal"/>
    <w:uiPriority w:val="99"/>
    <w:rsid w:val="00320506"/>
    <w:pPr>
      <w:spacing w:before="40" w:after="40"/>
    </w:pPr>
    <w:rPr>
      <w:rFonts w:asciiTheme="minorHAnsi" w:eastAsiaTheme="minorHAnsi" w:hAnsiTheme="minorHAnsi" w:cstheme="minorBidi"/>
      <w:color w:val="595959" w:themeColor="text1" w:themeTint="A6"/>
      <w:sz w:val="20"/>
      <w:lang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DefaultParagraphFont"/>
    <w:rsid w:val="00320506"/>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320506"/>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
    <w:basedOn w:val="Normal"/>
    <w:link w:val="FootnoteTextChar"/>
    <w:uiPriority w:val="99"/>
    <w:unhideWhenUsed/>
    <w:qFormat/>
    <w:rsid w:val="00320506"/>
    <w:pPr>
      <w:ind w:firstLine="720"/>
    </w:pPr>
    <w:rPr>
      <w:rFonts w:ascii="Arial" w:hAnsi="Arial" w:cs="Arial"/>
      <w:sz w:val="20"/>
      <w:lang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320506"/>
    <w:rPr>
      <w:rFonts w:ascii="Arial" w:hAnsi="Arial" w:cs="Arial"/>
      <w:sz w:val="20"/>
      <w:lang w:eastAsia="lt-LT"/>
    </w:rPr>
  </w:style>
  <w:style w:type="paragraph" w:styleId="EndnoteText">
    <w:name w:val="endnote text"/>
    <w:basedOn w:val="Normal"/>
    <w:link w:val="EndnoteTextChar"/>
    <w:uiPriority w:val="99"/>
    <w:semiHidden/>
    <w:unhideWhenUsed/>
    <w:rsid w:val="00320506"/>
    <w:rPr>
      <w:rFonts w:asciiTheme="minorHAnsi" w:eastAsiaTheme="minorHAnsi" w:hAnsiTheme="minorHAnsi" w:cstheme="minorBidi"/>
      <w:color w:val="595959" w:themeColor="text1" w:themeTint="A6"/>
      <w:kern w:val="20"/>
      <w:sz w:val="20"/>
      <w:lang w:eastAsia="lt-LT"/>
    </w:rPr>
  </w:style>
  <w:style w:type="character" w:customStyle="1" w:styleId="EndnoteTextChar">
    <w:name w:val="Endnote Text Char"/>
    <w:basedOn w:val="DefaultParagraphFont"/>
    <w:link w:val="EndnoteText"/>
    <w:uiPriority w:val="99"/>
    <w:semiHidden/>
    <w:rsid w:val="00320506"/>
    <w:rPr>
      <w:rFonts w:asciiTheme="minorHAnsi" w:eastAsiaTheme="minorHAnsi" w:hAnsiTheme="minorHAnsi" w:cstheme="minorBidi"/>
      <w:color w:val="595959" w:themeColor="text1" w:themeTint="A6"/>
      <w:kern w:val="20"/>
      <w:sz w:val="20"/>
      <w:lang w:eastAsia="lt-LT"/>
    </w:rPr>
  </w:style>
  <w:style w:type="character" w:styleId="EndnoteReference">
    <w:name w:val="endnote reference"/>
    <w:basedOn w:val="DefaultParagraphFont"/>
    <w:uiPriority w:val="99"/>
    <w:semiHidden/>
    <w:unhideWhenUsed/>
    <w:rsid w:val="0032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28">
      <w:bodyDiv w:val="1"/>
      <w:marLeft w:val="0"/>
      <w:marRight w:val="0"/>
      <w:marTop w:val="0"/>
      <w:marBottom w:val="0"/>
      <w:divBdr>
        <w:top w:val="none" w:sz="0" w:space="0" w:color="auto"/>
        <w:left w:val="none" w:sz="0" w:space="0" w:color="auto"/>
        <w:bottom w:val="none" w:sz="0" w:space="0" w:color="auto"/>
        <w:right w:val="none" w:sz="0" w:space="0" w:color="auto"/>
      </w:divBdr>
      <w:divsChild>
        <w:div w:id="1590850551">
          <w:marLeft w:val="0"/>
          <w:marRight w:val="0"/>
          <w:marTop w:val="0"/>
          <w:marBottom w:val="0"/>
          <w:divBdr>
            <w:top w:val="none" w:sz="0" w:space="0" w:color="auto"/>
            <w:left w:val="none" w:sz="0" w:space="0" w:color="auto"/>
            <w:bottom w:val="none" w:sz="0" w:space="0" w:color="auto"/>
            <w:right w:val="none" w:sz="0" w:space="0" w:color="auto"/>
          </w:divBdr>
          <w:divsChild>
            <w:div w:id="1731726643">
              <w:marLeft w:val="0"/>
              <w:marRight w:val="0"/>
              <w:marTop w:val="0"/>
              <w:marBottom w:val="0"/>
              <w:divBdr>
                <w:top w:val="none" w:sz="0" w:space="0" w:color="auto"/>
                <w:left w:val="none" w:sz="0" w:space="0" w:color="auto"/>
                <w:bottom w:val="none" w:sz="0" w:space="0" w:color="auto"/>
                <w:right w:val="none" w:sz="0" w:space="0" w:color="auto"/>
              </w:divBdr>
              <w:divsChild>
                <w:div w:id="1907758865">
                  <w:marLeft w:val="0"/>
                  <w:marRight w:val="0"/>
                  <w:marTop w:val="0"/>
                  <w:marBottom w:val="0"/>
                  <w:divBdr>
                    <w:top w:val="none" w:sz="0" w:space="0" w:color="auto"/>
                    <w:left w:val="none" w:sz="0" w:space="0" w:color="auto"/>
                    <w:bottom w:val="none" w:sz="0" w:space="0" w:color="auto"/>
                    <w:right w:val="none" w:sz="0" w:space="0" w:color="auto"/>
                  </w:divBdr>
                  <w:divsChild>
                    <w:div w:id="1120033588">
                      <w:marLeft w:val="0"/>
                      <w:marRight w:val="0"/>
                      <w:marTop w:val="0"/>
                      <w:marBottom w:val="0"/>
                      <w:divBdr>
                        <w:top w:val="none" w:sz="0" w:space="0" w:color="auto"/>
                        <w:left w:val="none" w:sz="0" w:space="0" w:color="auto"/>
                        <w:bottom w:val="none" w:sz="0" w:space="0" w:color="auto"/>
                        <w:right w:val="none" w:sz="0" w:space="0" w:color="auto"/>
                      </w:divBdr>
                      <w:divsChild>
                        <w:div w:id="435057750">
                          <w:marLeft w:val="0"/>
                          <w:marRight w:val="0"/>
                          <w:marTop w:val="0"/>
                          <w:marBottom w:val="0"/>
                          <w:divBdr>
                            <w:top w:val="none" w:sz="0" w:space="0" w:color="auto"/>
                            <w:left w:val="none" w:sz="0" w:space="0" w:color="auto"/>
                            <w:bottom w:val="none" w:sz="0" w:space="0" w:color="auto"/>
                            <w:right w:val="none" w:sz="0" w:space="0" w:color="auto"/>
                          </w:divBdr>
                          <w:divsChild>
                            <w:div w:id="12336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93328155">
      <w:bodyDiv w:val="1"/>
      <w:marLeft w:val="0"/>
      <w:marRight w:val="0"/>
      <w:marTop w:val="0"/>
      <w:marBottom w:val="0"/>
      <w:divBdr>
        <w:top w:val="none" w:sz="0" w:space="0" w:color="auto"/>
        <w:left w:val="none" w:sz="0" w:space="0" w:color="auto"/>
        <w:bottom w:val="none" w:sz="0" w:space="0" w:color="auto"/>
        <w:right w:val="none" w:sz="0" w:space="0" w:color="auto"/>
      </w:divBdr>
    </w:div>
    <w:div w:id="118692615">
      <w:bodyDiv w:val="1"/>
      <w:marLeft w:val="0"/>
      <w:marRight w:val="0"/>
      <w:marTop w:val="0"/>
      <w:marBottom w:val="0"/>
      <w:divBdr>
        <w:top w:val="none" w:sz="0" w:space="0" w:color="auto"/>
        <w:left w:val="none" w:sz="0" w:space="0" w:color="auto"/>
        <w:bottom w:val="none" w:sz="0" w:space="0" w:color="auto"/>
        <w:right w:val="none" w:sz="0" w:space="0" w:color="auto"/>
      </w:divBdr>
      <w:divsChild>
        <w:div w:id="1875465295">
          <w:marLeft w:val="0"/>
          <w:marRight w:val="0"/>
          <w:marTop w:val="0"/>
          <w:marBottom w:val="0"/>
          <w:divBdr>
            <w:top w:val="none" w:sz="0" w:space="0" w:color="auto"/>
            <w:left w:val="none" w:sz="0" w:space="0" w:color="auto"/>
            <w:bottom w:val="none" w:sz="0" w:space="0" w:color="auto"/>
            <w:right w:val="none" w:sz="0" w:space="0" w:color="auto"/>
          </w:divBdr>
          <w:divsChild>
            <w:div w:id="310915222">
              <w:marLeft w:val="0"/>
              <w:marRight w:val="0"/>
              <w:marTop w:val="0"/>
              <w:marBottom w:val="0"/>
              <w:divBdr>
                <w:top w:val="none" w:sz="0" w:space="0" w:color="auto"/>
                <w:left w:val="none" w:sz="0" w:space="0" w:color="auto"/>
                <w:bottom w:val="none" w:sz="0" w:space="0" w:color="auto"/>
                <w:right w:val="none" w:sz="0" w:space="0" w:color="auto"/>
              </w:divBdr>
              <w:divsChild>
                <w:div w:id="2125612864">
                  <w:marLeft w:val="0"/>
                  <w:marRight w:val="0"/>
                  <w:marTop w:val="0"/>
                  <w:marBottom w:val="0"/>
                  <w:divBdr>
                    <w:top w:val="none" w:sz="0" w:space="0" w:color="auto"/>
                    <w:left w:val="none" w:sz="0" w:space="0" w:color="auto"/>
                    <w:bottom w:val="none" w:sz="0" w:space="0" w:color="auto"/>
                    <w:right w:val="none" w:sz="0" w:space="0" w:color="auto"/>
                  </w:divBdr>
                  <w:divsChild>
                    <w:div w:id="2143618235">
                      <w:marLeft w:val="0"/>
                      <w:marRight w:val="0"/>
                      <w:marTop w:val="0"/>
                      <w:marBottom w:val="0"/>
                      <w:divBdr>
                        <w:top w:val="none" w:sz="0" w:space="0" w:color="auto"/>
                        <w:left w:val="none" w:sz="0" w:space="0" w:color="auto"/>
                        <w:bottom w:val="none" w:sz="0" w:space="0" w:color="auto"/>
                        <w:right w:val="none" w:sz="0" w:space="0" w:color="auto"/>
                      </w:divBdr>
                      <w:divsChild>
                        <w:div w:id="872500987">
                          <w:marLeft w:val="0"/>
                          <w:marRight w:val="0"/>
                          <w:marTop w:val="0"/>
                          <w:marBottom w:val="0"/>
                          <w:divBdr>
                            <w:top w:val="none" w:sz="0" w:space="0" w:color="auto"/>
                            <w:left w:val="none" w:sz="0" w:space="0" w:color="auto"/>
                            <w:bottom w:val="none" w:sz="0" w:space="0" w:color="auto"/>
                            <w:right w:val="none" w:sz="0" w:space="0" w:color="auto"/>
                          </w:divBdr>
                          <w:divsChild>
                            <w:div w:id="1990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3502825">
      <w:bodyDiv w:val="1"/>
      <w:marLeft w:val="0"/>
      <w:marRight w:val="0"/>
      <w:marTop w:val="0"/>
      <w:marBottom w:val="0"/>
      <w:divBdr>
        <w:top w:val="none" w:sz="0" w:space="0" w:color="auto"/>
        <w:left w:val="none" w:sz="0" w:space="0" w:color="auto"/>
        <w:bottom w:val="none" w:sz="0" w:space="0" w:color="auto"/>
        <w:right w:val="none" w:sz="0" w:space="0" w:color="auto"/>
      </w:divBdr>
    </w:div>
    <w:div w:id="1226450531">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609771577">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68441309">
      <w:bodyDiv w:val="1"/>
      <w:marLeft w:val="0"/>
      <w:marRight w:val="0"/>
      <w:marTop w:val="0"/>
      <w:marBottom w:val="0"/>
      <w:divBdr>
        <w:top w:val="none" w:sz="0" w:space="0" w:color="auto"/>
        <w:left w:val="none" w:sz="0" w:space="0" w:color="auto"/>
        <w:bottom w:val="none" w:sz="0" w:space="0" w:color="auto"/>
        <w:right w:val="none" w:sz="0" w:space="0" w:color="auto"/>
      </w:divBdr>
    </w:div>
    <w:div w:id="1733774663">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63126851">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statistika-ir-analize/pirkimu-vykdytoju-zemelapis-svieslente-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min@sumi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vialietuva.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F489D32AF041A08DA8718D28085397"/>
        <w:category>
          <w:name w:val="General"/>
          <w:gallery w:val="placeholder"/>
        </w:category>
        <w:types>
          <w:type w:val="bbPlcHdr"/>
        </w:types>
        <w:behaviors>
          <w:behavior w:val="content"/>
        </w:behaviors>
        <w:guid w:val="{1E58D046-1D09-4AE9-9242-45F29D4B089D}"/>
      </w:docPartPr>
      <w:docPartBody>
        <w:p w:rsidR="007C473D" w:rsidRDefault="002A6D03" w:rsidP="002A6D03">
          <w:pPr>
            <w:pStyle w:val="58F489D32AF041A08DA8718D28085397"/>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13"/>
    <w:rsid w:val="000357DA"/>
    <w:rsid w:val="00044A45"/>
    <w:rsid w:val="00076015"/>
    <w:rsid w:val="00107F0D"/>
    <w:rsid w:val="00161A04"/>
    <w:rsid w:val="00162146"/>
    <w:rsid w:val="001638C8"/>
    <w:rsid w:val="001D2AED"/>
    <w:rsid w:val="001D3C4C"/>
    <w:rsid w:val="00245DEC"/>
    <w:rsid w:val="0025040B"/>
    <w:rsid w:val="00273101"/>
    <w:rsid w:val="002A6D03"/>
    <w:rsid w:val="002D4713"/>
    <w:rsid w:val="002F5349"/>
    <w:rsid w:val="00300280"/>
    <w:rsid w:val="00311F35"/>
    <w:rsid w:val="00367A50"/>
    <w:rsid w:val="0046726C"/>
    <w:rsid w:val="00467E72"/>
    <w:rsid w:val="0049617B"/>
    <w:rsid w:val="004B7F3C"/>
    <w:rsid w:val="004D0D94"/>
    <w:rsid w:val="004E4BA8"/>
    <w:rsid w:val="0050152D"/>
    <w:rsid w:val="005435BF"/>
    <w:rsid w:val="005E2225"/>
    <w:rsid w:val="005F023E"/>
    <w:rsid w:val="00615DD0"/>
    <w:rsid w:val="00642124"/>
    <w:rsid w:val="00674EA9"/>
    <w:rsid w:val="00695AB8"/>
    <w:rsid w:val="007266C4"/>
    <w:rsid w:val="00736B0D"/>
    <w:rsid w:val="00761D2C"/>
    <w:rsid w:val="00780724"/>
    <w:rsid w:val="007866C7"/>
    <w:rsid w:val="00792DCC"/>
    <w:rsid w:val="007C473D"/>
    <w:rsid w:val="007F3B27"/>
    <w:rsid w:val="0080770B"/>
    <w:rsid w:val="008B3199"/>
    <w:rsid w:val="008C56A4"/>
    <w:rsid w:val="0091297D"/>
    <w:rsid w:val="00940243"/>
    <w:rsid w:val="00950208"/>
    <w:rsid w:val="00953F3C"/>
    <w:rsid w:val="009638B0"/>
    <w:rsid w:val="00974CC5"/>
    <w:rsid w:val="009820AD"/>
    <w:rsid w:val="009900A2"/>
    <w:rsid w:val="009A054F"/>
    <w:rsid w:val="009C4742"/>
    <w:rsid w:val="009D137D"/>
    <w:rsid w:val="009E4E0D"/>
    <w:rsid w:val="00A147E0"/>
    <w:rsid w:val="00A260FF"/>
    <w:rsid w:val="00A354D6"/>
    <w:rsid w:val="00AA7E4A"/>
    <w:rsid w:val="00B677E5"/>
    <w:rsid w:val="00BF2494"/>
    <w:rsid w:val="00C2026A"/>
    <w:rsid w:val="00C22370"/>
    <w:rsid w:val="00C82851"/>
    <w:rsid w:val="00CA045F"/>
    <w:rsid w:val="00CA252F"/>
    <w:rsid w:val="00CB28B9"/>
    <w:rsid w:val="00CD10A9"/>
    <w:rsid w:val="00D24022"/>
    <w:rsid w:val="00D707CA"/>
    <w:rsid w:val="00D87CA5"/>
    <w:rsid w:val="00DA5B51"/>
    <w:rsid w:val="00DB6B92"/>
    <w:rsid w:val="00DC0B8D"/>
    <w:rsid w:val="00E20537"/>
    <w:rsid w:val="00E20FA1"/>
    <w:rsid w:val="00E3701E"/>
    <w:rsid w:val="00E747C5"/>
    <w:rsid w:val="00EA1CDA"/>
    <w:rsid w:val="00EE4F92"/>
    <w:rsid w:val="00F03E32"/>
    <w:rsid w:val="00F309C5"/>
    <w:rsid w:val="00F96099"/>
    <w:rsid w:val="00F97C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F489D32AF041A08DA8718D28085397">
    <w:name w:val="58F489D32AF041A08DA8718D28085397"/>
    <w:rsid w:val="002A6D0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DB9B162C-901D-47C4-87D9-6A50A7CA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F6166-23B3-4AFE-9889-9295BC3F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17441</Words>
  <Characters>9942</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27329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Rasa Klimavičienė</cp:lastModifiedBy>
  <cp:revision>18</cp:revision>
  <cp:lastPrinted>2019-02-01T20:14:00Z</cp:lastPrinted>
  <dcterms:created xsi:type="dcterms:W3CDTF">2025-12-18T07:40:00Z</dcterms:created>
  <dcterms:modified xsi:type="dcterms:W3CDTF">2025-12-22T08:31:00Z</dcterms:modified>
</cp:coreProperties>
</file>