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3430" w14:textId="77777777" w:rsidR="00290169" w:rsidRPr="00290169" w:rsidRDefault="00290169" w:rsidP="00297260">
      <w:pPr>
        <w:ind w:firstLine="720"/>
        <w:rPr>
          <w:lang w:val="lt-LT"/>
        </w:rPr>
      </w:pPr>
      <w:r w:rsidRPr="00290169">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A2F0D1A" w14:textId="6FC128E8" w:rsidR="00290169" w:rsidRPr="00290169" w:rsidRDefault="00290169" w:rsidP="00297260">
      <w:pPr>
        <w:ind w:firstLine="720"/>
        <w:rPr>
          <w:b/>
          <w:bCs/>
          <w:lang w:val="lt-LT"/>
        </w:rPr>
      </w:pPr>
      <w:r w:rsidRPr="00290169">
        <w:rPr>
          <w:lang w:val="lt-LT"/>
        </w:rPr>
        <w:t xml:space="preserve">Vadovaujantis Tarnybai Įstatyme nustatyta pažeidimų prevencijos funkcija, šiuo metu atliekama </w:t>
      </w:r>
      <w:r w:rsidRPr="00594A46">
        <w:rPr>
          <w:b/>
          <w:bCs/>
          <w:lang w:val="lt-LT"/>
        </w:rPr>
        <w:t xml:space="preserve">Valstybės įmonė Turto banko </w:t>
      </w:r>
      <w:r w:rsidRPr="00290169">
        <w:rPr>
          <w:lang w:val="lt-LT"/>
        </w:rPr>
        <w:t xml:space="preserve">(toliau – Perkančioji organizacija) vykdomo pirkimo ID </w:t>
      </w:r>
      <w:r w:rsidRPr="00594A46">
        <w:rPr>
          <w:b/>
          <w:bCs/>
          <w:lang w:val="lt-LT"/>
        </w:rPr>
        <w:t>4036048</w:t>
      </w:r>
      <w:r w:rsidRPr="00290169">
        <w:rPr>
          <w:b/>
          <w:bCs/>
          <w:lang w:val="lt-LT"/>
        </w:rPr>
        <w:t xml:space="preserve"> „</w:t>
      </w:r>
      <w:r w:rsidRPr="00594A46">
        <w:rPr>
          <w:b/>
          <w:bCs/>
          <w:lang w:val="lt-LT"/>
        </w:rPr>
        <w:t>VP-3088 Įvairių pastatų ir statinių remonto darbų Vilniaus regione (pagal Sistela įkainius) pirkimas</w:t>
      </w:r>
      <w:r w:rsidRPr="00290169">
        <w:rPr>
          <w:b/>
          <w:bCs/>
          <w:lang w:val="lt-LT"/>
        </w:rPr>
        <w:t>“</w:t>
      </w:r>
      <w:r w:rsidRPr="00290169">
        <w:rPr>
          <w:lang w:val="lt-LT"/>
        </w:rPr>
        <w:t xml:space="preserve"> (toliau – Pirkimas) dokumentų atitikties Įstatymui ir jį įgyvendinantiems teisės aktams peržiūra (peržiūra prevenciniais tikslais atliekama tam tikra apimtimi).</w:t>
      </w:r>
    </w:p>
    <w:p w14:paraId="4A165511" w14:textId="77777777" w:rsidR="00290169" w:rsidRPr="00290169" w:rsidRDefault="00290169" w:rsidP="00297260">
      <w:pPr>
        <w:ind w:firstLine="720"/>
        <w:rPr>
          <w:lang w:val="lt-LT"/>
        </w:rPr>
      </w:pPr>
      <w:r w:rsidRPr="00290169">
        <w:rPr>
          <w:lang w:val="lt-LT"/>
        </w:rPr>
        <w:t>Tarnyba, prevencine tvarka peržiūrėjusi Pirkimo dokumentus ir atsižvelgdama į galiojantį teisinį reglamentavimą, teikia rekomendacijas (toliau – Rekomendacija) dėl Pirkimo dokumentų nuostatų.</w:t>
      </w:r>
    </w:p>
    <w:p w14:paraId="7433E0EF" w14:textId="610F54EA" w:rsidR="005178D8" w:rsidRPr="00594A46" w:rsidRDefault="0056352D" w:rsidP="00CB3241">
      <w:pPr>
        <w:spacing w:after="0"/>
        <w:ind w:firstLine="720"/>
        <w:rPr>
          <w:lang w:val="lt-LT" w:bidi="lt-LT"/>
        </w:rPr>
      </w:pPr>
      <w:r w:rsidRPr="00594A46">
        <w:rPr>
          <w:lang w:val="lt-LT"/>
        </w:rPr>
        <w:t xml:space="preserve">Pirkimo sąlygų </w:t>
      </w:r>
      <w:r w:rsidR="00461888" w:rsidRPr="00594A46">
        <w:rPr>
          <w:lang w:val="lt-LT"/>
        </w:rPr>
        <w:t xml:space="preserve">6.1.1 </w:t>
      </w:r>
      <w:r w:rsidR="00577043">
        <w:rPr>
          <w:lang w:val="lt-LT"/>
        </w:rPr>
        <w:t>papunktyje</w:t>
      </w:r>
      <w:r w:rsidR="00461888" w:rsidRPr="00594A46">
        <w:rPr>
          <w:lang w:val="lt-LT"/>
        </w:rPr>
        <w:t xml:space="preserve"> nurodyta, kad </w:t>
      </w:r>
      <w:r w:rsidR="00081A4C" w:rsidRPr="00594A46">
        <w:rPr>
          <w:lang w:val="lt-LT"/>
        </w:rPr>
        <w:t>„</w:t>
      </w:r>
      <w:r w:rsidR="00B124AA" w:rsidRPr="00594A46">
        <w:rPr>
          <w:lang w:val="lt-LT"/>
        </w:rPr>
        <w:t xml:space="preserve">1) </w:t>
      </w:r>
      <w:r w:rsidR="00081A4C" w:rsidRPr="00594A46">
        <w:rPr>
          <w:lang w:val="lt-LT" w:bidi="lt-LT"/>
        </w:rPr>
        <w:t xml:space="preserve">Teisė verstis ta veikla, kuri reikalinga pirkimo sutarčiai įvykdyti (Statybos įstatymo 18 str. 2 d.). Tiekėjas privalo turėti kvalifikacinius dokumentus 1 (pirmai) pirkimo kategorijai, kurioje teikia pasiūlymą, suteikiančius teisę Lietuvos Respublikoje būti </w:t>
      </w:r>
      <w:r w:rsidR="00081A4C" w:rsidRPr="00594A46">
        <w:rPr>
          <w:b/>
          <w:bCs/>
          <w:lang w:val="lt-LT" w:bidi="lt-LT"/>
        </w:rPr>
        <w:t xml:space="preserve">ypatingo </w:t>
      </w:r>
      <w:r w:rsidR="00081A4C" w:rsidRPr="00BE779E">
        <w:rPr>
          <w:b/>
          <w:bCs/>
          <w:lang w:val="lt-LT" w:bidi="lt-LT"/>
        </w:rPr>
        <w:t>statinio</w:t>
      </w:r>
      <w:r w:rsidR="00081A4C" w:rsidRPr="00CB3241">
        <w:rPr>
          <w:b/>
          <w:bCs/>
          <w:lang w:val="lt-LT" w:bidi="lt-LT"/>
        </w:rPr>
        <w:t xml:space="preserve"> (statinių grupė: negyvenamieji pastatai, </w:t>
      </w:r>
      <w:r w:rsidR="00081A4C" w:rsidRPr="00BE779E">
        <w:rPr>
          <w:b/>
          <w:bCs/>
          <w:lang w:val="lt-LT" w:bidi="lt-LT"/>
        </w:rPr>
        <w:t>esantys kultūros paveldo objekto teritorijoje, jo apsaugos zonoje ir kultūros paveldo vietovėje</w:t>
      </w:r>
      <w:r w:rsidR="00081A4C" w:rsidRPr="00CB3241">
        <w:rPr>
          <w:b/>
          <w:bCs/>
          <w:lang w:val="lt-LT" w:bidi="lt-LT"/>
        </w:rPr>
        <w:t xml:space="preserve">) </w:t>
      </w:r>
      <w:r w:rsidR="00081A4C" w:rsidRPr="00BE779E">
        <w:rPr>
          <w:b/>
          <w:bCs/>
          <w:lang w:val="lt-LT" w:bidi="lt-LT"/>
        </w:rPr>
        <w:t>s</w:t>
      </w:r>
      <w:r w:rsidR="00081A4C" w:rsidRPr="00E137D7">
        <w:rPr>
          <w:b/>
          <w:bCs/>
          <w:lang w:val="lt-LT" w:bidi="lt-LT"/>
        </w:rPr>
        <w:t>tatybos rangovu</w:t>
      </w:r>
      <w:r w:rsidR="00081A4C" w:rsidRPr="00594A46">
        <w:rPr>
          <w:lang w:val="lt-LT" w:bidi="lt-LT"/>
        </w:rPr>
        <w:t>. Taikoma I pirkimo daliai.</w:t>
      </w:r>
      <w:r w:rsidR="001363A4">
        <w:rPr>
          <w:lang w:val="lt-LT" w:bidi="lt-LT"/>
        </w:rPr>
        <w:t xml:space="preserve"> </w:t>
      </w:r>
      <w:r w:rsidR="00B124AA" w:rsidRPr="00594A46">
        <w:rPr>
          <w:lang w:val="lt-LT" w:bidi="lt-LT"/>
        </w:rPr>
        <w:t xml:space="preserve">2) </w:t>
      </w:r>
      <w:r w:rsidR="00081A4C" w:rsidRPr="00081A4C">
        <w:rPr>
          <w:lang w:val="lt-LT" w:bidi="lt-LT"/>
        </w:rPr>
        <w:t xml:space="preserve">Teisė verstis ta veikla, kuri reikalinga pirkimo sutarčiai įvykdyti (Statybos įstatymo 18 str. 2 d.). Tiekėjas privalo turėti kvalifikacinius dokumentus 2 (antrai) pirkimo kategorijai, kurioje teikia pasiūlymą, suteikiančius teisę Lietuvos Respublikoje būti </w:t>
      </w:r>
      <w:r w:rsidR="00081A4C" w:rsidRPr="00081A4C">
        <w:rPr>
          <w:b/>
          <w:bCs/>
          <w:lang w:val="lt-LT" w:bidi="lt-LT"/>
        </w:rPr>
        <w:t xml:space="preserve">ypatingo statinio, </w:t>
      </w:r>
      <w:r w:rsidR="00081A4C" w:rsidRPr="00081A4C">
        <w:rPr>
          <w:lang w:val="lt-LT" w:bidi="lt-LT"/>
        </w:rPr>
        <w:t xml:space="preserve">statinių grupė: negyvenamieji pastatai, </w:t>
      </w:r>
      <w:r w:rsidR="00081A4C" w:rsidRPr="00081A4C">
        <w:rPr>
          <w:b/>
          <w:bCs/>
          <w:lang w:val="lt-LT" w:bidi="lt-LT"/>
        </w:rPr>
        <w:t>statybos rangovu</w:t>
      </w:r>
      <w:r w:rsidR="00081A4C" w:rsidRPr="00081A4C">
        <w:rPr>
          <w:lang w:val="lt-LT" w:bidi="lt-LT"/>
        </w:rPr>
        <w:t>. Taikoma II pirkimo daliai.</w:t>
      </w:r>
      <w:r w:rsidR="001363A4">
        <w:rPr>
          <w:lang w:val="lt-LT" w:bidi="lt-LT"/>
        </w:rPr>
        <w:t xml:space="preserve"> </w:t>
      </w:r>
      <w:r w:rsidR="00B124AA" w:rsidRPr="00594A46">
        <w:rPr>
          <w:lang w:val="lt-LT" w:bidi="lt-LT"/>
        </w:rPr>
        <w:t xml:space="preserve">3) </w:t>
      </w:r>
      <w:r w:rsidR="00081A4C" w:rsidRPr="00594A46">
        <w:rPr>
          <w:lang w:val="lt-LT" w:bidi="lt-LT"/>
        </w:rPr>
        <w:t xml:space="preserve">Teisė verstis ta veikla, kuri reikalinga pirkimo sutarčiai įvykdyti (Statybos įstatymo 18 str. 2 d.). Tiekėjas privalo turėti kvalifikacinius dokumentus 3 (trečiai) pirkimo kategorijai, kurioje teikia pasiūlymą, suteikiančius teisę Lietuvos Respublikoje būti </w:t>
      </w:r>
      <w:r w:rsidR="00081A4C" w:rsidRPr="00594A46">
        <w:rPr>
          <w:b/>
          <w:bCs/>
          <w:lang w:val="lt-LT" w:bidi="lt-LT"/>
        </w:rPr>
        <w:t xml:space="preserve">neypatingo </w:t>
      </w:r>
      <w:r w:rsidR="00081A4C" w:rsidRPr="00BE779E">
        <w:rPr>
          <w:b/>
          <w:bCs/>
          <w:lang w:val="lt-LT" w:bidi="lt-LT"/>
        </w:rPr>
        <w:t>statinio</w:t>
      </w:r>
      <w:r w:rsidR="00081A4C" w:rsidRPr="00CB3241">
        <w:rPr>
          <w:b/>
          <w:bCs/>
          <w:lang w:val="lt-LT" w:bidi="lt-LT"/>
        </w:rPr>
        <w:t xml:space="preserve"> (statinių grupė: negyvenamieji pastatai, </w:t>
      </w:r>
      <w:r w:rsidR="00081A4C" w:rsidRPr="00BE779E">
        <w:rPr>
          <w:b/>
          <w:bCs/>
          <w:lang w:val="lt-LT" w:bidi="lt-LT"/>
        </w:rPr>
        <w:t>esantys kultūros paveldo objekto teritorijoje, jo apsaugos zonoje ir kultūros paveldo vietovėje</w:t>
      </w:r>
      <w:r w:rsidR="00081A4C" w:rsidRPr="00CB3241">
        <w:rPr>
          <w:b/>
          <w:bCs/>
          <w:lang w:val="lt-LT" w:bidi="lt-LT"/>
        </w:rPr>
        <w:t>)</w:t>
      </w:r>
      <w:r w:rsidR="00081A4C" w:rsidRPr="00594A46">
        <w:rPr>
          <w:lang w:val="lt-LT" w:bidi="lt-LT"/>
        </w:rPr>
        <w:t xml:space="preserve"> </w:t>
      </w:r>
      <w:r w:rsidR="00081A4C" w:rsidRPr="00594A46">
        <w:rPr>
          <w:b/>
          <w:bCs/>
          <w:lang w:val="lt-LT" w:bidi="lt-LT"/>
        </w:rPr>
        <w:t>statybos rangovu</w:t>
      </w:r>
      <w:r w:rsidR="00081A4C" w:rsidRPr="00594A46">
        <w:rPr>
          <w:lang w:val="lt-LT" w:bidi="lt-LT"/>
        </w:rPr>
        <w:t>. Taikoma III pirkimo daliai.</w:t>
      </w:r>
      <w:r w:rsidR="00B124AA" w:rsidRPr="00594A46">
        <w:rPr>
          <w:lang w:val="lt-LT" w:bidi="lt-LT"/>
        </w:rPr>
        <w:t>“.</w:t>
      </w:r>
    </w:p>
    <w:p w14:paraId="5866F0FB" w14:textId="44FC41DB" w:rsidR="00A67F1A" w:rsidRDefault="0097168F" w:rsidP="0074052D">
      <w:pPr>
        <w:spacing w:after="0"/>
        <w:ind w:firstLine="720"/>
        <w:rPr>
          <w:lang w:val="lt-LT"/>
        </w:rPr>
      </w:pPr>
      <w:r w:rsidRPr="00594A46">
        <w:rPr>
          <w:lang w:val="lt-LT"/>
        </w:rPr>
        <w:t>Lietuvos Respublikos statybos įstatymo 18 straipsnio</w:t>
      </w:r>
      <w:r w:rsidR="00A67F1A" w:rsidRPr="00594A46">
        <w:rPr>
          <w:lang w:val="lt-LT"/>
        </w:rPr>
        <w:t xml:space="preserve"> 6 dalyje nurodyta, kad „Būti ypatingųjų ar neypatingųjų statinių, esančių kultūros paveldo objekto teritorijoje, jo apsaugos zonoje, kultūros paveldo vietovėje, statybos rangovu gali juridiniai asmenys, turintys teisę būti ypatingųjų statinių statybos rangovu. </w:t>
      </w:r>
      <w:r w:rsidR="006E2429" w:rsidRPr="00594A46">
        <w:rPr>
          <w:lang w:val="lt-LT"/>
        </w:rPr>
        <w:t>&lt;...&gt;“</w:t>
      </w:r>
      <w:r w:rsidR="00CE4A8A" w:rsidRPr="00594A46">
        <w:rPr>
          <w:lang w:val="lt-LT"/>
        </w:rPr>
        <w:t>, 2 dalyje nustatyta, kad „</w:t>
      </w:r>
      <w:r w:rsidR="004C6FEE" w:rsidRPr="00594A46">
        <w:rPr>
          <w:lang w:val="lt-LT"/>
        </w:rPr>
        <w:t xml:space="preserve">Būti ypatingųjų statinių statybos rangovu turi teisę šio straipsnio 1 dalies 1 ir 2 punktuose nurodyti atestuoti juridiniai asmenys ir kitos užsienio organizacijos, juridinio asmens ar kitos užsienio organizacijos padaliniai. Šio straipsnio 1 dalies 2 punkte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w:t>
      </w:r>
      <w:r w:rsidR="004C6FEE" w:rsidRPr="00594A46">
        <w:rPr>
          <w:lang w:val="lt-LT"/>
        </w:rPr>
        <w:lastRenderedPageBreak/>
        <w:t xml:space="preserve">turimą teisę užsiimti analogiškų statinių statybos veikla. </w:t>
      </w:r>
      <w:r w:rsidR="004C6FEE" w:rsidRPr="00CB3241">
        <w:rPr>
          <w:b/>
          <w:bCs/>
          <w:lang w:val="lt-LT"/>
        </w:rPr>
        <w:t>Šis reikalavimas netaikomas ypatingųjų statinių paprastojo remonto atveju</w:t>
      </w:r>
      <w:r w:rsidR="004C6FEE" w:rsidRPr="00594A46">
        <w:rPr>
          <w:lang w:val="lt-LT"/>
        </w:rPr>
        <w:t>.”</w:t>
      </w:r>
      <w:r w:rsidR="00577043">
        <w:rPr>
          <w:lang w:val="lt-LT"/>
        </w:rPr>
        <w:t>.</w:t>
      </w:r>
    </w:p>
    <w:p w14:paraId="43F55706" w14:textId="75CB8817" w:rsidR="005178D8" w:rsidRPr="005178D8" w:rsidRDefault="00577043" w:rsidP="00CB3241">
      <w:pPr>
        <w:spacing w:after="0"/>
        <w:ind w:firstLine="720"/>
        <w:rPr>
          <w:lang w:val="lt-LT"/>
        </w:rPr>
      </w:pPr>
      <w:r w:rsidRPr="00577043">
        <w:rPr>
          <w:lang w:val="lt-LT"/>
        </w:rPr>
        <w:t>Tarnyba pažymi, kad paprastojo remonto atveju tiekėjui pakanka turėti teisę verstis statybos veikla, kuri yra suteikiama bendraisiais pagrindais (pavyzdžiui, tokia teisė yra įtvirtinta juridinio asmens steigimo ar kituose veiklos dokumentuose)</w:t>
      </w:r>
      <w:r>
        <w:rPr>
          <w:lang w:val="lt-LT"/>
        </w:rPr>
        <w:t xml:space="preserve">, todėl </w:t>
      </w:r>
      <w:r w:rsidR="005A5FDB">
        <w:rPr>
          <w:lang w:val="lt-LT"/>
        </w:rPr>
        <w:t xml:space="preserve">kvalifikacijos reikalavimas, taikomas </w:t>
      </w:r>
      <w:r w:rsidR="005A5FDB" w:rsidRPr="00081A4C">
        <w:rPr>
          <w:lang w:val="lt-LT" w:bidi="lt-LT"/>
        </w:rPr>
        <w:t>II pirkimo daliai</w:t>
      </w:r>
      <w:r w:rsidR="005A5FDB">
        <w:rPr>
          <w:lang w:val="lt-LT" w:bidi="lt-LT"/>
        </w:rPr>
        <w:t>, turi būti tikslinamas</w:t>
      </w:r>
      <w:r w:rsidRPr="00577043">
        <w:rPr>
          <w:lang w:val="lt-LT"/>
        </w:rPr>
        <w:t>.</w:t>
      </w:r>
      <w:r w:rsidR="0031437D">
        <w:rPr>
          <w:lang w:val="lt-LT"/>
        </w:rPr>
        <w:t xml:space="preserve"> </w:t>
      </w:r>
      <w:r w:rsidR="00C00C22">
        <w:rPr>
          <w:lang w:val="lt-LT"/>
        </w:rPr>
        <w:t xml:space="preserve">Taip pat </w:t>
      </w:r>
      <w:r w:rsidR="000C1E68" w:rsidRPr="005178D8">
        <w:rPr>
          <w:lang w:val="lt-LT"/>
        </w:rPr>
        <w:t>Tarnyba rekomenduoja susipažinti su Valstybinės teritorijų planavimo ir statybos inspekcijos prie Aplinkos ministerijos pateiktu išaiškinimu</w:t>
      </w:r>
      <w:r w:rsidR="000C1E68" w:rsidRPr="00594A46">
        <w:rPr>
          <w:lang w:val="lt-LT"/>
        </w:rPr>
        <w:t xml:space="preserve"> </w:t>
      </w:r>
      <w:hyperlink r:id="rId10" w:history="1">
        <w:r w:rsidR="00DD703A" w:rsidRPr="00594A46">
          <w:rPr>
            <w:rStyle w:val="Hipersaitas"/>
            <w:lang w:val="lt-LT"/>
          </w:rPr>
          <w:t>Vadovavimas kultūros paveldo statinio paprastajam remontui (2022.11.29)</w:t>
        </w:r>
      </w:hyperlink>
      <w:r w:rsidR="00DD703A" w:rsidRPr="00594A46">
        <w:rPr>
          <w:lang w:val="lt-LT"/>
        </w:rPr>
        <w:t xml:space="preserve"> </w:t>
      </w:r>
      <w:r w:rsidR="005178D8" w:rsidRPr="005178D8">
        <w:rPr>
          <w:lang w:val="lt-LT"/>
        </w:rPr>
        <w:t>ir</w:t>
      </w:r>
      <w:r w:rsidR="00B74A59">
        <w:rPr>
          <w:lang w:val="lt-LT"/>
        </w:rPr>
        <w:t xml:space="preserve"> </w:t>
      </w:r>
      <w:r w:rsidR="005178D8" w:rsidRPr="005178D8">
        <w:rPr>
          <w:lang w:val="lt-LT"/>
        </w:rPr>
        <w:t>pakartotinai įsivertinti</w:t>
      </w:r>
      <w:r w:rsidR="00DD703A" w:rsidRPr="00594A46">
        <w:rPr>
          <w:lang w:val="lt-LT"/>
        </w:rPr>
        <w:t xml:space="preserve"> </w:t>
      </w:r>
      <w:r w:rsidR="003F4ED5">
        <w:rPr>
          <w:lang w:val="lt-LT"/>
        </w:rPr>
        <w:t>I ir III pirkimo dalyse</w:t>
      </w:r>
      <w:r w:rsidR="003F4ED5" w:rsidRPr="00594A46">
        <w:rPr>
          <w:lang w:val="lt-LT"/>
        </w:rPr>
        <w:t xml:space="preserve"> </w:t>
      </w:r>
      <w:r w:rsidR="00B74A59">
        <w:rPr>
          <w:lang w:val="lt-LT"/>
        </w:rPr>
        <w:t xml:space="preserve">keliamų </w:t>
      </w:r>
      <w:r w:rsidR="00DD703A" w:rsidRPr="00594A46">
        <w:rPr>
          <w:lang w:val="lt-LT"/>
        </w:rPr>
        <w:t>kvalifikacijos</w:t>
      </w:r>
      <w:r w:rsidR="005178D8" w:rsidRPr="005178D8">
        <w:rPr>
          <w:lang w:val="lt-LT"/>
        </w:rPr>
        <w:t xml:space="preserve"> reikalavim</w:t>
      </w:r>
      <w:r w:rsidR="00B74A59">
        <w:rPr>
          <w:lang w:val="lt-LT"/>
        </w:rPr>
        <w:t>ų</w:t>
      </w:r>
      <w:r w:rsidR="005178D8" w:rsidRPr="005178D8">
        <w:rPr>
          <w:lang w:val="lt-LT"/>
        </w:rPr>
        <w:t xml:space="preserve"> dėl </w:t>
      </w:r>
      <w:r w:rsidR="00DD703A" w:rsidRPr="00594A46">
        <w:rPr>
          <w:lang w:val="lt-LT"/>
        </w:rPr>
        <w:t xml:space="preserve">tesisės verstis veikla bei pagrindžiamųjų dokumentų </w:t>
      </w:r>
      <w:r w:rsidR="005178D8" w:rsidRPr="005178D8">
        <w:rPr>
          <w:lang w:val="lt-LT"/>
        </w:rPr>
        <w:t>pagrįstum</w:t>
      </w:r>
      <w:r w:rsidR="00B74A59">
        <w:rPr>
          <w:lang w:val="lt-LT"/>
        </w:rPr>
        <w:t>ą, o</w:t>
      </w:r>
      <w:r w:rsidR="005178D8" w:rsidRPr="005178D8">
        <w:rPr>
          <w:lang w:val="lt-LT"/>
        </w:rPr>
        <w:t xml:space="preserve"> kilus klausimams dėl statybos teisės aktų taikymo, rekomenduotina kreiptis konsultacijos į kompetentingą (statybų srities) instituciją. </w:t>
      </w:r>
    </w:p>
    <w:p w14:paraId="36EEE802" w14:textId="57659EBE" w:rsidR="00077D0D" w:rsidRDefault="00417757" w:rsidP="00077D0D">
      <w:pPr>
        <w:spacing w:after="0"/>
        <w:ind w:firstLine="720"/>
        <w:rPr>
          <w:lang w:val="lt-LT"/>
        </w:rPr>
      </w:pPr>
      <w:r>
        <w:rPr>
          <w:lang w:val="lt-LT"/>
        </w:rPr>
        <w:t xml:space="preserve">Perkančioji organizacija 2025-09-16 </w:t>
      </w:r>
      <w:r w:rsidR="002C49D4">
        <w:rPr>
          <w:lang w:val="lt-LT"/>
        </w:rPr>
        <w:t>el. laišku nurodė, kad „</w:t>
      </w:r>
      <w:r w:rsidR="002C49D4" w:rsidRPr="002C49D4">
        <w:rPr>
          <w:lang w:val="lt-LT"/>
        </w:rPr>
        <w:t xml:space="preserve">Šiuo Pirkimu perkami tik rangos darbai, projektavimas nėra perkamas. Nurodytas techninės specifikacijos punktas kalba apie tai, kad vadovaujantis Statybos įstatymo reikalavimais gali būti poreikis dėl paprastojo remonto darbų aprašo parengimo ir išpildomųjų dokumentų parengimo, pvz. jei kultūros paveldo teritorijoje esantiems objektams prieš pradedant atskirus darbus reikia gauti Kultūros paveldo departamento (KPD) sutikimą, </w:t>
      </w:r>
      <w:r w:rsidR="002C49D4" w:rsidRPr="002C49D4">
        <w:rPr>
          <w:b/>
          <w:bCs/>
          <w:lang w:val="lt-LT"/>
        </w:rPr>
        <w:t>tai darbų aprašus rengia ir su KPD derina darbus vykdysiantis rangovas</w:t>
      </w:r>
      <w:r w:rsidR="002C49D4" w:rsidRPr="002C49D4">
        <w:rPr>
          <w:lang w:val="lt-LT"/>
        </w:rPr>
        <w:t>.</w:t>
      </w:r>
      <w:r w:rsidR="002C49D4">
        <w:rPr>
          <w:lang w:val="lt-LT"/>
        </w:rPr>
        <w:t>“</w:t>
      </w:r>
      <w:r w:rsidR="007E2BF0">
        <w:rPr>
          <w:lang w:val="lt-LT"/>
        </w:rPr>
        <w:t xml:space="preserve"> </w:t>
      </w:r>
      <w:r w:rsidR="00F01F65">
        <w:rPr>
          <w:lang w:val="lt-LT"/>
        </w:rPr>
        <w:t xml:space="preserve">Iš Perkančiosios organizacijos atsakymo, manytina, kad tam tikrais atvejais rangovui </w:t>
      </w:r>
      <w:r w:rsidR="00B74A59">
        <w:rPr>
          <w:lang w:val="lt-LT"/>
        </w:rPr>
        <w:t>turės rengti</w:t>
      </w:r>
      <w:r w:rsidR="00520A75">
        <w:rPr>
          <w:lang w:val="lt-LT"/>
        </w:rPr>
        <w:t xml:space="preserve"> darbų aprašus</w:t>
      </w:r>
      <w:r w:rsidR="0095751F">
        <w:rPr>
          <w:lang w:val="lt-LT"/>
        </w:rPr>
        <w:t xml:space="preserve"> ( t. y. </w:t>
      </w:r>
      <w:r w:rsidR="00D56F7C">
        <w:rPr>
          <w:lang w:val="lt-LT"/>
        </w:rPr>
        <w:t>be statybos darbų gali būti įsig</w:t>
      </w:r>
      <w:r w:rsidR="00C2125A">
        <w:rPr>
          <w:lang w:val="lt-LT"/>
        </w:rPr>
        <w:t>y</w:t>
      </w:r>
      <w:r w:rsidR="00D56F7C">
        <w:rPr>
          <w:lang w:val="lt-LT"/>
        </w:rPr>
        <w:t>jamos ir projek</w:t>
      </w:r>
      <w:r w:rsidR="00C2125A">
        <w:rPr>
          <w:lang w:val="lt-LT"/>
        </w:rPr>
        <w:t>tavimo paslaugos</w:t>
      </w:r>
      <w:r w:rsidR="0095751F">
        <w:rPr>
          <w:lang w:val="lt-LT"/>
        </w:rPr>
        <w:t>)</w:t>
      </w:r>
      <w:r w:rsidR="00520A75">
        <w:rPr>
          <w:lang w:val="lt-LT"/>
        </w:rPr>
        <w:t xml:space="preserve">. </w:t>
      </w:r>
    </w:p>
    <w:p w14:paraId="4F7B9923" w14:textId="7087B94F" w:rsidR="007E2BF0" w:rsidRPr="00077D0D" w:rsidRDefault="007E2BF0" w:rsidP="00077D0D">
      <w:pPr>
        <w:spacing w:after="0"/>
        <w:ind w:firstLine="720"/>
        <w:rPr>
          <w:lang w:val="lt-LT"/>
        </w:rPr>
      </w:pPr>
      <w:r w:rsidRPr="007E2BF0">
        <w:rPr>
          <w:bCs/>
          <w:lang w:val="lt-LT"/>
        </w:rPr>
        <w:t>Atkreiptinas dėmes</w:t>
      </w:r>
      <w:r w:rsidR="00077D0D">
        <w:rPr>
          <w:bCs/>
          <w:lang w:val="lt-LT"/>
        </w:rPr>
        <w:t>ys</w:t>
      </w:r>
      <w:r w:rsidRPr="007E2BF0">
        <w:rPr>
          <w:bCs/>
          <w:lang w:val="lt-LT"/>
        </w:rPr>
        <w:t xml:space="preserve">, kad, vadovaujantis Įstatymo 35 straipsnio 2 dalies 9 punkto nuostata, Pirkimo dokumentuose turi būti pateiktas Perkančiosios organizacijos sprendimo dėl „statinio statybos darbų ir statinio projektavimo paslaugų pirkimo objekto neskaidymo į dalis pagrindimas, kaip nustatyta šio įstatymo 28 straipsnio 2 dalyje“, todėl Tarnyba rekomenduoja papildyti Pirkimo dokumentus argumentuotu pagrindimu, kodėl statybos darbai perkami kartu </w:t>
      </w:r>
      <w:r>
        <w:rPr>
          <w:bCs/>
          <w:lang w:val="lt-LT"/>
        </w:rPr>
        <w:t xml:space="preserve">projektavimo </w:t>
      </w:r>
      <w:r w:rsidRPr="007E2BF0">
        <w:rPr>
          <w:bCs/>
          <w:lang w:val="lt-LT"/>
        </w:rPr>
        <w:t>paslaugomis.</w:t>
      </w:r>
    </w:p>
    <w:p w14:paraId="3DA8C857" w14:textId="0FC79E1D" w:rsidR="001726C5" w:rsidRPr="007E2BF0" w:rsidRDefault="00124D30" w:rsidP="00CB3241">
      <w:pPr>
        <w:spacing w:after="0"/>
        <w:ind w:firstLine="720"/>
        <w:rPr>
          <w:bCs/>
          <w:lang w:val="lt-LT"/>
        </w:rPr>
      </w:pPr>
      <w:r>
        <w:rPr>
          <w:bCs/>
          <w:lang w:val="lt-LT"/>
        </w:rPr>
        <w:t>Taip pat pažymėtina</w:t>
      </w:r>
      <w:r w:rsidR="00323305">
        <w:rPr>
          <w:bCs/>
          <w:lang w:val="lt-LT"/>
        </w:rPr>
        <w:t xml:space="preserve">, kad </w:t>
      </w:r>
      <w:r w:rsidR="00A5521D">
        <w:rPr>
          <w:bCs/>
          <w:lang w:val="lt-LT"/>
        </w:rPr>
        <w:t>Sutarties vykdymo metu įsig</w:t>
      </w:r>
      <w:r w:rsidR="00484BE2">
        <w:rPr>
          <w:bCs/>
          <w:lang w:val="lt-LT"/>
        </w:rPr>
        <w:t>y</w:t>
      </w:r>
      <w:r w:rsidR="00A5521D">
        <w:rPr>
          <w:bCs/>
          <w:lang w:val="lt-LT"/>
        </w:rPr>
        <w:t>jamų d</w:t>
      </w:r>
      <w:r w:rsidR="00323305" w:rsidRPr="00CB3241">
        <w:rPr>
          <w:bCs/>
          <w:lang w:val="lt-LT"/>
        </w:rPr>
        <w:t>arbų atlikimo sąmatos sudaromos naudojant užsakymo metu galiojančius „Statybos resursų skaičiuojamųjų rinkos kainų“ UAB „SISTELA“ arba UAB „</w:t>
      </w:r>
      <w:proofErr w:type="spellStart"/>
      <w:r w:rsidR="00323305" w:rsidRPr="00CB3241">
        <w:rPr>
          <w:bCs/>
          <w:lang w:val="lt-LT"/>
        </w:rPr>
        <w:t>Astera</w:t>
      </w:r>
      <w:proofErr w:type="spellEnd"/>
      <w:r w:rsidR="00323305" w:rsidRPr="00CB3241">
        <w:rPr>
          <w:bCs/>
          <w:lang w:val="lt-LT"/>
        </w:rPr>
        <w:t xml:space="preserve">“ kainininko įkainius, bendruosius ekonominius normatyvus ir visai sąmatai pritaikius Sutartyje numatytą </w:t>
      </w:r>
      <w:r w:rsidR="00A5521D">
        <w:rPr>
          <w:bCs/>
          <w:lang w:val="lt-LT"/>
        </w:rPr>
        <w:t xml:space="preserve">(tiekėjo pasiūlytą) </w:t>
      </w:r>
      <w:r w:rsidR="00323305" w:rsidRPr="00CB3241">
        <w:rPr>
          <w:bCs/>
          <w:lang w:val="lt-LT"/>
        </w:rPr>
        <w:t>nuolaidą/antkain</w:t>
      </w:r>
      <w:r w:rsidR="00A5521D">
        <w:rPr>
          <w:bCs/>
          <w:lang w:val="lt-LT"/>
        </w:rPr>
        <w:t>į</w:t>
      </w:r>
      <w:r w:rsidR="009C7D9B">
        <w:rPr>
          <w:bCs/>
          <w:lang w:val="lt-LT"/>
        </w:rPr>
        <w:t xml:space="preserve"> (Techninės specifikacijos </w:t>
      </w:r>
      <w:r w:rsidR="00B924F4">
        <w:rPr>
          <w:bCs/>
          <w:lang w:val="lt-LT"/>
        </w:rPr>
        <w:t>2.2.4 papunktis)</w:t>
      </w:r>
      <w:r w:rsidR="00A5521D">
        <w:rPr>
          <w:bCs/>
          <w:lang w:val="lt-LT"/>
        </w:rPr>
        <w:t xml:space="preserve">, </w:t>
      </w:r>
      <w:r w:rsidR="00B63EFD">
        <w:rPr>
          <w:bCs/>
          <w:lang w:val="lt-LT"/>
        </w:rPr>
        <w:t xml:space="preserve">o </w:t>
      </w:r>
      <w:r w:rsidR="00416F53">
        <w:rPr>
          <w:bCs/>
          <w:lang w:val="lt-LT"/>
        </w:rPr>
        <w:t>nurodyti projektavimo paslaugų kain</w:t>
      </w:r>
      <w:r w:rsidR="00B63EFD">
        <w:rPr>
          <w:bCs/>
          <w:lang w:val="lt-LT"/>
        </w:rPr>
        <w:t>ą</w:t>
      </w:r>
      <w:r w:rsidR="00B63EFD" w:rsidRPr="00B63EFD">
        <w:rPr>
          <w:bCs/>
          <w:lang w:val="lt-LT"/>
        </w:rPr>
        <w:t xml:space="preserve"> </w:t>
      </w:r>
      <w:r w:rsidR="00B924F4">
        <w:rPr>
          <w:bCs/>
          <w:lang w:val="lt-LT"/>
        </w:rPr>
        <w:t xml:space="preserve">pasiūlyme </w:t>
      </w:r>
      <w:r w:rsidR="00B63EFD">
        <w:rPr>
          <w:bCs/>
          <w:lang w:val="lt-LT"/>
        </w:rPr>
        <w:t xml:space="preserve">Perkančioji organizacija nereikalauja. Atsižvelgiant į tai, </w:t>
      </w:r>
      <w:r w:rsidR="0004625D">
        <w:rPr>
          <w:bCs/>
          <w:lang w:val="lt-LT"/>
        </w:rPr>
        <w:t xml:space="preserve">nėra aišku, </w:t>
      </w:r>
      <w:r w:rsidR="002047AD">
        <w:rPr>
          <w:bCs/>
          <w:lang w:val="lt-LT"/>
        </w:rPr>
        <w:t>kokiomis kainomis bus perkamos projektavimo paslaugos, jei toks poreikis atsiras Sutarties vykdymo metu.</w:t>
      </w:r>
    </w:p>
    <w:p w14:paraId="18CE8C94" w14:textId="32EA0291" w:rsidR="00CB3241" w:rsidRDefault="00CB3241" w:rsidP="00CB3241">
      <w:pPr>
        <w:ind w:firstLine="720"/>
        <w:rPr>
          <w:lang w:val="lt-LT"/>
        </w:rPr>
      </w:pPr>
      <w:r w:rsidRPr="00CB3241">
        <w:rPr>
          <w:lang w:val="lt-LT"/>
        </w:rPr>
        <w:t xml:space="preserve">Atsižvelgdama į tai, kas nurodyta, Tarnyba rekomenduoja peržiūrėti ir patikslinti Pirkimo dokumentus pagal šioje Rekomendacijoje pateiktas pastabas. Priėmusi sprendimą atsižvelgti į pateiktą Rekomendaciją ir tikslinti/keisti Pirkimo dokumentus, Perkančioji organizacija turi įvertinti, ar toks tikslinimas/keitimas nebūtų laikytinas esminiu Pirkimo dokumentų keitimu, kurį atlikus būtų pažeisti </w:t>
      </w:r>
      <w:r w:rsidRPr="00CB3241">
        <w:rPr>
          <w:bCs/>
          <w:iCs/>
          <w:lang w:val="lt-LT"/>
        </w:rPr>
        <w:t xml:space="preserve">skaidrumo ir tiekėjų teisėtų lūkesčių principai, ar šiuo atveju galėtų būti </w:t>
      </w:r>
      <w:r w:rsidRPr="00CB3241">
        <w:rPr>
          <w:bCs/>
          <w:iCs/>
          <w:lang w:val="lt-LT"/>
        </w:rPr>
        <w:lastRenderedPageBreak/>
        <w:t xml:space="preserve">pritaikyti </w:t>
      </w:r>
      <w:proofErr w:type="spellStart"/>
      <w:r w:rsidRPr="00CB3241">
        <w:rPr>
          <w:bCs/>
          <w:i/>
          <w:lang w:val="lt-LT"/>
        </w:rPr>
        <w:t>Borta</w:t>
      </w:r>
      <w:proofErr w:type="spellEnd"/>
      <w:r w:rsidRPr="00CB3241">
        <w:rPr>
          <w:bCs/>
          <w:iCs/>
          <w:lang w:val="lt-LT"/>
        </w:rPr>
        <w:t xml:space="preserve"> kriterijai</w:t>
      </w:r>
      <w:r w:rsidRPr="00CB3241">
        <w:rPr>
          <w:bCs/>
          <w:iCs/>
          <w:vertAlign w:val="superscript"/>
          <w:lang w:val="lt-LT"/>
        </w:rPr>
        <w:footnoteReference w:id="1"/>
      </w:r>
      <w:r w:rsidRPr="00CB3241">
        <w:rPr>
          <w:bCs/>
          <w:iCs/>
          <w:lang w:val="lt-LT"/>
        </w:rPr>
        <w:t xml:space="preserve"> ir, nenutraukiant Pirkimo procedūros, Pirkimo dokumentai būtų patikslinti, tinkamai informuojant tiekėjus apie patikslinimus ir pratęsiant pasiūlymų pateikimo terminą</w:t>
      </w:r>
      <w:r w:rsidRPr="00CB3241">
        <w:rPr>
          <w:lang w:val="lt-LT"/>
        </w:rPr>
        <w:t>. Atkreiptinas dėmesys, kad  Įstatymo 36 straipsnio 6 dalyje nustatyta, kad „</w:t>
      </w:r>
      <w:r w:rsidRPr="00CB3241">
        <w:rPr>
          <w:b/>
          <w:bCs/>
          <w:lang w:val="lt-LT"/>
        </w:rPr>
        <w:t>tarptautinių pirkimų atveju negali būti daromi tokie esminiai pirkimo sąlygų pakeitimai,</w:t>
      </w:r>
      <w:r w:rsidRPr="00CB3241">
        <w:rPr>
          <w:lang w:val="lt-LT"/>
        </w:rPr>
        <w:t xml:space="preserve"> dėl kurių būtų buvę galima leisti dalyvauti kitiems kandidatams, negu iš pradžių atrinktiesiems, arba </w:t>
      </w:r>
      <w:r w:rsidRPr="00CB3241">
        <w:rPr>
          <w:b/>
          <w:bCs/>
          <w:lang w:val="lt-LT"/>
        </w:rPr>
        <w:t>pirkimo procedūra būtų pritraukusi daugiau dalyvių</w:t>
      </w:r>
      <w:r w:rsidRPr="00CB3241">
        <w:rPr>
          <w:lang w:val="lt-LT"/>
        </w:rPr>
        <w:t>“, o 29 straipsnio 4 dalyje nurodyta, kad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650560F2" w14:textId="2ECD65FE" w:rsidR="00E762D6" w:rsidRPr="00E762D6" w:rsidRDefault="00E762D6" w:rsidP="0095751F">
      <w:pPr>
        <w:ind w:firstLine="720"/>
        <w:rPr>
          <w:lang w:val="lt-LT"/>
        </w:rPr>
      </w:pPr>
      <w:r w:rsidRPr="00E762D6">
        <w:rPr>
          <w:lang w:val="lt-LT"/>
        </w:rPr>
        <w:t>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3409ED12" w14:textId="53AEA90F" w:rsidR="002C49D4" w:rsidRPr="002C49D4" w:rsidRDefault="002C49D4" w:rsidP="002C49D4">
      <w:pPr>
        <w:rPr>
          <w:lang w:val="lt-LT"/>
        </w:rPr>
      </w:pPr>
    </w:p>
    <w:p w14:paraId="409EFD1A" w14:textId="7BD8A7EC" w:rsidR="005178D8" w:rsidRPr="00594A46" w:rsidRDefault="005178D8">
      <w:pPr>
        <w:rPr>
          <w:lang w:val="lt-LT"/>
        </w:rPr>
      </w:pPr>
    </w:p>
    <w:sectPr w:rsidR="005178D8" w:rsidRPr="00594A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9CA6" w14:textId="77777777" w:rsidR="00546927" w:rsidRDefault="00546927" w:rsidP="00E762D6">
      <w:pPr>
        <w:spacing w:after="0" w:line="240" w:lineRule="auto"/>
      </w:pPr>
      <w:r>
        <w:separator/>
      </w:r>
    </w:p>
  </w:endnote>
  <w:endnote w:type="continuationSeparator" w:id="0">
    <w:p w14:paraId="2501FE6D" w14:textId="77777777" w:rsidR="00546927" w:rsidRDefault="00546927" w:rsidP="00E7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D8E2" w14:textId="77777777" w:rsidR="00546927" w:rsidRDefault="00546927" w:rsidP="00E762D6">
      <w:pPr>
        <w:spacing w:after="0" w:line="240" w:lineRule="auto"/>
      </w:pPr>
      <w:r>
        <w:separator/>
      </w:r>
    </w:p>
  </w:footnote>
  <w:footnote w:type="continuationSeparator" w:id="0">
    <w:p w14:paraId="58AB520E" w14:textId="77777777" w:rsidR="00546927" w:rsidRDefault="00546927" w:rsidP="00E762D6">
      <w:pPr>
        <w:spacing w:after="0" w:line="240" w:lineRule="auto"/>
      </w:pPr>
      <w:r>
        <w:continuationSeparator/>
      </w:r>
    </w:p>
  </w:footnote>
  <w:footnote w:id="1">
    <w:p w14:paraId="3D77C5F5" w14:textId="77777777" w:rsidR="00CB3241" w:rsidRDefault="00CB3241" w:rsidP="00CB3241">
      <w:pPr>
        <w:pStyle w:val="Puslapioinaostekstas"/>
      </w:pPr>
      <w:r>
        <w:rPr>
          <w:rStyle w:val="Puslapioinaosnuoroda"/>
          <w:color w:val="000000" w:themeColor="text1"/>
        </w:rPr>
        <w:footnoteRef/>
      </w:r>
      <w:r>
        <w:t xml:space="preserve"> </w:t>
      </w:r>
      <w:r w:rsidRPr="00CB3241">
        <w:rPr>
          <w:bCs/>
          <w:color w:val="000000" w:themeColor="text1"/>
          <w:lang w:val="lt-LT"/>
        </w:rPr>
        <w:t>Europos Sąjungos Teisingumo Teismo (toliau – ESTT) 2017-04-05 sprendimu UAB „Borta“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r w:rsidRPr="00CB3241">
        <w:rPr>
          <w:bCs/>
          <w:i/>
          <w:color w:val="000000" w:themeColor="text1"/>
          <w:lang w:val="lt-LT"/>
        </w:rPr>
        <w:t>Borta</w:t>
      </w:r>
      <w:r w:rsidRPr="00CB3241">
        <w:rPr>
          <w:bCs/>
          <w:color w:val="000000" w:themeColor="text1"/>
          <w:lang w:val="lt-LT"/>
        </w:rPr>
        <w:t xml:space="preserve"> kriterijai) (70-77 p.)</w:t>
      </w:r>
      <w:r>
        <w:rPr>
          <w:bCs/>
          <w:color w:val="000000" w:themeColor="text1"/>
        </w:rPr>
        <w:t xml:space="preserve"> </w:t>
      </w:r>
      <w:hyperlink r:id="rId1" w:history="1">
        <w:r>
          <w:rPr>
            <w:rStyle w:val="Hipersaitas"/>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F484"/>
    <w:multiLevelType w:val="hybridMultilevel"/>
    <w:tmpl w:val="16065A78"/>
    <w:lvl w:ilvl="0" w:tplc="1F24FACA">
      <w:start w:val="1"/>
      <w:numFmt w:val="decimal"/>
      <w:lvlText w:val="%1)"/>
      <w:lvlJc w:val="left"/>
      <w:pPr>
        <w:ind w:left="720" w:hanging="360"/>
      </w:pPr>
    </w:lvl>
    <w:lvl w:ilvl="1" w:tplc="DD00EB9C">
      <w:start w:val="1"/>
      <w:numFmt w:val="lowerLetter"/>
      <w:lvlText w:val="%2."/>
      <w:lvlJc w:val="left"/>
      <w:pPr>
        <w:ind w:left="1440" w:hanging="360"/>
      </w:pPr>
    </w:lvl>
    <w:lvl w:ilvl="2" w:tplc="60449C9C">
      <w:start w:val="1"/>
      <w:numFmt w:val="lowerRoman"/>
      <w:lvlText w:val="%3."/>
      <w:lvlJc w:val="right"/>
      <w:pPr>
        <w:ind w:left="2160" w:hanging="180"/>
      </w:pPr>
    </w:lvl>
    <w:lvl w:ilvl="3" w:tplc="AD76FFA6">
      <w:start w:val="1"/>
      <w:numFmt w:val="decimal"/>
      <w:lvlText w:val="%4."/>
      <w:lvlJc w:val="left"/>
      <w:pPr>
        <w:ind w:left="2880" w:hanging="360"/>
      </w:pPr>
    </w:lvl>
    <w:lvl w:ilvl="4" w:tplc="44E46422">
      <w:start w:val="1"/>
      <w:numFmt w:val="lowerLetter"/>
      <w:lvlText w:val="%5."/>
      <w:lvlJc w:val="left"/>
      <w:pPr>
        <w:ind w:left="3600" w:hanging="360"/>
      </w:pPr>
    </w:lvl>
    <w:lvl w:ilvl="5" w:tplc="CB980CA0">
      <w:start w:val="1"/>
      <w:numFmt w:val="lowerRoman"/>
      <w:lvlText w:val="%6."/>
      <w:lvlJc w:val="right"/>
      <w:pPr>
        <w:ind w:left="4320" w:hanging="180"/>
      </w:pPr>
    </w:lvl>
    <w:lvl w:ilvl="6" w:tplc="CCAA1178">
      <w:start w:val="1"/>
      <w:numFmt w:val="decimal"/>
      <w:lvlText w:val="%7."/>
      <w:lvlJc w:val="left"/>
      <w:pPr>
        <w:ind w:left="5040" w:hanging="360"/>
      </w:pPr>
    </w:lvl>
    <w:lvl w:ilvl="7" w:tplc="A4B2E3AE">
      <w:start w:val="1"/>
      <w:numFmt w:val="lowerLetter"/>
      <w:lvlText w:val="%8."/>
      <w:lvlJc w:val="left"/>
      <w:pPr>
        <w:ind w:left="5760" w:hanging="360"/>
      </w:pPr>
    </w:lvl>
    <w:lvl w:ilvl="8" w:tplc="4FBEB190">
      <w:start w:val="1"/>
      <w:numFmt w:val="lowerRoman"/>
      <w:lvlText w:val="%9."/>
      <w:lvlJc w:val="right"/>
      <w:pPr>
        <w:ind w:left="6480" w:hanging="180"/>
      </w:pPr>
    </w:lvl>
  </w:abstractNum>
  <w:num w:numId="1" w16cid:durableId="17036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69"/>
    <w:rsid w:val="0004625D"/>
    <w:rsid w:val="00077D0D"/>
    <w:rsid w:val="00081A4C"/>
    <w:rsid w:val="000A15DB"/>
    <w:rsid w:val="000C1E68"/>
    <w:rsid w:val="00124D30"/>
    <w:rsid w:val="001363A4"/>
    <w:rsid w:val="001726C5"/>
    <w:rsid w:val="00194306"/>
    <w:rsid w:val="001D5A2E"/>
    <w:rsid w:val="002047AD"/>
    <w:rsid w:val="002108C7"/>
    <w:rsid w:val="00290169"/>
    <w:rsid w:val="00297260"/>
    <w:rsid w:val="002A002D"/>
    <w:rsid w:val="002B054C"/>
    <w:rsid w:val="002C49D4"/>
    <w:rsid w:val="00307D85"/>
    <w:rsid w:val="0031437D"/>
    <w:rsid w:val="00323305"/>
    <w:rsid w:val="00331813"/>
    <w:rsid w:val="003735F4"/>
    <w:rsid w:val="003B27E4"/>
    <w:rsid w:val="003D704F"/>
    <w:rsid w:val="003F4ED5"/>
    <w:rsid w:val="003F5D45"/>
    <w:rsid w:val="00416F53"/>
    <w:rsid w:val="00417757"/>
    <w:rsid w:val="00461888"/>
    <w:rsid w:val="00484BE2"/>
    <w:rsid w:val="004C6FEE"/>
    <w:rsid w:val="005178D8"/>
    <w:rsid w:val="00520A75"/>
    <w:rsid w:val="005214B6"/>
    <w:rsid w:val="00541F3B"/>
    <w:rsid w:val="00546927"/>
    <w:rsid w:val="0056352D"/>
    <w:rsid w:val="00577043"/>
    <w:rsid w:val="00594A46"/>
    <w:rsid w:val="005A5FDB"/>
    <w:rsid w:val="005C662A"/>
    <w:rsid w:val="00665958"/>
    <w:rsid w:val="006E2429"/>
    <w:rsid w:val="0074052D"/>
    <w:rsid w:val="007919C9"/>
    <w:rsid w:val="007B3B33"/>
    <w:rsid w:val="007C6903"/>
    <w:rsid w:val="007E2BF0"/>
    <w:rsid w:val="00831A79"/>
    <w:rsid w:val="00926991"/>
    <w:rsid w:val="0095751F"/>
    <w:rsid w:val="0097168F"/>
    <w:rsid w:val="00976663"/>
    <w:rsid w:val="009C7D9B"/>
    <w:rsid w:val="00A5521D"/>
    <w:rsid w:val="00A65B51"/>
    <w:rsid w:val="00A67F1A"/>
    <w:rsid w:val="00AB7FEF"/>
    <w:rsid w:val="00B124AA"/>
    <w:rsid w:val="00B36350"/>
    <w:rsid w:val="00B63EFD"/>
    <w:rsid w:val="00B74A59"/>
    <w:rsid w:val="00B924F4"/>
    <w:rsid w:val="00BE779E"/>
    <w:rsid w:val="00C00C22"/>
    <w:rsid w:val="00C2125A"/>
    <w:rsid w:val="00CB3241"/>
    <w:rsid w:val="00CE4A8A"/>
    <w:rsid w:val="00D56F7C"/>
    <w:rsid w:val="00D778AD"/>
    <w:rsid w:val="00DB5E30"/>
    <w:rsid w:val="00DD703A"/>
    <w:rsid w:val="00E137D7"/>
    <w:rsid w:val="00E159FD"/>
    <w:rsid w:val="00E60D37"/>
    <w:rsid w:val="00E74D51"/>
    <w:rsid w:val="00E762D6"/>
    <w:rsid w:val="00EA5988"/>
    <w:rsid w:val="00ED4892"/>
    <w:rsid w:val="00F01F65"/>
    <w:rsid w:val="00F07093"/>
    <w:rsid w:val="00F321CD"/>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85D4"/>
  <w15:chartTrackingRefBased/>
  <w15:docId w15:val="{8F721378-BBCC-4EB9-98A2-060DC994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0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0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016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016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016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01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01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01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01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016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016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016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016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016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0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0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0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01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0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01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0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01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0169"/>
    <w:rPr>
      <w:i/>
      <w:iCs/>
      <w:color w:val="404040" w:themeColor="text1" w:themeTint="BF"/>
    </w:rPr>
  </w:style>
  <w:style w:type="paragraph" w:styleId="Sraopastraipa">
    <w:name w:val="List Paragraph"/>
    <w:basedOn w:val="prastasis"/>
    <w:uiPriority w:val="34"/>
    <w:qFormat/>
    <w:rsid w:val="00290169"/>
    <w:pPr>
      <w:ind w:left="720"/>
      <w:contextualSpacing/>
    </w:pPr>
  </w:style>
  <w:style w:type="character" w:styleId="Rykuspabraukimas">
    <w:name w:val="Intense Emphasis"/>
    <w:basedOn w:val="Numatytasispastraiposriftas"/>
    <w:uiPriority w:val="21"/>
    <w:qFormat/>
    <w:rsid w:val="00290169"/>
    <w:rPr>
      <w:i/>
      <w:iCs/>
      <w:color w:val="2F5496" w:themeColor="accent1" w:themeShade="BF"/>
    </w:rPr>
  </w:style>
  <w:style w:type="paragraph" w:styleId="Iskirtacitata">
    <w:name w:val="Intense Quote"/>
    <w:basedOn w:val="prastasis"/>
    <w:next w:val="prastasis"/>
    <w:link w:val="IskirtacitataDiagrama"/>
    <w:uiPriority w:val="30"/>
    <w:qFormat/>
    <w:rsid w:val="00290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0169"/>
    <w:rPr>
      <w:i/>
      <w:iCs/>
      <w:color w:val="2F5496" w:themeColor="accent1" w:themeShade="BF"/>
    </w:rPr>
  </w:style>
  <w:style w:type="character" w:styleId="Rykinuoroda">
    <w:name w:val="Intense Reference"/>
    <w:basedOn w:val="Numatytasispastraiposriftas"/>
    <w:uiPriority w:val="32"/>
    <w:qFormat/>
    <w:rsid w:val="00290169"/>
    <w:rPr>
      <w:b/>
      <w:bCs/>
      <w:smallCaps/>
      <w:color w:val="2F5496" w:themeColor="accent1" w:themeShade="BF"/>
      <w:spacing w:val="5"/>
    </w:rPr>
  </w:style>
  <w:style w:type="character" w:styleId="Hipersaitas">
    <w:name w:val="Hyperlink"/>
    <w:basedOn w:val="Numatytasispastraiposriftas"/>
    <w:uiPriority w:val="99"/>
    <w:unhideWhenUsed/>
    <w:rsid w:val="005178D8"/>
    <w:rPr>
      <w:color w:val="0563C1" w:themeColor="hyperlink"/>
      <w:u w:val="single"/>
    </w:rPr>
  </w:style>
  <w:style w:type="character" w:styleId="Neapdorotaspaminjimas">
    <w:name w:val="Unresolved Mention"/>
    <w:basedOn w:val="Numatytasispastraiposriftas"/>
    <w:uiPriority w:val="99"/>
    <w:semiHidden/>
    <w:unhideWhenUsed/>
    <w:rsid w:val="005178D8"/>
    <w:rPr>
      <w:color w:val="605E5C"/>
      <w:shd w:val="clear" w:color="auto" w:fill="E1DFDD"/>
    </w:rPr>
  </w:style>
  <w:style w:type="paragraph" w:styleId="Puslapioinaostekstas">
    <w:name w:val="footnote text"/>
    <w:basedOn w:val="prastasis"/>
    <w:link w:val="PuslapioinaostekstasDiagrama"/>
    <w:uiPriority w:val="99"/>
    <w:semiHidden/>
    <w:unhideWhenUsed/>
    <w:rsid w:val="00E762D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62D6"/>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E762D6"/>
    <w:rPr>
      <w:vertAlign w:val="superscript"/>
    </w:rPr>
  </w:style>
  <w:style w:type="paragraph" w:styleId="Pataisymai">
    <w:name w:val="Revision"/>
    <w:hidden/>
    <w:uiPriority w:val="99"/>
    <w:semiHidden/>
    <w:rsid w:val="001363A4"/>
    <w:pPr>
      <w:spacing w:after="0" w:line="240" w:lineRule="auto"/>
    </w:pPr>
  </w:style>
  <w:style w:type="character" w:styleId="Perirtashipersaitas">
    <w:name w:val="FollowedHyperlink"/>
    <w:basedOn w:val="Numatytasispastraiposriftas"/>
    <w:uiPriority w:val="99"/>
    <w:semiHidden/>
    <w:unhideWhenUsed/>
    <w:rsid w:val="00BE779E"/>
    <w:rPr>
      <w:color w:val="954F72" w:themeColor="followedHyperlink"/>
      <w:u w:val="single"/>
    </w:rPr>
  </w:style>
  <w:style w:type="character" w:styleId="Komentaronuoroda">
    <w:name w:val="annotation reference"/>
    <w:basedOn w:val="Numatytasispastraiposriftas"/>
    <w:uiPriority w:val="99"/>
    <w:semiHidden/>
    <w:unhideWhenUsed/>
    <w:rsid w:val="007C6903"/>
    <w:rPr>
      <w:sz w:val="16"/>
      <w:szCs w:val="16"/>
    </w:rPr>
  </w:style>
  <w:style w:type="paragraph" w:styleId="Komentarotekstas">
    <w:name w:val="annotation text"/>
    <w:basedOn w:val="prastasis"/>
    <w:link w:val="KomentarotekstasDiagrama"/>
    <w:uiPriority w:val="99"/>
    <w:unhideWhenUsed/>
    <w:rsid w:val="007C69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6903"/>
    <w:rPr>
      <w:sz w:val="20"/>
      <w:szCs w:val="20"/>
    </w:rPr>
  </w:style>
  <w:style w:type="paragraph" w:styleId="Komentarotema">
    <w:name w:val="annotation subject"/>
    <w:basedOn w:val="Komentarotekstas"/>
    <w:next w:val="Komentarotekstas"/>
    <w:link w:val="KomentarotemaDiagrama"/>
    <w:uiPriority w:val="99"/>
    <w:semiHidden/>
    <w:unhideWhenUsed/>
    <w:rsid w:val="007C6903"/>
    <w:rPr>
      <w:b/>
      <w:bCs/>
    </w:rPr>
  </w:style>
  <w:style w:type="character" w:customStyle="1" w:styleId="KomentarotemaDiagrama">
    <w:name w:val="Komentaro tema Diagrama"/>
    <w:basedOn w:val="KomentarotekstasDiagrama"/>
    <w:link w:val="Komentarotema"/>
    <w:uiPriority w:val="99"/>
    <w:semiHidden/>
    <w:rsid w:val="007C6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4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tpsi.lrv.lt/lt/konsultacijos/klausimai-ir-atsakymai/archyvas-viesintos-konsultacijos-iki-2023-06-30/nuo-2018-metu/ii-statybos-valstybine-prieziura-reglamentuojanciu-ir-su-jais-susijusiu-teises-aktu-nuostatu-taikymas-1/20-2-statytojo-uzsakovo-rangovo-techninio-priziuretojo-veikla/inspekcijos-isaiskinimai-79/vadovavimas-kulturos-paveldo-statinio-paprastajam-remontui-2022-11-29/"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6283A-F70F-4F63-B108-B043B32F4F37}">
  <ds:schemaRefs>
    <ds:schemaRef ds:uri="http://schemas.microsoft.com/sharepoint/v3/contenttype/forms"/>
  </ds:schemaRefs>
</ds:datastoreItem>
</file>

<file path=customXml/itemProps2.xml><?xml version="1.0" encoding="utf-8"?>
<ds:datastoreItem xmlns:ds="http://schemas.openxmlformats.org/officeDocument/2006/customXml" ds:itemID="{1F1E99E3-F9AF-47F4-8F7D-BEBDAC8D036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AACCF98D-C3DD-4DE3-AE83-1AC959834B60}"/>
</file>

<file path=docProps/app.xml><?xml version="1.0" encoding="utf-8"?>
<Properties xmlns="http://schemas.openxmlformats.org/officeDocument/2006/extended-properties" xmlns:vt="http://schemas.openxmlformats.org/officeDocument/2006/docPropsVTypes">
  <Template>Normal.dotm</Template>
  <TotalTime>8</TotalTime>
  <Pages>3</Pages>
  <Words>1212</Words>
  <Characters>6909</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2025-09-17T13:12:00Z</dcterms:created>
  <dcterms:modified xsi:type="dcterms:W3CDTF">2025-09-18T10:28:00Z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