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9107" w14:textId="77777777" w:rsidR="00781031" w:rsidRPr="00712EDB" w:rsidRDefault="00781031" w:rsidP="00781031">
      <w:pPr>
        <w:spacing w:after="0" w:line="276" w:lineRule="auto"/>
        <w:ind w:firstLine="709"/>
        <w:rPr>
          <w:rFonts w:ascii="Calibri" w:hAnsi="Calibri" w:cs="Calibri"/>
          <w:lang w:val="lt-LT"/>
        </w:rPr>
      </w:pPr>
      <w:r w:rsidRPr="00712EDB">
        <w:rPr>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0430714B" w14:textId="77777777" w:rsidR="00781031" w:rsidRPr="00712EDB" w:rsidRDefault="00781031" w:rsidP="00781031">
      <w:pPr>
        <w:spacing w:after="0" w:line="276" w:lineRule="auto"/>
        <w:ind w:firstLine="709"/>
        <w:rPr>
          <w:rFonts w:ascii="Calibri" w:hAnsi="Calibri" w:cs="Calibri"/>
          <w:lang w:val="lt-LT"/>
        </w:rPr>
      </w:pPr>
      <w:r w:rsidRPr="00712EDB">
        <w:rPr>
          <w:rFonts w:ascii="Calibri" w:hAnsi="Calibri" w:cs="Calibri"/>
          <w:lang w:val="lt-LT"/>
        </w:rPr>
        <w:t xml:space="preserve">Vadovaujantis Tarnybai Įstatyme nustatyta pažeidimų prevencijos funkcija, šiuo metu atliekama Vilniaus lietuvių namų (toliau – Perkančioji organizacija) vykdomo pirkimo </w:t>
      </w:r>
      <w:r w:rsidRPr="00712EDB">
        <w:rPr>
          <w:rFonts w:ascii="Calibri" w:hAnsi="Calibri" w:cs="Calibri"/>
          <w:b/>
          <w:bCs/>
          <w:lang w:val="lt-LT"/>
        </w:rPr>
        <w:t>Nr. 4416611 „Vilniaus lietuvių namų bendrabučio paprastojo remonto darbai“</w:t>
      </w:r>
      <w:r w:rsidRPr="00712EDB">
        <w:rPr>
          <w:rFonts w:ascii="Calibri" w:hAnsi="Calibri" w:cs="Calibri"/>
          <w:lang w:val="lt-LT"/>
        </w:rPr>
        <w:t xml:space="preserve"> (toliau – Pirkimas) dokumentų atitikties Įstatymui ir jį įgyvendinantiems teisės aktams peržiūra (peržiūra prevenciniais tikslais atliekama tam tikra apimtimi).</w:t>
      </w:r>
    </w:p>
    <w:p w14:paraId="5177031E" w14:textId="77777777" w:rsidR="00781031" w:rsidRDefault="00781031" w:rsidP="00781031">
      <w:pPr>
        <w:spacing w:after="0" w:line="276" w:lineRule="auto"/>
        <w:ind w:firstLine="709"/>
        <w:rPr>
          <w:rFonts w:ascii="Calibri" w:hAnsi="Calibri" w:cs="Calibri"/>
          <w:lang w:val="lt-LT"/>
        </w:rPr>
      </w:pPr>
      <w:r w:rsidRPr="00712EDB">
        <w:rPr>
          <w:rFonts w:ascii="Calibri" w:hAnsi="Calibri" w:cs="Calibri"/>
          <w:lang w:val="lt-LT"/>
        </w:rPr>
        <w:t xml:space="preserve">Tarnyba, prevencine tvarka peržiūrėjusi Pirkimo dokumentus, teikia </w:t>
      </w:r>
      <w:r>
        <w:rPr>
          <w:rFonts w:ascii="Calibri" w:hAnsi="Calibri" w:cs="Calibri"/>
          <w:lang w:val="lt-LT"/>
        </w:rPr>
        <w:t xml:space="preserve">klausimus ir </w:t>
      </w:r>
      <w:r w:rsidRPr="00712EDB">
        <w:rPr>
          <w:rFonts w:ascii="Calibri" w:hAnsi="Calibri" w:cs="Calibri"/>
          <w:lang w:val="lt-LT"/>
        </w:rPr>
        <w:t>rekomendaciją (toliau – Rekomendacija) dėl Pirkimo dokumentų nuostatų.</w:t>
      </w:r>
    </w:p>
    <w:p w14:paraId="13682042" w14:textId="77777777" w:rsidR="00781031" w:rsidRPr="007640CF" w:rsidRDefault="00781031" w:rsidP="00781031">
      <w:pPr>
        <w:pStyle w:val="ListParagraph"/>
        <w:numPr>
          <w:ilvl w:val="0"/>
          <w:numId w:val="1"/>
        </w:numPr>
        <w:spacing w:after="0" w:line="276" w:lineRule="auto"/>
        <w:rPr>
          <w:rFonts w:ascii="Calibri" w:hAnsi="Calibri" w:cs="Calibri"/>
          <w:b/>
          <w:bCs/>
          <w:lang w:val="lt-LT"/>
        </w:rPr>
      </w:pPr>
      <w:r w:rsidRPr="007640CF">
        <w:rPr>
          <w:rFonts w:ascii="Calibri" w:hAnsi="Calibri" w:cs="Calibri"/>
          <w:b/>
          <w:bCs/>
          <w:lang w:val="lt-LT"/>
        </w:rPr>
        <w:t>Dėl Sutarties projekto nuostatų</w:t>
      </w:r>
    </w:p>
    <w:p w14:paraId="1CAA46D1" w14:textId="77777777" w:rsidR="00781031" w:rsidRPr="00063456" w:rsidRDefault="00781031" w:rsidP="00781031">
      <w:pPr>
        <w:pStyle w:val="ListParagraph"/>
        <w:numPr>
          <w:ilvl w:val="1"/>
          <w:numId w:val="1"/>
        </w:numPr>
        <w:spacing w:after="0" w:line="276" w:lineRule="auto"/>
        <w:ind w:left="0" w:firstLine="709"/>
        <w:rPr>
          <w:rFonts w:ascii="Calibri" w:hAnsi="Calibri" w:cs="Calibri"/>
          <w:lang w:val="lt-LT"/>
        </w:rPr>
      </w:pPr>
      <w:r w:rsidRPr="00BF33C8">
        <w:rPr>
          <w:rFonts w:ascii="Calibri" w:eastAsia="Calibri" w:hAnsi="Calibri" w:cs="Calibri"/>
          <w:noProof/>
          <w:lang w:val="lt-LT"/>
        </w:rPr>
        <w:t xml:space="preserve">Pirkimo </w:t>
      </w:r>
      <w:r>
        <w:rPr>
          <w:rFonts w:ascii="Calibri" w:eastAsia="Calibri" w:hAnsi="Calibri" w:cs="Calibri"/>
          <w:noProof/>
          <w:lang w:val="lt-LT"/>
        </w:rPr>
        <w:t xml:space="preserve">Specialiųjų </w:t>
      </w:r>
      <w:r w:rsidRPr="00BF33C8">
        <w:rPr>
          <w:rFonts w:ascii="Calibri" w:eastAsia="Calibri" w:hAnsi="Calibri" w:cs="Calibri"/>
          <w:noProof/>
          <w:lang w:val="lt-LT"/>
        </w:rPr>
        <w:t>sąlygų 1.</w:t>
      </w:r>
      <w:r>
        <w:rPr>
          <w:rFonts w:ascii="Calibri" w:eastAsia="Calibri" w:hAnsi="Calibri" w:cs="Calibri"/>
          <w:noProof/>
          <w:lang w:val="lt-LT"/>
        </w:rPr>
        <w:t>5</w:t>
      </w:r>
      <w:r w:rsidRPr="00BF33C8">
        <w:rPr>
          <w:rFonts w:ascii="Calibri" w:eastAsia="Calibri" w:hAnsi="Calibri" w:cs="Calibri"/>
          <w:noProof/>
          <w:lang w:val="lt-LT"/>
        </w:rPr>
        <w:t xml:space="preserve"> punkte nurodyta, kad</w:t>
      </w:r>
      <w:r>
        <w:rPr>
          <w:rFonts w:ascii="Calibri" w:eastAsia="Calibri" w:hAnsi="Calibri" w:cs="Calibri"/>
          <w:noProof/>
          <w:lang w:val="lt-LT"/>
        </w:rPr>
        <w:t xml:space="preserve"> „</w:t>
      </w:r>
      <w:r w:rsidRPr="00063456">
        <w:rPr>
          <w:rFonts w:ascii="Calibri" w:hAnsi="Calibri" w:cs="Calibri"/>
          <w:b/>
          <w:bCs/>
          <w:lang w:val="lt-LT"/>
        </w:rPr>
        <w:t>Atliekamas žaliasis pirkimas.</w:t>
      </w:r>
      <w:r w:rsidRPr="00270FB8">
        <w:rPr>
          <w:rFonts w:ascii="Calibri" w:hAnsi="Calibri" w:cs="Calibri"/>
          <w:lang w:val="lt-LT"/>
        </w:rPr>
        <w:t xml:space="preserve"> Pirkimas vykdomas vadovaujantis Lietuvos Respublikos aplinkos ministro 2011 m. birželio 28 d. įsakymo Nr. D1-508 „</w:t>
      </w:r>
      <w:hyperlink r:id="rId7" w:history="1">
        <w:r w:rsidRPr="00063456">
          <w:rPr>
            <w:rStyle w:val="Hyperlink"/>
            <w:rFonts w:ascii="Calibri" w:eastAsiaTheme="majorEastAsia" w:hAnsi="Calibri" w:cs="Calibri"/>
            <w:lang w:val="lt-LT"/>
          </w:rPr>
          <w:t>Dėl Aplinkos apsaugos kriterijų taikymo, vykdant žaliuosius pirkimus, tvarkos aprašo patvirtinimo</w:t>
        </w:r>
      </w:hyperlink>
      <w:r w:rsidRPr="00063456">
        <w:rPr>
          <w:rFonts w:ascii="Calibri" w:hAnsi="Calibri" w:cs="Calibri"/>
          <w:lang w:val="lt-LT"/>
        </w:rPr>
        <w:t xml:space="preserve">“ 4.3 punktu (-ais). Aplinkos apaugos kriterijai nustatyti specialiųjų pirkimo sąlygų 3 priedas „Tiekėjų kvalifikacijos reikalavimai ir reikalaujami kokybės bei aplinkos apsaugos vadybos sistemų standartai“. </w:t>
      </w:r>
    </w:p>
    <w:p w14:paraId="4B6B744D" w14:textId="77777777" w:rsidR="00781031" w:rsidRPr="002F4ADF" w:rsidRDefault="00781031" w:rsidP="00781031">
      <w:pPr>
        <w:pStyle w:val="ListParagraph"/>
        <w:spacing w:after="0" w:line="276" w:lineRule="auto"/>
        <w:ind w:left="0" w:firstLine="709"/>
        <w:rPr>
          <w:rFonts w:ascii="Calibri" w:eastAsia="Calibri" w:hAnsi="Calibri" w:cs="Calibri"/>
          <w:noProof/>
          <w:lang w:val="lt-LT"/>
        </w:rPr>
      </w:pPr>
      <w:r>
        <w:rPr>
          <w:rFonts w:ascii="Calibri" w:eastAsia="Calibri" w:hAnsi="Calibri" w:cs="Calibri"/>
          <w:noProof/>
          <w:lang w:val="lt-LT"/>
        </w:rPr>
        <w:t xml:space="preserve">Pirkimo Specialiųjų sąlygų 3 priedo </w:t>
      </w:r>
      <w:r w:rsidRPr="00063456">
        <w:rPr>
          <w:rFonts w:ascii="Calibri" w:hAnsi="Calibri" w:cs="Calibri"/>
          <w:lang w:val="lt-LT"/>
        </w:rPr>
        <w:t>„Tiekėjų kvalifikacijos reikalavimai ir reikalaujami kokybės bei aplinkos apsaugos vadybos sistemų standartai“</w:t>
      </w:r>
      <w:r>
        <w:rPr>
          <w:rFonts w:ascii="Calibri" w:hAnsi="Calibri" w:cs="Calibri"/>
          <w:lang w:val="lt-LT"/>
        </w:rPr>
        <w:t xml:space="preserve"> 2 lentelės „Aplinkos apsaugos vadybos sistemos taikymas“ 2.1 punkte nustatytas reikalavimas „</w:t>
      </w:r>
      <w:r w:rsidRPr="002F4ADF">
        <w:rPr>
          <w:rFonts w:ascii="Calibri" w:hAnsi="Calibri" w:cs="Calibri"/>
          <w:lang w:val="lt-LT"/>
        </w:rPr>
        <w:t>Perkamiems darbams (statybos darbams) tiekėjas taiko Europos Sąjungos aplinkos apsaugos vadybos ir audito sistemą (angl. Eco–Management and Audit Scheme, EMAS) arba kitas aplinkos apsaugos vadybos sistemas, &lt;...&gt;,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74598689" w14:textId="77777777" w:rsidR="00781031" w:rsidRPr="002F4ADF" w:rsidRDefault="00781031" w:rsidP="00781031">
      <w:pPr>
        <w:spacing w:after="0" w:line="276" w:lineRule="auto"/>
        <w:ind w:firstLine="709"/>
        <w:rPr>
          <w:rFonts w:ascii="Calibri" w:hAnsi="Calibri" w:cs="Calibri"/>
          <w:kern w:val="0"/>
          <w:lang w:val="lt-LT"/>
          <w14:ligatures w14:val="none"/>
        </w:rPr>
      </w:pPr>
      <w:r w:rsidRPr="002F4ADF">
        <w:rPr>
          <w:rFonts w:ascii="Calibri" w:hAnsi="Calibri" w:cs="Calibri"/>
          <w:lang w:val="lt-LT"/>
        </w:rPr>
        <w:t>Įvertinus tai, kad Pirkimo Specialiųjų sąlygų 1.</w:t>
      </w:r>
      <w:r>
        <w:rPr>
          <w:rFonts w:ascii="Calibri" w:hAnsi="Calibri" w:cs="Calibri"/>
          <w:lang w:val="lt-LT"/>
        </w:rPr>
        <w:t>5</w:t>
      </w:r>
      <w:r w:rsidRPr="002F4ADF">
        <w:rPr>
          <w:rFonts w:ascii="Calibri" w:hAnsi="Calibri" w:cs="Calibri"/>
          <w:lang w:val="lt-LT"/>
        </w:rPr>
        <w:t xml:space="preserve"> punkte nustatyta, jog atliekamas žaliasis pirkimas pagal Tvarkos aprašo 4.3 punktą, </w:t>
      </w:r>
      <w:r w:rsidRPr="002F4ADF">
        <w:rPr>
          <w:rFonts w:ascii="Calibri" w:hAnsi="Calibri" w:cs="Calibri"/>
          <w:b/>
          <w:bCs/>
          <w:kern w:val="0"/>
          <w:lang w:val="lt-LT"/>
          <w14:ligatures w14:val="none"/>
        </w:rPr>
        <w:t>aplinkos apsaugos vadybos sistemos reikalavimai visa apimtimi turi būti tinkamai nustatyti ne tik Pirkimo dokumentuose, bet ir Sutarties projekte</w:t>
      </w:r>
      <w:r>
        <w:rPr>
          <w:rFonts w:ascii="Calibri" w:hAnsi="Calibri" w:cs="Calibri"/>
          <w:b/>
          <w:bCs/>
          <w:kern w:val="0"/>
          <w:lang w:val="lt-LT"/>
          <w14:ligatures w14:val="none"/>
        </w:rPr>
        <w:t xml:space="preserve"> </w:t>
      </w:r>
      <w:r w:rsidRPr="005B0A69">
        <w:rPr>
          <w:rFonts w:ascii="Calibri" w:hAnsi="Calibri" w:cs="Calibri"/>
          <w:kern w:val="0"/>
          <w:lang w:val="lt-LT"/>
          <w14:ligatures w14:val="none"/>
        </w:rPr>
        <w:t>(Pirkimo Specialiųjų sąlygų 6 priedas)</w:t>
      </w:r>
      <w:r w:rsidRPr="002F4ADF">
        <w:rPr>
          <w:rFonts w:ascii="Calibri" w:hAnsi="Calibri" w:cs="Calibri"/>
          <w:kern w:val="0"/>
          <w:lang w:val="lt-LT"/>
          <w14:ligatures w14:val="none"/>
        </w:rPr>
        <w:t xml:space="preserve"> – </w:t>
      </w:r>
      <w:r w:rsidRPr="009D4D79">
        <w:rPr>
          <w:rFonts w:ascii="Calibri" w:hAnsi="Calibri" w:cs="Calibri"/>
          <w:b/>
          <w:bCs/>
          <w:kern w:val="0"/>
          <w:lang w:val="lt-LT"/>
          <w14:ligatures w14:val="none"/>
        </w:rPr>
        <w:t>aiškiai įtvirtinant rangovo pareigą laikytis tokių įsipareigojimų</w:t>
      </w:r>
      <w:r w:rsidRPr="002F4ADF">
        <w:rPr>
          <w:rFonts w:ascii="Calibri" w:hAnsi="Calibri" w:cs="Calibri"/>
          <w:kern w:val="0"/>
          <w:lang w:val="lt-LT"/>
          <w14:ligatures w14:val="none"/>
        </w:rPr>
        <w:t xml:space="preserve">. Perkančioji organizacija, siekdama pirkimą vykdyti kaip žaliąjį pirkimą, privalo užtikrinti žaliojo pirkimo sąlygų laikymosi priežiūrą bei kontrolę sutarties vykdymo metu. Sutarties projekte taip pat turi būti </w:t>
      </w:r>
      <w:r w:rsidRPr="00320657">
        <w:rPr>
          <w:rFonts w:ascii="Calibri" w:hAnsi="Calibri" w:cs="Calibri"/>
          <w:kern w:val="0"/>
          <w:lang w:val="lt-LT"/>
          <w14:ligatures w14:val="none"/>
        </w:rPr>
        <w:t xml:space="preserve">numatytas </w:t>
      </w:r>
      <w:r w:rsidRPr="009D4D79">
        <w:rPr>
          <w:rFonts w:ascii="Calibri" w:hAnsi="Calibri" w:cs="Calibri"/>
          <w:kern w:val="0"/>
          <w:lang w:val="lt-LT"/>
          <w14:ligatures w14:val="none"/>
        </w:rPr>
        <w:t>kontrolės mechanizmas</w:t>
      </w:r>
      <w:r w:rsidRPr="00320657">
        <w:rPr>
          <w:rFonts w:ascii="Calibri" w:hAnsi="Calibri" w:cs="Calibri"/>
          <w:kern w:val="0"/>
          <w:lang w:val="lt-LT"/>
          <w14:ligatures w14:val="none"/>
        </w:rPr>
        <w:t xml:space="preserve">, kaip Perkančioji organizacija kontroliuos rangovo pareigą sutarties vykdymo metu taikyti aplinkos apsaugos vadybos sistemos reikalavimus ir koks bus </w:t>
      </w:r>
      <w:r w:rsidRPr="009D4D79">
        <w:rPr>
          <w:rFonts w:ascii="Calibri" w:hAnsi="Calibri" w:cs="Calibri"/>
          <w:kern w:val="0"/>
          <w:lang w:val="lt-LT"/>
          <w14:ligatures w14:val="none"/>
        </w:rPr>
        <w:t>sankcijų mechanizmas</w:t>
      </w:r>
      <w:r w:rsidRPr="00320657">
        <w:rPr>
          <w:rFonts w:ascii="Calibri" w:hAnsi="Calibri" w:cs="Calibri"/>
          <w:kern w:val="0"/>
          <w:lang w:val="lt-LT"/>
          <w14:ligatures w14:val="none"/>
        </w:rPr>
        <w:t>,</w:t>
      </w:r>
      <w:r w:rsidRPr="002F4ADF">
        <w:rPr>
          <w:rFonts w:ascii="Calibri" w:hAnsi="Calibri" w:cs="Calibri"/>
          <w:kern w:val="0"/>
          <w:lang w:val="lt-LT"/>
          <w14:ligatures w14:val="none"/>
        </w:rPr>
        <w:t xml:space="preserve"> jeigu </w:t>
      </w:r>
      <w:r>
        <w:rPr>
          <w:rFonts w:ascii="Calibri" w:hAnsi="Calibri" w:cs="Calibri"/>
          <w:kern w:val="0"/>
          <w:lang w:val="lt-LT"/>
          <w14:ligatures w14:val="none"/>
        </w:rPr>
        <w:t>rangovas</w:t>
      </w:r>
      <w:r w:rsidRPr="002F4ADF">
        <w:rPr>
          <w:rFonts w:ascii="Calibri" w:hAnsi="Calibri" w:cs="Calibri"/>
          <w:kern w:val="0"/>
          <w:lang w:val="lt-LT"/>
          <w14:ligatures w14:val="none"/>
        </w:rPr>
        <w:t xml:space="preserve"> šios pareigos nevykdys. Atsižvelgiant į nurodytą, rekomenduotina tikslinti Sutarties projektą.</w:t>
      </w:r>
    </w:p>
    <w:p w14:paraId="298B2A6F" w14:textId="77777777" w:rsidR="00781031" w:rsidRPr="0044073B" w:rsidRDefault="00781031" w:rsidP="00781031">
      <w:pPr>
        <w:pStyle w:val="ListParagraph"/>
        <w:numPr>
          <w:ilvl w:val="1"/>
          <w:numId w:val="1"/>
        </w:numPr>
        <w:tabs>
          <w:tab w:val="left" w:pos="1134"/>
        </w:tabs>
        <w:spacing w:after="0" w:line="276" w:lineRule="auto"/>
        <w:ind w:left="0" w:firstLine="709"/>
        <w:rPr>
          <w:rStyle w:val="normaltextrun"/>
          <w:rFonts w:ascii="Calibri" w:hAnsi="Calibri" w:cs="Calibri"/>
          <w:lang w:val="lt-LT"/>
        </w:rPr>
      </w:pPr>
      <w:r w:rsidRPr="003D1538">
        <w:rPr>
          <w:rStyle w:val="normaltextrun"/>
          <w:rFonts w:ascii="Calibri" w:hAnsi="Calibri" w:cs="Calibri"/>
          <w:lang w:val="lt"/>
        </w:rPr>
        <w:t xml:space="preserve">Įstatymo 87 straipsnio 2 dalyje yra nustatyti privalomi viešųjų pirkimų sutarties turinio elementai, tarp kurių: sutarties nutraukimo atvejai, įskaitant </w:t>
      </w:r>
      <w:r w:rsidRPr="003D1538">
        <w:rPr>
          <w:rStyle w:val="normaltextrun"/>
          <w:rFonts w:ascii="Calibri" w:hAnsi="Calibri" w:cs="Calibri"/>
          <w:b/>
          <w:bCs/>
          <w:lang w:val="lt"/>
        </w:rPr>
        <w:t>Įstatymo 90 straipsnyje</w:t>
      </w:r>
      <w:r w:rsidRPr="003D1538">
        <w:rPr>
          <w:rStyle w:val="normaltextrun"/>
          <w:rFonts w:ascii="Calibri" w:hAnsi="Calibri" w:cs="Calibri"/>
          <w:lang w:val="lt"/>
        </w:rPr>
        <w:t xml:space="preserve"> nurodytus atvejus (Įstatymo 87 straipsnio 2 dalies 9 punktas) (šiuo atveju nenurodyti Įstatymo </w:t>
      </w:r>
      <w:r w:rsidRPr="003D1538">
        <w:rPr>
          <w:rStyle w:val="normaltextrun"/>
          <w:rFonts w:ascii="Calibri" w:hAnsi="Calibri" w:cs="Calibri"/>
          <w:lang w:val="lt"/>
        </w:rPr>
        <w:lastRenderedPageBreak/>
        <w:t>90 straipsnyje nurodyti atvejai)</w:t>
      </w:r>
      <w:r>
        <w:rPr>
          <w:rStyle w:val="normaltextrun"/>
          <w:rFonts w:ascii="Calibri" w:hAnsi="Calibri" w:cs="Calibri"/>
          <w:lang w:val="lt"/>
        </w:rPr>
        <w:t>;</w:t>
      </w:r>
      <w:r w:rsidRPr="003D1538">
        <w:rPr>
          <w:rStyle w:val="normaltextrun"/>
          <w:rFonts w:ascii="Calibri" w:hAnsi="Calibri" w:cs="Calibri"/>
          <w:lang w:val="lt"/>
        </w:rPr>
        <w:t xml:space="preserve"> </w:t>
      </w:r>
      <w:r w:rsidRPr="003D1538">
        <w:rPr>
          <w:rFonts w:ascii="Calibri" w:hAnsi="Calibri" w:cs="Calibri"/>
          <w:b/>
          <w:bCs/>
          <w:lang w:val="lt"/>
        </w:rPr>
        <w:t>subtiekėjai</w:t>
      </w:r>
      <w:r w:rsidRPr="003D1538">
        <w:rPr>
          <w:rFonts w:ascii="Calibri" w:hAnsi="Calibri" w:cs="Calibri"/>
          <w:lang w:val="lt"/>
        </w:rPr>
        <w:t xml:space="preserve">, jeigu vykdant pirkimo sutartį jie pasitelkiami, </w:t>
      </w:r>
      <w:r w:rsidRPr="003D1538">
        <w:rPr>
          <w:rFonts w:ascii="Calibri" w:hAnsi="Calibri" w:cs="Calibri"/>
          <w:b/>
          <w:bCs/>
          <w:lang w:val="lt"/>
        </w:rPr>
        <w:t>ir jų keitimo tvarka</w:t>
      </w:r>
      <w:r w:rsidRPr="003D1538">
        <w:rPr>
          <w:rFonts w:ascii="Calibri" w:hAnsi="Calibri" w:cs="Calibri"/>
          <w:lang w:val="lt"/>
        </w:rPr>
        <w:t xml:space="preserve"> </w:t>
      </w:r>
      <w:r w:rsidRPr="003D1538">
        <w:rPr>
          <w:rStyle w:val="normaltextrun"/>
          <w:rFonts w:ascii="Calibri" w:hAnsi="Calibri" w:cs="Calibri"/>
          <w:lang w:val="lt"/>
        </w:rPr>
        <w:t>(Įstatymo 87 straipsnio 2 dalies 11 punktas)</w:t>
      </w:r>
      <w:r>
        <w:rPr>
          <w:rStyle w:val="normaltextrun"/>
          <w:rFonts w:ascii="Calibri" w:hAnsi="Calibri" w:cs="Calibri"/>
          <w:lang w:val="lt"/>
        </w:rPr>
        <w:t xml:space="preserve">; </w:t>
      </w:r>
      <w:r w:rsidRPr="003D1538">
        <w:rPr>
          <w:rFonts w:ascii="Calibri" w:hAnsi="Calibri" w:cs="Calibri"/>
          <w:lang w:val="lt-LT"/>
        </w:rPr>
        <w:t xml:space="preserve">perkančiosios organizacijos vadovo sprendimu skiriamas </w:t>
      </w:r>
      <w:r w:rsidRPr="003D1538">
        <w:rPr>
          <w:rFonts w:ascii="Calibri" w:hAnsi="Calibri" w:cs="Calibri"/>
          <w:b/>
          <w:bCs/>
          <w:lang w:val="lt-LT"/>
        </w:rPr>
        <w:t>asmuo (asmenys), atsakingas (atsakingi) už sutarties vykdymą</w:t>
      </w:r>
      <w:r w:rsidRPr="003D1538">
        <w:rPr>
          <w:rFonts w:ascii="Calibri" w:hAnsi="Calibri" w:cs="Calibri"/>
          <w:lang w:val="lt-LT"/>
        </w:rPr>
        <w:t xml:space="preserve"> </w:t>
      </w:r>
      <w:r w:rsidRPr="003D1538">
        <w:rPr>
          <w:rStyle w:val="normaltextrun"/>
          <w:rFonts w:ascii="Calibri" w:hAnsi="Calibri" w:cs="Calibri"/>
          <w:lang w:val="lt"/>
        </w:rPr>
        <w:t>(Įstatymo 87 straipsnio 2 dalies 12 punktas)</w:t>
      </w:r>
      <w:r w:rsidRPr="003D1538">
        <w:rPr>
          <w:rFonts w:ascii="Calibri" w:hAnsi="Calibri" w:cs="Calibri"/>
          <w:lang w:val="lt-LT"/>
        </w:rPr>
        <w:t xml:space="preserve">. Įvertinus Sutarties projektą (Pirkimo Specialiųjų sąlygų 6 priedas), nustatyta, kad aukščiau minimi </w:t>
      </w:r>
      <w:r w:rsidRPr="003D1538">
        <w:rPr>
          <w:rStyle w:val="normaltextrun"/>
          <w:rFonts w:ascii="Calibri" w:hAnsi="Calibri" w:cs="Calibri"/>
          <w:lang w:val="lt"/>
        </w:rPr>
        <w:t xml:space="preserve">viešųjų pirkimų sutarties turinio elementai neįtraukti į </w:t>
      </w:r>
      <w:r w:rsidRPr="0044073B">
        <w:rPr>
          <w:rStyle w:val="normaltextrun"/>
          <w:rFonts w:ascii="Calibri" w:hAnsi="Calibri" w:cs="Calibri"/>
          <w:lang w:val="lt"/>
        </w:rPr>
        <w:t>Sutarties projektą. Atsižvelgiant į tai, Tarnyba rekomenduoja tikslinti Sutarties projektą.</w:t>
      </w:r>
    </w:p>
    <w:p w14:paraId="5AE7B71E" w14:textId="77777777" w:rsidR="00781031" w:rsidRPr="0044073B" w:rsidRDefault="00781031" w:rsidP="00781031">
      <w:pPr>
        <w:pStyle w:val="ListParagraph"/>
        <w:numPr>
          <w:ilvl w:val="1"/>
          <w:numId w:val="1"/>
        </w:numPr>
        <w:tabs>
          <w:tab w:val="num" w:pos="567"/>
          <w:tab w:val="left" w:pos="1134"/>
        </w:tabs>
        <w:suppressAutoHyphens/>
        <w:spacing w:after="0" w:line="276" w:lineRule="auto"/>
        <w:ind w:left="0" w:firstLine="709"/>
        <w:rPr>
          <w:rFonts w:ascii="Calibri" w:eastAsia="MS Mincho" w:hAnsi="Calibri" w:cs="Calibri"/>
          <w:noProof/>
          <w:lang w:val="lt-LT"/>
        </w:rPr>
      </w:pPr>
      <w:r w:rsidRPr="0044073B">
        <w:rPr>
          <w:rStyle w:val="normaltextrun"/>
          <w:rFonts w:ascii="Calibri" w:hAnsi="Calibri" w:cs="Calibri"/>
          <w:lang w:val="lt"/>
        </w:rPr>
        <w:t>Sutarties projekto 10.2 punkte nustatyta, kad „</w:t>
      </w:r>
      <w:r w:rsidRPr="0044073B">
        <w:rPr>
          <w:rFonts w:ascii="Calibri" w:eastAsia="MS Mincho" w:hAnsi="Calibri" w:cs="Calibri"/>
          <w:noProof/>
          <w:lang w:val="lt"/>
        </w:rPr>
        <w:t xml:space="preserve">Sutarties vykdymo laikotarpiu, Rangovui &lt;...&gt; vykdžius sutartinius įsipareigojimus netinkamai (atlikus (-ant) darbus nekokybiškai, su defektais, taip pat </w:t>
      </w:r>
      <w:r w:rsidRPr="0044073B">
        <w:rPr>
          <w:rFonts w:ascii="Calibri" w:eastAsia="MS Mincho" w:hAnsi="Calibri" w:cs="Calibri"/>
          <w:b/>
          <w:bCs/>
          <w:noProof/>
          <w:lang w:val="lt"/>
        </w:rPr>
        <w:t>vilkinant Darbus</w:t>
      </w:r>
      <w:r w:rsidRPr="0044073B">
        <w:rPr>
          <w:rFonts w:ascii="Calibri" w:eastAsia="MS Mincho" w:hAnsi="Calibri" w:cs="Calibri"/>
          <w:noProof/>
          <w:lang w:val="lt"/>
        </w:rPr>
        <w:t xml:space="preserve"> </w:t>
      </w:r>
      <w:r>
        <w:rPr>
          <w:rFonts w:ascii="Calibri" w:eastAsia="MS Mincho" w:hAnsi="Calibri" w:cs="Calibri"/>
          <w:noProof/>
          <w:lang w:val="lt"/>
        </w:rPr>
        <w:t>&lt;...&gt;</w:t>
      </w:r>
      <w:r w:rsidRPr="0044073B">
        <w:rPr>
          <w:rFonts w:ascii="Calibri" w:eastAsia="MS Mincho" w:hAnsi="Calibri" w:cs="Calibri"/>
          <w:noProof/>
          <w:lang w:val="lt"/>
        </w:rPr>
        <w:t xml:space="preserve">), Perkančiajai organizacijai pareikalavus, Rangovas sumokės Perkančiajai organizacijai </w:t>
      </w:r>
      <w:r w:rsidRPr="0044073B">
        <w:rPr>
          <w:rFonts w:ascii="Calibri" w:eastAsia="MS Mincho" w:hAnsi="Calibri" w:cs="Calibri"/>
          <w:b/>
          <w:bCs/>
          <w:noProof/>
          <w:lang w:val="lt"/>
        </w:rPr>
        <w:t xml:space="preserve">0,02 (dviejų šimtųjų) procento delspinigių </w:t>
      </w:r>
      <w:r w:rsidRPr="0044073B">
        <w:rPr>
          <w:rFonts w:ascii="Calibri" w:eastAsia="MS Mincho" w:hAnsi="Calibri" w:cs="Calibri"/>
          <w:noProof/>
          <w:lang w:val="lt"/>
        </w:rPr>
        <w:t>už kiekvieną pavėluotą dieną</w:t>
      </w:r>
      <w:r w:rsidRPr="0044073B">
        <w:rPr>
          <w:rFonts w:ascii="Calibri" w:eastAsia="MS Mincho" w:hAnsi="Calibri" w:cs="Calibri"/>
          <w:b/>
          <w:bCs/>
          <w:noProof/>
          <w:lang w:val="lt"/>
        </w:rPr>
        <w:t xml:space="preserve"> </w:t>
      </w:r>
      <w:r w:rsidRPr="009D09E4">
        <w:rPr>
          <w:rFonts w:ascii="Calibri" w:eastAsia="MS Mincho" w:hAnsi="Calibri" w:cs="Calibri"/>
          <w:b/>
          <w:bCs/>
          <w:noProof/>
          <w:lang w:val="lt"/>
        </w:rPr>
        <w:t>nuo sutarties sumos</w:t>
      </w:r>
      <w:r w:rsidRPr="009D4D79">
        <w:rPr>
          <w:rFonts w:ascii="Calibri" w:eastAsia="MS Mincho" w:hAnsi="Calibri" w:cs="Calibri"/>
          <w:noProof/>
          <w:lang w:val="lt"/>
        </w:rPr>
        <w:t>“.</w:t>
      </w:r>
      <w:r w:rsidRPr="009D09E4">
        <w:rPr>
          <w:rFonts w:ascii="Calibri" w:eastAsia="MS Mincho" w:hAnsi="Calibri" w:cs="Calibri"/>
          <w:b/>
          <w:bCs/>
          <w:noProof/>
          <w:lang w:val="lt"/>
        </w:rPr>
        <w:t xml:space="preserve"> </w:t>
      </w:r>
      <w:r w:rsidRPr="009D09E4">
        <w:rPr>
          <w:rFonts w:ascii="Calibri" w:eastAsia="MS Mincho" w:hAnsi="Calibri" w:cs="Calibri"/>
          <w:noProof/>
          <w:lang w:val="lt"/>
        </w:rPr>
        <w:t>Tuo</w:t>
      </w:r>
      <w:r w:rsidRPr="0044073B">
        <w:rPr>
          <w:rFonts w:ascii="Calibri" w:eastAsia="MS Mincho" w:hAnsi="Calibri" w:cs="Calibri"/>
          <w:noProof/>
          <w:lang w:val="lt"/>
        </w:rPr>
        <w:t xml:space="preserve"> tarpu Sutarties projekto 10.3 punkte nustatyta, kad „R</w:t>
      </w:r>
      <w:r w:rsidRPr="0044073B">
        <w:rPr>
          <w:rFonts w:ascii="Calibri" w:eastAsia="MS Mincho" w:hAnsi="Calibri" w:cs="Calibri"/>
          <w:noProof/>
          <w:lang w:val="lt-LT"/>
        </w:rPr>
        <w:t xml:space="preserve">angovui </w:t>
      </w:r>
      <w:r w:rsidRPr="0044073B">
        <w:rPr>
          <w:rFonts w:ascii="Calibri" w:eastAsia="MS Mincho" w:hAnsi="Calibri" w:cs="Calibri"/>
          <w:b/>
          <w:bCs/>
          <w:noProof/>
          <w:lang w:val="lt-LT"/>
        </w:rPr>
        <w:t>vėluojant atlikti Darbus numatytu laiku</w:t>
      </w:r>
      <w:r w:rsidRPr="0044073B">
        <w:rPr>
          <w:rFonts w:ascii="Calibri" w:eastAsia="MS Mincho" w:hAnsi="Calibri" w:cs="Calibri"/>
          <w:noProof/>
          <w:lang w:val="lt-LT"/>
        </w:rPr>
        <w:t xml:space="preserve"> ir nepateikus Perkančiajai organizacijai pagrįstų įrodymų, pateisinančių darbų vėlavimą, Rangovas moka Perkančiajai organizacijai </w:t>
      </w:r>
      <w:r w:rsidRPr="0044073B">
        <w:rPr>
          <w:rFonts w:ascii="Calibri" w:eastAsia="MS Mincho" w:hAnsi="Calibri" w:cs="Calibri"/>
          <w:b/>
          <w:bCs/>
          <w:noProof/>
          <w:lang w:val="lt-LT"/>
        </w:rPr>
        <w:t>0,02 (dviejų šimtųjų) dydžio</w:t>
      </w:r>
      <w:r w:rsidRPr="0044073B">
        <w:rPr>
          <w:rFonts w:ascii="Calibri" w:eastAsia="MS Mincho" w:hAnsi="Calibri" w:cs="Calibri"/>
          <w:noProof/>
          <w:lang w:val="lt-LT"/>
        </w:rPr>
        <w:t xml:space="preserve"> </w:t>
      </w:r>
      <w:r w:rsidRPr="0044073B">
        <w:rPr>
          <w:rFonts w:ascii="Calibri" w:eastAsia="MS Mincho" w:hAnsi="Calibri" w:cs="Calibri"/>
          <w:b/>
          <w:bCs/>
          <w:noProof/>
          <w:lang w:val="lt-LT"/>
        </w:rPr>
        <w:t>delspinigius</w:t>
      </w:r>
      <w:r w:rsidRPr="0044073B">
        <w:rPr>
          <w:rFonts w:ascii="Calibri" w:eastAsia="MS Mincho" w:hAnsi="Calibri" w:cs="Calibri"/>
          <w:noProof/>
          <w:lang w:val="lt-LT"/>
        </w:rPr>
        <w:t xml:space="preserve"> už kiekvieną pavėluotą dieną </w:t>
      </w:r>
      <w:r w:rsidRPr="0044073B">
        <w:rPr>
          <w:rFonts w:ascii="Calibri" w:eastAsia="MS Mincho" w:hAnsi="Calibri" w:cs="Calibri"/>
          <w:b/>
          <w:bCs/>
          <w:noProof/>
          <w:lang w:val="lt-LT"/>
        </w:rPr>
        <w:t>nuo rangovo vėluojamų atlikti darbų kainos su PVM</w:t>
      </w:r>
      <w:r w:rsidRPr="0044073B">
        <w:rPr>
          <w:rFonts w:ascii="Calibri" w:eastAsia="MS Mincho" w:hAnsi="Calibri" w:cs="Calibri"/>
          <w:noProof/>
          <w:lang w:val="lt-LT"/>
        </w:rPr>
        <w:t xml:space="preserve"> iki bus atliktas Darbas ar Darbų grupė. &lt;...&gt;“</w:t>
      </w:r>
      <w:r>
        <w:rPr>
          <w:rFonts w:ascii="Calibri" w:eastAsia="MS Mincho" w:hAnsi="Calibri" w:cs="Calibri"/>
          <w:noProof/>
          <w:lang w:val="lt-LT"/>
        </w:rPr>
        <w:t>. Prašome paaiškinti, kuo skiriasi Sutarties projekte nurodytos salygos „vilkinti darbus“ ir „vėluoti atlikti darbus“ bei kodėl skiriasi delspinigių dydis? Taip pat prašome paaiškinti sąvoką „sutarties suma“.</w:t>
      </w:r>
    </w:p>
    <w:p w14:paraId="0668EF17" w14:textId="77777777" w:rsidR="00781031" w:rsidRPr="00F3298E" w:rsidRDefault="00781031" w:rsidP="00781031">
      <w:pPr>
        <w:pStyle w:val="ListParagraph"/>
        <w:numPr>
          <w:ilvl w:val="0"/>
          <w:numId w:val="1"/>
        </w:numPr>
        <w:tabs>
          <w:tab w:val="left" w:pos="1134"/>
        </w:tabs>
        <w:spacing w:after="0" w:line="276" w:lineRule="auto"/>
        <w:rPr>
          <w:rFonts w:ascii="Calibri" w:hAnsi="Calibri" w:cs="Calibri"/>
          <w:b/>
          <w:bCs/>
          <w:lang w:val="lt-LT"/>
        </w:rPr>
      </w:pPr>
      <w:r w:rsidRPr="00F3298E">
        <w:rPr>
          <w:rFonts w:ascii="Calibri" w:hAnsi="Calibri" w:cs="Calibri"/>
          <w:b/>
          <w:bCs/>
          <w:lang w:val="lt-LT"/>
        </w:rPr>
        <w:t>Dėl kvalifikacijos reikalavimų</w:t>
      </w:r>
    </w:p>
    <w:p w14:paraId="02A8FC22" w14:textId="77777777" w:rsidR="00781031" w:rsidRDefault="00781031" w:rsidP="00781031">
      <w:pPr>
        <w:tabs>
          <w:tab w:val="left" w:pos="567"/>
          <w:tab w:val="left" w:pos="1272"/>
        </w:tabs>
        <w:spacing w:after="0" w:line="276" w:lineRule="auto"/>
        <w:ind w:firstLine="709"/>
        <w:rPr>
          <w:rFonts w:ascii="Calibri" w:hAnsi="Calibri" w:cs="Calibri"/>
          <w:color w:val="000000"/>
          <w:lang w:val="lt-LT"/>
        </w:rPr>
      </w:pPr>
      <w:r>
        <w:rPr>
          <w:rFonts w:ascii="Calibri" w:eastAsia="Calibri" w:hAnsi="Calibri" w:cs="Calibri"/>
          <w:lang w:val="lt-LT" w:eastAsia="lt-LT"/>
        </w:rPr>
        <w:t xml:space="preserve">Tarnyba rekomenduoja </w:t>
      </w:r>
      <w:r w:rsidRPr="00F3298E">
        <w:rPr>
          <w:rFonts w:ascii="Calibri" w:eastAsia="Calibri" w:hAnsi="Calibri" w:cs="Calibri"/>
          <w:lang w:val="lt-LT" w:eastAsia="lt-LT"/>
        </w:rPr>
        <w:t xml:space="preserve">Pirkimo </w:t>
      </w:r>
      <w:r>
        <w:rPr>
          <w:rFonts w:ascii="Calibri" w:eastAsia="Calibri" w:hAnsi="Calibri" w:cs="Calibri"/>
          <w:lang w:val="lt-LT" w:eastAsia="lt-LT"/>
        </w:rPr>
        <w:t xml:space="preserve">Specialiųjų sąlygų </w:t>
      </w:r>
      <w:r>
        <w:rPr>
          <w:rFonts w:ascii="Calibri" w:eastAsia="Calibri" w:hAnsi="Calibri" w:cs="Calibri"/>
          <w:noProof/>
          <w:lang w:val="lt-LT"/>
        </w:rPr>
        <w:t xml:space="preserve">3 priedo </w:t>
      </w:r>
      <w:r w:rsidRPr="00063456">
        <w:rPr>
          <w:rFonts w:ascii="Calibri" w:hAnsi="Calibri" w:cs="Calibri"/>
          <w:lang w:val="lt-LT"/>
        </w:rPr>
        <w:t xml:space="preserve">„Tiekėjų kvalifikacijos reikalavimai ir reikalaujami kokybės bei </w:t>
      </w:r>
      <w:r w:rsidRPr="00BC550B">
        <w:rPr>
          <w:rFonts w:ascii="Calibri" w:hAnsi="Calibri" w:cs="Calibri"/>
          <w:lang w:val="lt-LT"/>
        </w:rPr>
        <w:t>aplinkos apsaugos vadybos sistemų standartai“ 1 lentelę „Kvalifikacijos reikalavimai“</w:t>
      </w:r>
      <w:r>
        <w:rPr>
          <w:rFonts w:ascii="Calibri" w:hAnsi="Calibri" w:cs="Calibri"/>
          <w:lang w:val="lt-LT"/>
        </w:rPr>
        <w:t xml:space="preserve"> (toliau – </w:t>
      </w:r>
      <w:r w:rsidRPr="00BC550B">
        <w:rPr>
          <w:rFonts w:ascii="Calibri" w:hAnsi="Calibri" w:cs="Calibri"/>
          <w:lang w:val="lt-LT"/>
        </w:rPr>
        <w:t>Kvalifikacijos reikalavimai</w:t>
      </w:r>
      <w:r>
        <w:rPr>
          <w:rFonts w:ascii="Calibri" w:hAnsi="Calibri" w:cs="Calibri"/>
          <w:lang w:val="lt-LT"/>
        </w:rPr>
        <w:t>)</w:t>
      </w:r>
      <w:r w:rsidRPr="00BC550B">
        <w:rPr>
          <w:rFonts w:ascii="Calibri" w:hAnsi="Calibri" w:cs="Calibri"/>
          <w:lang w:val="lt-LT"/>
        </w:rPr>
        <w:t xml:space="preserve"> papildyti skiltimi „</w:t>
      </w:r>
      <w:r w:rsidRPr="004D0ADB">
        <w:rPr>
          <w:rFonts w:ascii="Calibri" w:hAnsi="Calibri" w:cs="Calibri"/>
          <w:b/>
          <w:bCs/>
          <w:color w:val="000000"/>
          <w:lang w:val="lt-LT"/>
        </w:rPr>
        <w:t>Subjektas, kuris turi atitikti reikalavimą</w:t>
      </w:r>
      <w:r>
        <w:rPr>
          <w:rFonts w:ascii="Calibri" w:hAnsi="Calibri" w:cs="Calibri"/>
          <w:color w:val="000000"/>
          <w:lang w:val="lt-LT"/>
        </w:rPr>
        <w:t xml:space="preserve">“. </w:t>
      </w:r>
    </w:p>
    <w:p w14:paraId="27DD4F5D" w14:textId="77777777" w:rsidR="00781031" w:rsidRDefault="00781031" w:rsidP="00781031">
      <w:pPr>
        <w:tabs>
          <w:tab w:val="left" w:pos="567"/>
          <w:tab w:val="left" w:pos="1272"/>
        </w:tabs>
        <w:spacing w:after="0" w:line="276" w:lineRule="auto"/>
        <w:ind w:firstLine="709"/>
        <w:rPr>
          <w:rFonts w:ascii="Calibri" w:eastAsia="Calibri" w:hAnsi="Calibri" w:cs="Calibri"/>
          <w:lang w:val="lt-LT" w:eastAsia="lt-LT"/>
        </w:rPr>
      </w:pPr>
      <w:r>
        <w:rPr>
          <w:rFonts w:ascii="Calibri" w:hAnsi="Calibri" w:cs="Calibri"/>
          <w:color w:val="000000"/>
          <w:lang w:val="lt-LT"/>
        </w:rPr>
        <w:t xml:space="preserve">Paprastai </w:t>
      </w:r>
      <w:r w:rsidRPr="00BC550B">
        <w:rPr>
          <w:rFonts w:ascii="Calibri" w:hAnsi="Calibri" w:cs="Calibri"/>
          <w:lang w:val="lt-LT"/>
        </w:rPr>
        <w:t>Kvalifikacijos reikalavim</w:t>
      </w:r>
      <w:r>
        <w:rPr>
          <w:rFonts w:ascii="Calibri" w:hAnsi="Calibri" w:cs="Calibri"/>
          <w:lang w:val="lt-LT"/>
        </w:rPr>
        <w:t xml:space="preserve">ų 1 eilutėje </w:t>
      </w:r>
      <w:r w:rsidRPr="00F3298E">
        <w:rPr>
          <w:rFonts w:ascii="Calibri" w:eastAsia="Calibri" w:hAnsi="Calibri" w:cs="Calibri"/>
          <w:lang w:val="lt-LT" w:eastAsia="lt-LT"/>
        </w:rPr>
        <w:t>nustatomi tokie reikalavimai:</w:t>
      </w:r>
      <w:r>
        <w:rPr>
          <w:rFonts w:ascii="Calibri" w:eastAsia="Calibri" w:hAnsi="Calibri" w:cs="Calibri"/>
          <w:lang w:val="lt-LT" w:eastAsia="lt-LT"/>
        </w:rPr>
        <w:t xml:space="preserve"> </w:t>
      </w:r>
    </w:p>
    <w:p w14:paraId="703A604D" w14:textId="77777777" w:rsidR="00781031" w:rsidRPr="008A1209" w:rsidRDefault="00781031" w:rsidP="00781031">
      <w:pPr>
        <w:tabs>
          <w:tab w:val="left" w:pos="567"/>
          <w:tab w:val="left" w:pos="1272"/>
        </w:tabs>
        <w:spacing w:after="0" w:line="276" w:lineRule="auto"/>
        <w:ind w:firstLine="709"/>
        <w:rPr>
          <w:rFonts w:ascii="Calibri" w:eastAsia="Calibri" w:hAnsi="Calibri" w:cs="Calibri"/>
          <w:lang w:val="lt-LT" w:eastAsia="lt-LT"/>
        </w:rPr>
      </w:pPr>
      <w:r>
        <w:rPr>
          <w:rFonts w:ascii="Calibri" w:eastAsia="Calibri" w:hAnsi="Calibri" w:cs="Calibri"/>
          <w:lang w:val="lt-LT" w:eastAsia="lt-LT"/>
        </w:rPr>
        <w:t xml:space="preserve">„- </w:t>
      </w:r>
      <w:r w:rsidRPr="008A1209">
        <w:rPr>
          <w:rFonts w:ascii="Calibri" w:eastAsia="Calibri" w:hAnsi="Calibri" w:cs="Calibri"/>
          <w:lang w:val="lt-LT" w:eastAsia="lt-LT"/>
        </w:rPr>
        <w:t>jeigu pasiūlymą teikia ūkio subjektų grupė – reikalavimą turi atitikti kiekvienas ūkio subjektų grupės narys (-iai), pagal jų prisiimamus įsipareigojimus pirkimo sutarčiai vykdyti;</w:t>
      </w:r>
    </w:p>
    <w:p w14:paraId="0A8D5FB0" w14:textId="77777777" w:rsidR="00781031" w:rsidRPr="008A1209" w:rsidRDefault="00781031" w:rsidP="00781031">
      <w:pPr>
        <w:tabs>
          <w:tab w:val="left" w:pos="567"/>
          <w:tab w:val="left" w:pos="1272"/>
        </w:tabs>
        <w:spacing w:after="0" w:line="276" w:lineRule="auto"/>
        <w:ind w:firstLine="709"/>
        <w:rPr>
          <w:rFonts w:ascii="Calibri" w:eastAsia="Calibri" w:hAnsi="Calibri" w:cs="Calibri"/>
          <w:lang w:val="lt-LT" w:eastAsia="lt-LT"/>
        </w:rPr>
      </w:pPr>
      <w:r>
        <w:rPr>
          <w:rFonts w:ascii="Calibri" w:eastAsia="Calibri" w:hAnsi="Calibri" w:cs="Calibri"/>
          <w:lang w:val="lt-LT" w:eastAsia="lt-LT"/>
        </w:rPr>
        <w:t>-</w:t>
      </w:r>
      <w:r w:rsidRPr="008A1209">
        <w:rPr>
          <w:rFonts w:ascii="Calibri" w:eastAsia="Calibri" w:hAnsi="Calibri" w:cs="Calibri"/>
          <w:lang w:val="lt-LT" w:eastAsia="lt-LT"/>
        </w:rPr>
        <w:t> tiekėjas gali remtis kitų ūkio subjektų pajėgumais tik tuomet, kai tie subjektai, kurių pajėgumais buvo pasiremta, patys tieks prekes, teiks paslaugas ar atliks darbus, kuriems reikia jų pajėgumų;</w:t>
      </w:r>
    </w:p>
    <w:p w14:paraId="6C9CA433" w14:textId="77777777" w:rsidR="00781031" w:rsidRPr="008A1209" w:rsidRDefault="00781031" w:rsidP="00781031">
      <w:pPr>
        <w:tabs>
          <w:tab w:val="left" w:pos="567"/>
          <w:tab w:val="left" w:pos="1272"/>
        </w:tabs>
        <w:spacing w:after="0" w:line="276" w:lineRule="auto"/>
        <w:ind w:firstLine="709"/>
        <w:rPr>
          <w:rFonts w:ascii="Calibri" w:eastAsia="Calibri" w:hAnsi="Calibri" w:cs="Calibri"/>
          <w:lang w:val="lt-LT" w:eastAsia="lt-LT"/>
        </w:rPr>
      </w:pPr>
      <w:r>
        <w:rPr>
          <w:rFonts w:ascii="Calibri" w:eastAsia="Calibri" w:hAnsi="Calibri" w:cs="Calibri"/>
          <w:lang w:val="lt-LT" w:eastAsia="lt-LT"/>
        </w:rPr>
        <w:t>-</w:t>
      </w:r>
      <w:r w:rsidRPr="008A1209">
        <w:rPr>
          <w:rFonts w:ascii="Calibri" w:eastAsia="Calibri" w:hAnsi="Calibri" w:cs="Calibri"/>
          <w:lang w:val="lt-LT" w:eastAsia="lt-LT"/>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r>
        <w:rPr>
          <w:rFonts w:ascii="Calibri" w:eastAsia="Calibri" w:hAnsi="Calibri" w:cs="Calibri"/>
          <w:lang w:val="lt-LT" w:eastAsia="lt-LT"/>
        </w:rPr>
        <w:t>“</w:t>
      </w:r>
      <w:r w:rsidRPr="008A1209">
        <w:rPr>
          <w:rFonts w:ascii="Calibri" w:eastAsia="Calibri" w:hAnsi="Calibri" w:cs="Calibri"/>
          <w:lang w:val="lt-LT" w:eastAsia="lt-LT"/>
        </w:rPr>
        <w:t>.</w:t>
      </w:r>
    </w:p>
    <w:p w14:paraId="50541A62" w14:textId="77777777" w:rsidR="00781031" w:rsidRDefault="00781031" w:rsidP="00781031">
      <w:pPr>
        <w:tabs>
          <w:tab w:val="left" w:pos="567"/>
          <w:tab w:val="left" w:pos="1272"/>
        </w:tabs>
        <w:spacing w:after="0" w:line="276" w:lineRule="auto"/>
        <w:ind w:firstLine="709"/>
        <w:rPr>
          <w:rFonts w:ascii="Calibri" w:eastAsia="Calibri" w:hAnsi="Calibri" w:cs="Calibri"/>
          <w:lang w:val="lt-LT" w:eastAsia="lt-LT"/>
        </w:rPr>
      </w:pPr>
      <w:r>
        <w:rPr>
          <w:rFonts w:ascii="Calibri" w:hAnsi="Calibri" w:cs="Calibri"/>
          <w:color w:val="000000"/>
          <w:lang w:val="lt-LT"/>
        </w:rPr>
        <w:t xml:space="preserve">Paprastai </w:t>
      </w:r>
      <w:r w:rsidRPr="00BC550B">
        <w:rPr>
          <w:rFonts w:ascii="Calibri" w:hAnsi="Calibri" w:cs="Calibri"/>
          <w:lang w:val="lt-LT"/>
        </w:rPr>
        <w:t>Kvalifikacijos reikalavim</w:t>
      </w:r>
      <w:r>
        <w:rPr>
          <w:rFonts w:ascii="Calibri" w:hAnsi="Calibri" w:cs="Calibri"/>
          <w:lang w:val="lt-LT"/>
        </w:rPr>
        <w:t xml:space="preserve">ų 2 eilutėje </w:t>
      </w:r>
      <w:r w:rsidRPr="00F3298E">
        <w:rPr>
          <w:rFonts w:ascii="Calibri" w:eastAsia="Calibri" w:hAnsi="Calibri" w:cs="Calibri"/>
          <w:lang w:val="lt-LT" w:eastAsia="lt-LT"/>
        </w:rPr>
        <w:t>nustatomi tokie reikalavimai:</w:t>
      </w:r>
      <w:r>
        <w:rPr>
          <w:rFonts w:ascii="Calibri" w:eastAsia="Calibri" w:hAnsi="Calibri" w:cs="Calibri"/>
          <w:lang w:val="lt-LT" w:eastAsia="lt-LT"/>
        </w:rPr>
        <w:t xml:space="preserve"> </w:t>
      </w:r>
    </w:p>
    <w:p w14:paraId="45850422" w14:textId="77777777" w:rsidR="00781031" w:rsidRPr="004F20C7" w:rsidRDefault="00781031" w:rsidP="00781031">
      <w:pPr>
        <w:tabs>
          <w:tab w:val="left" w:pos="567"/>
          <w:tab w:val="left" w:pos="1272"/>
        </w:tabs>
        <w:spacing w:after="0" w:line="276" w:lineRule="auto"/>
        <w:ind w:firstLine="709"/>
        <w:rPr>
          <w:rFonts w:ascii="Calibri" w:eastAsia="Calibri" w:hAnsi="Calibri" w:cs="Calibri"/>
          <w:lang w:val="lt-LT" w:eastAsia="lt-LT"/>
        </w:rPr>
      </w:pPr>
      <w:r>
        <w:rPr>
          <w:rFonts w:ascii="Calibri" w:eastAsia="Calibri" w:hAnsi="Calibri" w:cs="Calibri"/>
          <w:lang w:val="lt-LT" w:eastAsia="lt-LT"/>
        </w:rPr>
        <w:lastRenderedPageBreak/>
        <w:t>„-</w:t>
      </w:r>
      <w:r w:rsidRPr="004F20C7">
        <w:rPr>
          <w:rFonts w:ascii="Calibri" w:eastAsia="Calibri" w:hAnsi="Calibri" w:cs="Calibri"/>
          <w:lang w:val="lt-LT" w:eastAsia="lt-LT"/>
        </w:rPr>
        <w:t> jeigu pasiūlymą teikia ūkio subjektų grupė – reikalavimą turi atitikti visi ūkio subjektų grupės nariai kartu (ūkio subjektų grupės narių turima patirtis sumuojama), atsižvelgiant į jų prisiimamus įsipareigojimus;</w:t>
      </w:r>
    </w:p>
    <w:p w14:paraId="1AFC60B9" w14:textId="77777777" w:rsidR="00781031" w:rsidRPr="004F20C7" w:rsidRDefault="00781031" w:rsidP="00781031">
      <w:pPr>
        <w:tabs>
          <w:tab w:val="left" w:pos="567"/>
          <w:tab w:val="left" w:pos="1272"/>
        </w:tabs>
        <w:spacing w:after="0" w:line="276" w:lineRule="auto"/>
        <w:ind w:firstLine="709"/>
        <w:rPr>
          <w:rFonts w:ascii="Calibri" w:eastAsia="Calibri" w:hAnsi="Calibri" w:cs="Calibri"/>
          <w:lang w:val="lt-LT" w:eastAsia="lt-LT"/>
        </w:rPr>
      </w:pPr>
      <w:r>
        <w:rPr>
          <w:rFonts w:ascii="Calibri" w:eastAsia="Calibri" w:hAnsi="Calibri" w:cs="Calibri"/>
          <w:lang w:val="lt-LT" w:eastAsia="lt-LT"/>
        </w:rPr>
        <w:t>-</w:t>
      </w:r>
      <w:r w:rsidRPr="004F20C7">
        <w:rPr>
          <w:rFonts w:ascii="Calibri" w:eastAsia="Calibri" w:hAnsi="Calibri" w:cs="Calibri"/>
          <w:lang w:val="lt-LT" w:eastAsia="lt-LT"/>
        </w:rPr>
        <w:t> tiekėjas gali remtis kitų ūkio subjektų pajėgumais tik tuo atveju, jeigu tie subjektai patys vykdys tą pirkimo sutarties dalį, kuriai reikia jų turimų pajėgumų;</w:t>
      </w:r>
    </w:p>
    <w:p w14:paraId="5F1760E9" w14:textId="77777777" w:rsidR="00781031" w:rsidRPr="004F20C7" w:rsidRDefault="00781031" w:rsidP="00781031">
      <w:pPr>
        <w:tabs>
          <w:tab w:val="left" w:pos="567"/>
          <w:tab w:val="left" w:pos="1272"/>
        </w:tabs>
        <w:spacing w:after="0" w:line="276" w:lineRule="auto"/>
        <w:ind w:firstLine="709"/>
        <w:rPr>
          <w:rFonts w:ascii="Calibri" w:eastAsia="Calibri" w:hAnsi="Calibri" w:cs="Calibri"/>
          <w:lang w:eastAsia="lt-LT"/>
        </w:rPr>
      </w:pPr>
      <w:r>
        <w:rPr>
          <w:rFonts w:ascii="Calibri" w:eastAsia="Calibri" w:hAnsi="Calibri" w:cs="Calibri"/>
          <w:lang w:val="lt-LT" w:eastAsia="lt-LT"/>
        </w:rPr>
        <w:t>-</w:t>
      </w:r>
      <w:r w:rsidRPr="004F20C7">
        <w:rPr>
          <w:rFonts w:ascii="Calibri" w:eastAsia="Calibri" w:hAnsi="Calibri" w:cs="Calibri"/>
          <w:lang w:val="lt-LT" w:eastAsia="lt-LT"/>
        </w:rPr>
        <w:t> subtiekėjams šis reikalavimas nenustatomas</w:t>
      </w:r>
      <w:r>
        <w:rPr>
          <w:rFonts w:ascii="Calibri" w:eastAsia="Calibri" w:hAnsi="Calibri" w:cs="Calibri"/>
          <w:lang w:val="lt-LT" w:eastAsia="lt-LT"/>
        </w:rPr>
        <w:t>“</w:t>
      </w:r>
      <w:r w:rsidRPr="004F20C7">
        <w:rPr>
          <w:rFonts w:ascii="Calibri" w:eastAsia="Calibri" w:hAnsi="Calibri" w:cs="Calibri"/>
          <w:lang w:val="lt-LT" w:eastAsia="lt-LT"/>
        </w:rPr>
        <w:t>.</w:t>
      </w:r>
    </w:p>
    <w:p w14:paraId="1EEDC455" w14:textId="77777777" w:rsidR="00781031" w:rsidRPr="00F3298E" w:rsidRDefault="00781031" w:rsidP="00781031">
      <w:pPr>
        <w:pStyle w:val="ListParagraph"/>
        <w:numPr>
          <w:ilvl w:val="0"/>
          <w:numId w:val="1"/>
        </w:numPr>
        <w:tabs>
          <w:tab w:val="left" w:pos="1134"/>
        </w:tabs>
        <w:spacing w:after="0" w:line="276" w:lineRule="auto"/>
        <w:rPr>
          <w:rFonts w:ascii="Calibri" w:hAnsi="Calibri" w:cs="Calibri"/>
          <w:b/>
          <w:bCs/>
          <w:lang w:val="lt-LT"/>
        </w:rPr>
      </w:pPr>
      <w:r w:rsidRPr="00F3298E">
        <w:rPr>
          <w:rFonts w:ascii="Calibri" w:hAnsi="Calibri" w:cs="Calibri"/>
          <w:b/>
          <w:bCs/>
          <w:lang w:val="lt-LT"/>
        </w:rPr>
        <w:t>Dėl kitų Pirkimo dokumentų netikslumų</w:t>
      </w:r>
    </w:p>
    <w:p w14:paraId="2291A3C2" w14:textId="77777777" w:rsidR="00781031" w:rsidRPr="00E97124" w:rsidRDefault="00781031" w:rsidP="00781031">
      <w:pPr>
        <w:tabs>
          <w:tab w:val="left" w:pos="1134"/>
        </w:tabs>
        <w:spacing w:after="0" w:line="276" w:lineRule="auto"/>
        <w:ind w:firstLine="709"/>
        <w:rPr>
          <w:rFonts w:ascii="Calibri" w:hAnsi="Calibri" w:cs="Calibri"/>
          <w:lang w:val="lt-LT"/>
        </w:rPr>
      </w:pPr>
      <w:r>
        <w:rPr>
          <w:rFonts w:ascii="Calibri" w:hAnsi="Calibri" w:cs="Calibri"/>
          <w:lang w:val="lt-LT"/>
        </w:rPr>
        <w:t xml:space="preserve">Atsižvelgiant į tai, kad Pirkimo Specialiųjų sąlygų 7.1 punkte nurodyta, jog </w:t>
      </w:r>
      <w:r w:rsidRPr="00005E21">
        <w:rPr>
          <w:rFonts w:ascii="Calibri" w:hAnsi="Calibri" w:cs="Calibri"/>
          <w:b/>
          <w:bCs/>
          <w:lang w:val="lt-LT"/>
        </w:rPr>
        <w:t>pasiūlymų galiojimo užtikrinimas netaikomas,</w:t>
      </w:r>
      <w:r>
        <w:rPr>
          <w:rFonts w:ascii="Calibri" w:hAnsi="Calibri" w:cs="Calibri"/>
          <w:lang w:val="lt-LT"/>
        </w:rPr>
        <w:t xml:space="preserve"> rekomenduotina tikslinti informaciją, esančią Pirkimo Specialiųjų sąlygų 1 priedo „Terminai“ 7</w:t>
      </w:r>
      <w:r>
        <w:rPr>
          <w:rStyle w:val="FootnoteReference"/>
          <w:rFonts w:ascii="Calibri" w:hAnsi="Calibri" w:cs="Calibri"/>
          <w:lang w:val="lt-LT"/>
        </w:rPr>
        <w:footnoteReference w:id="1"/>
      </w:r>
      <w:r>
        <w:rPr>
          <w:rFonts w:ascii="Calibri" w:hAnsi="Calibri" w:cs="Calibri"/>
          <w:lang w:val="lt-LT"/>
        </w:rPr>
        <w:t xml:space="preserve"> ir 8</w:t>
      </w:r>
      <w:r>
        <w:rPr>
          <w:rStyle w:val="FootnoteReference"/>
          <w:rFonts w:ascii="Calibri" w:hAnsi="Calibri" w:cs="Calibri"/>
          <w:lang w:val="lt-LT"/>
        </w:rPr>
        <w:footnoteReference w:id="2"/>
      </w:r>
      <w:r>
        <w:rPr>
          <w:rFonts w:ascii="Calibri" w:hAnsi="Calibri" w:cs="Calibri"/>
          <w:lang w:val="lt-LT"/>
        </w:rPr>
        <w:t xml:space="preserve"> eilutėse.</w:t>
      </w:r>
    </w:p>
    <w:p w14:paraId="484409C4" w14:textId="77777777" w:rsidR="00781031" w:rsidRPr="005A63E7" w:rsidRDefault="00781031" w:rsidP="00781031">
      <w:pPr>
        <w:pStyle w:val="ListParagraph"/>
        <w:numPr>
          <w:ilvl w:val="0"/>
          <w:numId w:val="1"/>
        </w:numPr>
        <w:tabs>
          <w:tab w:val="left" w:pos="1134"/>
        </w:tabs>
        <w:spacing w:after="0" w:line="276" w:lineRule="auto"/>
        <w:ind w:left="0" w:firstLine="709"/>
        <w:rPr>
          <w:rFonts w:ascii="Calibri" w:hAnsi="Calibri" w:cs="Calibri"/>
          <w:lang w:val="lt-LT"/>
        </w:rPr>
      </w:pPr>
      <w:r w:rsidRPr="005A63E7">
        <w:rPr>
          <w:rFonts w:ascii="Calibri" w:hAnsi="Calibri" w:cs="Calibri"/>
          <w:lang w:val="lt-LT"/>
        </w:rPr>
        <w:t xml:space="preserve">Prašome nurodyti, </w:t>
      </w:r>
      <w:r w:rsidRPr="005A63E7">
        <w:rPr>
          <w:rFonts w:ascii="Calibri" w:hAnsi="Calibri" w:cs="Calibri"/>
          <w:b/>
          <w:bCs/>
          <w:lang w:val="lt-LT"/>
        </w:rPr>
        <w:t>kokia yra šio Pirkimo numatoma vertė be PVM</w:t>
      </w:r>
      <w:r w:rsidRPr="005A63E7">
        <w:rPr>
          <w:rFonts w:ascii="Calibri" w:hAnsi="Calibri" w:cs="Calibri"/>
          <w:lang w:val="lt-LT"/>
        </w:rPr>
        <w:t>. Informacija apie Pirkimo vertę niekur nebus viešinama, nes ji reikalinga prevencinio vertinimo ir statistikos tikslais.</w:t>
      </w:r>
    </w:p>
    <w:p w14:paraId="6C0B07C1" w14:textId="77777777" w:rsidR="00781031" w:rsidRPr="000415E6" w:rsidRDefault="00781031" w:rsidP="00781031">
      <w:pPr>
        <w:spacing w:after="0" w:line="276" w:lineRule="auto"/>
        <w:ind w:firstLine="709"/>
        <w:rPr>
          <w:rFonts w:ascii="Calibri" w:hAnsi="Calibri" w:cs="Calibri"/>
          <w:lang w:val="lt-LT"/>
        </w:rPr>
      </w:pPr>
      <w:r w:rsidRPr="000415E6">
        <w:rPr>
          <w:rFonts w:ascii="Calibri" w:eastAsia="Calibri" w:hAnsi="Calibri" w:cs="Calibri"/>
          <w:lang w:val="lt-LT"/>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0415E6">
        <w:rPr>
          <w:rFonts w:ascii="Calibri" w:eastAsia="Calibri" w:hAnsi="Calibri" w:cs="Calibri"/>
          <w:vertAlign w:val="superscript"/>
          <w:lang w:val="lt-LT"/>
        </w:rPr>
        <w:footnoteReference w:id="3"/>
      </w:r>
      <w:r w:rsidRPr="000415E6">
        <w:rPr>
          <w:rFonts w:ascii="Calibri" w:eastAsia="Calibri" w:hAnsi="Calibri" w:cs="Calibri"/>
          <w:lang w:val="lt-LT"/>
        </w:rPr>
        <w:t xml:space="preserve"> ir 4</w:t>
      </w:r>
      <w:r w:rsidRPr="000415E6">
        <w:rPr>
          <w:rFonts w:ascii="Calibri" w:eastAsia="Calibri" w:hAnsi="Calibri" w:cs="Calibri"/>
          <w:vertAlign w:val="superscript"/>
          <w:lang w:val="lt-LT"/>
        </w:rPr>
        <w:footnoteReference w:id="4"/>
      </w:r>
      <w:r w:rsidRPr="000415E6">
        <w:rPr>
          <w:rFonts w:ascii="Calibri" w:eastAsia="Calibri" w:hAnsi="Calibri" w:cs="Calibri"/>
          <w:lang w:val="lt-LT"/>
        </w:rPr>
        <w:t xml:space="preserve"> dalių nuostatomis.</w:t>
      </w:r>
    </w:p>
    <w:p w14:paraId="7039E3D7" w14:textId="77777777" w:rsidR="00781031" w:rsidRPr="00126CD6" w:rsidRDefault="00781031" w:rsidP="00781031">
      <w:pPr>
        <w:pStyle w:val="ListParagraph"/>
        <w:tabs>
          <w:tab w:val="left" w:pos="1134"/>
        </w:tabs>
        <w:spacing w:after="0" w:line="276" w:lineRule="auto"/>
        <w:ind w:left="1211"/>
        <w:rPr>
          <w:rFonts w:ascii="Calibri" w:hAnsi="Calibri" w:cs="Calibri"/>
          <w:lang w:val="lt-LT"/>
        </w:rPr>
      </w:pPr>
    </w:p>
    <w:p w14:paraId="61771D34" w14:textId="77777777" w:rsidR="00A0134C" w:rsidRPr="00781031" w:rsidRDefault="00A0134C">
      <w:pPr>
        <w:rPr>
          <w:lang w:val="lt-LT"/>
        </w:rPr>
      </w:pPr>
    </w:p>
    <w:sectPr w:rsidR="00A0134C" w:rsidRPr="007810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FC93" w14:textId="77777777" w:rsidR="00781031" w:rsidRDefault="00781031" w:rsidP="00781031">
      <w:pPr>
        <w:spacing w:after="0" w:line="240" w:lineRule="auto"/>
      </w:pPr>
      <w:r>
        <w:separator/>
      </w:r>
    </w:p>
  </w:endnote>
  <w:endnote w:type="continuationSeparator" w:id="0">
    <w:p w14:paraId="590B1DF1" w14:textId="77777777" w:rsidR="00781031" w:rsidRDefault="00781031" w:rsidP="0078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4101" w14:textId="77777777" w:rsidR="00781031" w:rsidRDefault="00781031" w:rsidP="00781031">
      <w:pPr>
        <w:spacing w:after="0" w:line="240" w:lineRule="auto"/>
      </w:pPr>
      <w:r>
        <w:separator/>
      </w:r>
    </w:p>
  </w:footnote>
  <w:footnote w:type="continuationSeparator" w:id="0">
    <w:p w14:paraId="5FFDD20C" w14:textId="77777777" w:rsidR="00781031" w:rsidRDefault="00781031" w:rsidP="00781031">
      <w:pPr>
        <w:spacing w:after="0" w:line="240" w:lineRule="auto"/>
      </w:pPr>
      <w:r>
        <w:continuationSeparator/>
      </w:r>
    </w:p>
  </w:footnote>
  <w:footnote w:id="1">
    <w:p w14:paraId="77E6A03E" w14:textId="77777777" w:rsidR="00781031" w:rsidRPr="003E5946" w:rsidRDefault="00781031" w:rsidP="00781031">
      <w:pPr>
        <w:pStyle w:val="FootnoteText"/>
        <w:rPr>
          <w:rFonts w:ascii="Calibri" w:hAnsi="Calibri" w:cs="Calibri"/>
          <w:lang w:val="lt-LT"/>
        </w:rPr>
      </w:pPr>
      <w:r w:rsidRPr="003E5946">
        <w:rPr>
          <w:rStyle w:val="FootnoteReference"/>
          <w:rFonts w:ascii="Calibri" w:hAnsi="Calibri" w:cs="Calibri"/>
          <w:lang w:val="lt-LT"/>
        </w:rPr>
        <w:footnoteRef/>
      </w:r>
      <w:r w:rsidRPr="003E5946">
        <w:rPr>
          <w:rFonts w:ascii="Calibri" w:hAnsi="Calibri" w:cs="Calibri"/>
          <w:lang w:val="lt-LT"/>
        </w:rPr>
        <w:t xml:space="preserve"> </w:t>
      </w:r>
      <w:r>
        <w:rPr>
          <w:rFonts w:ascii="Calibri" w:hAnsi="Calibri" w:cs="Calibri"/>
          <w:lang w:val="lt-LT"/>
        </w:rPr>
        <w:t>„</w:t>
      </w:r>
      <w:r w:rsidRPr="003E5946">
        <w:rPr>
          <w:rFonts w:ascii="Calibri" w:hAnsi="Calibri" w:cs="Calibri"/>
          <w:bCs/>
          <w:lang w:val="lt-LT"/>
        </w:rPr>
        <w:t xml:space="preserve">Pasiūlymo galiojimo ir pasiūlymo galiojimo užtikrinimo (jei taikoma) terminas ne trumpesnis kaip </w:t>
      </w:r>
      <w:r w:rsidRPr="003E5946">
        <w:rPr>
          <w:rFonts w:ascii="Calibri" w:hAnsi="Calibri" w:cs="Calibri"/>
          <w:iCs/>
          <w:lang w:val="lt-LT"/>
        </w:rPr>
        <w:t>90 (devyniasdešimt) dienų nuo pasiūlymų pateikimo galutinio termino pabaigos”.</w:t>
      </w:r>
    </w:p>
  </w:footnote>
  <w:footnote w:id="2">
    <w:p w14:paraId="659E7583" w14:textId="77777777" w:rsidR="00781031" w:rsidRPr="003E5946" w:rsidRDefault="00781031" w:rsidP="00781031">
      <w:pPr>
        <w:spacing w:after="0" w:line="240" w:lineRule="auto"/>
        <w:rPr>
          <w:rFonts w:ascii="Calibri" w:hAnsi="Calibri" w:cs="Calibri"/>
          <w:sz w:val="20"/>
          <w:szCs w:val="20"/>
          <w:lang w:val="lt-LT"/>
        </w:rPr>
      </w:pPr>
      <w:r w:rsidRPr="003E5946">
        <w:rPr>
          <w:rStyle w:val="FootnoteReference"/>
          <w:rFonts w:ascii="Calibri" w:hAnsi="Calibri" w:cs="Calibri"/>
          <w:sz w:val="20"/>
          <w:szCs w:val="20"/>
          <w:lang w:val="lt-LT"/>
        </w:rPr>
        <w:footnoteRef/>
      </w:r>
      <w:r w:rsidRPr="003E5946">
        <w:rPr>
          <w:rFonts w:ascii="Calibri" w:hAnsi="Calibri" w:cs="Calibri"/>
          <w:sz w:val="20"/>
          <w:szCs w:val="20"/>
          <w:lang w:val="lt-LT"/>
        </w:rPr>
        <w:t xml:space="preserve"> „Perkančioji organizacija atsako tiekėjui, ar ji sutinka priimti tiekėjo siūlomą pasiūlymo galiojimo užtikrinimą patvirtinantį dokumentą ne vėliau kaip per </w:t>
      </w:r>
      <w:r w:rsidRPr="003E5946">
        <w:rPr>
          <w:rFonts w:ascii="Calibri" w:hAnsi="Calibri" w:cs="Calibri"/>
          <w:iCs/>
          <w:sz w:val="20"/>
          <w:szCs w:val="20"/>
          <w:lang w:val="lt-LT"/>
        </w:rPr>
        <w:t xml:space="preserve">3 (tris) darbo dienas </w:t>
      </w:r>
      <w:r w:rsidRPr="003E5946">
        <w:rPr>
          <w:rFonts w:ascii="Calibri" w:hAnsi="Calibri" w:cs="Calibri"/>
          <w:sz w:val="20"/>
          <w:szCs w:val="20"/>
          <w:lang w:val="lt-LT"/>
        </w:rPr>
        <w:t>nuo prašymo gavimo dienos“.</w:t>
      </w:r>
    </w:p>
  </w:footnote>
  <w:footnote w:id="3">
    <w:p w14:paraId="0B0F20B3" w14:textId="77777777" w:rsidR="00781031" w:rsidRPr="00DB138A" w:rsidRDefault="00781031" w:rsidP="00781031">
      <w:pPr>
        <w:pStyle w:val="FootnoteText"/>
        <w:rPr>
          <w:rFonts w:ascii="Calibri" w:hAnsi="Calibri" w:cs="Calibri"/>
          <w:lang w:val="lt-LT"/>
        </w:rPr>
      </w:pPr>
      <w:r w:rsidRPr="00437C1D">
        <w:rPr>
          <w:rStyle w:val="FootnoteReference"/>
          <w:rFonts w:ascii="Calibri" w:hAnsi="Calibri" w:cs="Calibri"/>
        </w:rPr>
        <w:footnoteRef/>
      </w:r>
      <w:r w:rsidRPr="00DB138A">
        <w:rPr>
          <w:rFonts w:ascii="Calibri" w:hAnsi="Calibri" w:cs="Calibri"/>
          <w:lang w:val="lt-LT"/>
        </w:rPr>
        <w:t xml:space="preserve"> „</w:t>
      </w:r>
      <w:r w:rsidRPr="00DB138A">
        <w:rPr>
          <w:rFonts w:ascii="Calibri" w:hAnsi="Calibri" w:cs="Calibri"/>
          <w:bCs/>
          <w:color w:val="000000"/>
          <w:lang w:val="lt-LT"/>
        </w:rPr>
        <w:t>Perkančioji</w:t>
      </w:r>
      <w:r w:rsidRPr="00DB138A">
        <w:rPr>
          <w:rFonts w:ascii="Calibri" w:hAnsi="Calibri" w:cs="Calibri"/>
          <w:color w:val="000000"/>
          <w:lang w:val="lt-LT"/>
        </w:rPr>
        <w:t xml:space="preserve"> organizacija privalo </w:t>
      </w:r>
      <w:r w:rsidRPr="00DB138A">
        <w:rPr>
          <w:rFonts w:ascii="Calibri" w:hAnsi="Calibri" w:cs="Calibri"/>
          <w:bCs/>
          <w:color w:val="000000"/>
          <w:lang w:val="lt-LT"/>
        </w:rPr>
        <w:t>nutraukti pradėtas pirkimo ar projekto konkurso procedūras</w:t>
      </w:r>
      <w:r w:rsidRPr="00DB138A">
        <w:rPr>
          <w:rFonts w:ascii="Calibri" w:hAnsi="Calibri" w:cs="Calibri"/>
          <w:color w:val="000000"/>
          <w:lang w:val="lt-LT"/>
        </w:rPr>
        <w:t>, jeigu buvo pažeisti šio įstatymo 17 straipsnio 1 dalyje nustatyti principai ir atitinkamos padėties negalima ištaisyti.“</w:t>
      </w:r>
    </w:p>
  </w:footnote>
  <w:footnote w:id="4">
    <w:p w14:paraId="5E661B0A" w14:textId="77777777" w:rsidR="00781031" w:rsidRPr="00DB138A" w:rsidRDefault="00781031" w:rsidP="00781031">
      <w:pPr>
        <w:pStyle w:val="FootnoteText"/>
        <w:rPr>
          <w:rFonts w:ascii="Calibri" w:hAnsi="Calibri" w:cs="Calibri"/>
          <w:lang w:val="lt-LT"/>
        </w:rPr>
      </w:pPr>
      <w:r w:rsidRPr="00437C1D">
        <w:rPr>
          <w:rStyle w:val="FootnoteReference"/>
          <w:rFonts w:ascii="Calibri" w:hAnsi="Calibri" w:cs="Calibri"/>
        </w:rPr>
        <w:footnoteRef/>
      </w:r>
      <w:r w:rsidRPr="00DB138A">
        <w:rPr>
          <w:rFonts w:ascii="Calibri" w:hAnsi="Calibri" w:cs="Calibri"/>
          <w:lang w:val="lt-LT"/>
        </w:rPr>
        <w:t xml:space="preserve">„ </w:t>
      </w:r>
      <w:r w:rsidRPr="00DB138A">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300F6"/>
    <w:multiLevelType w:val="multilevel"/>
    <w:tmpl w:val="EC6218D6"/>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429" w:hanging="72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1789" w:hanging="108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149" w:hanging="1440"/>
      </w:pPr>
      <w:rPr>
        <w:rFonts w:eastAsia="Calibri" w:hint="default"/>
      </w:rPr>
    </w:lvl>
    <w:lvl w:ilvl="8">
      <w:start w:val="1"/>
      <w:numFmt w:val="decimal"/>
      <w:isLgl/>
      <w:lvlText w:val="%1.%2.%3.%4.%5.%6.%7.%8.%9."/>
      <w:lvlJc w:val="left"/>
      <w:pPr>
        <w:ind w:left="2509" w:hanging="1800"/>
      </w:pPr>
      <w:rPr>
        <w:rFonts w:eastAsia="Calibri" w:hint="default"/>
      </w:rPr>
    </w:lvl>
  </w:abstractNum>
  <w:num w:numId="1" w16cid:durableId="8546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31"/>
    <w:rsid w:val="003D4290"/>
    <w:rsid w:val="00781031"/>
    <w:rsid w:val="00901068"/>
    <w:rsid w:val="009919AC"/>
    <w:rsid w:val="009A6064"/>
    <w:rsid w:val="00A0134C"/>
    <w:rsid w:val="00BB0E8B"/>
    <w:rsid w:val="00C11424"/>
    <w:rsid w:val="00FF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35EA"/>
  <w15:chartTrackingRefBased/>
  <w15:docId w15:val="{E3E61CA9-64C5-40C8-99D8-D15E687D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031"/>
  </w:style>
  <w:style w:type="paragraph" w:styleId="Heading1">
    <w:name w:val="heading 1"/>
    <w:basedOn w:val="Normal"/>
    <w:next w:val="Normal"/>
    <w:link w:val="Heading1Char"/>
    <w:uiPriority w:val="9"/>
    <w:qFormat/>
    <w:rsid w:val="00781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1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10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0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0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0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0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0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0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1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10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0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0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0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0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0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031"/>
    <w:rPr>
      <w:rFonts w:eastAsiaTheme="majorEastAsia" w:cstheme="majorBidi"/>
      <w:color w:val="272727" w:themeColor="text1" w:themeTint="D8"/>
    </w:rPr>
  </w:style>
  <w:style w:type="paragraph" w:styleId="Title">
    <w:name w:val="Title"/>
    <w:basedOn w:val="Normal"/>
    <w:next w:val="Normal"/>
    <w:link w:val="TitleChar"/>
    <w:uiPriority w:val="10"/>
    <w:qFormat/>
    <w:rsid w:val="00781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0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0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031"/>
    <w:pPr>
      <w:spacing w:before="160"/>
      <w:jc w:val="center"/>
    </w:pPr>
    <w:rPr>
      <w:i/>
      <w:iCs/>
      <w:color w:val="404040" w:themeColor="text1" w:themeTint="BF"/>
    </w:rPr>
  </w:style>
  <w:style w:type="character" w:customStyle="1" w:styleId="QuoteChar">
    <w:name w:val="Quote Char"/>
    <w:basedOn w:val="DefaultParagraphFont"/>
    <w:link w:val="Quote"/>
    <w:uiPriority w:val="29"/>
    <w:rsid w:val="0078103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qFormat/>
    <w:rsid w:val="00781031"/>
    <w:pPr>
      <w:ind w:left="720"/>
      <w:contextualSpacing/>
    </w:pPr>
  </w:style>
  <w:style w:type="character" w:styleId="IntenseEmphasis">
    <w:name w:val="Intense Emphasis"/>
    <w:basedOn w:val="DefaultParagraphFont"/>
    <w:uiPriority w:val="21"/>
    <w:qFormat/>
    <w:rsid w:val="00781031"/>
    <w:rPr>
      <w:i/>
      <w:iCs/>
      <w:color w:val="0F4761" w:themeColor="accent1" w:themeShade="BF"/>
    </w:rPr>
  </w:style>
  <w:style w:type="paragraph" w:styleId="IntenseQuote">
    <w:name w:val="Intense Quote"/>
    <w:basedOn w:val="Normal"/>
    <w:next w:val="Normal"/>
    <w:link w:val="IntenseQuoteChar"/>
    <w:uiPriority w:val="30"/>
    <w:qFormat/>
    <w:rsid w:val="00781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031"/>
    <w:rPr>
      <w:i/>
      <w:iCs/>
      <w:color w:val="0F4761" w:themeColor="accent1" w:themeShade="BF"/>
    </w:rPr>
  </w:style>
  <w:style w:type="character" w:styleId="IntenseReference">
    <w:name w:val="Intense Reference"/>
    <w:basedOn w:val="DefaultParagraphFont"/>
    <w:uiPriority w:val="32"/>
    <w:qFormat/>
    <w:rsid w:val="00781031"/>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781031"/>
  </w:style>
  <w:style w:type="character" w:styleId="Hyperlink">
    <w:name w:val="Hyperlink"/>
    <w:aliases w:val="Alna"/>
    <w:basedOn w:val="DefaultParagraphFont"/>
    <w:uiPriority w:val="99"/>
    <w:unhideWhenUsed/>
    <w:rsid w:val="00781031"/>
    <w:rPr>
      <w:strike w:val="0"/>
      <w:dstrike w:val="0"/>
      <w:color w:val="auto"/>
      <w:u w:val="none"/>
      <w:effect w:val="non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781031"/>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781031"/>
    <w:rPr>
      <w:sz w:val="20"/>
      <w:szCs w:val="20"/>
    </w:rPr>
  </w:style>
  <w:style w:type="character" w:styleId="FootnoteReference">
    <w:name w:val="footnote reference"/>
    <w:aliases w:val="fr,BVI fnr,Footnote symbol,Nota,Footnote number,de nota al pie,Ref,SUPERS,Voetnootmarkering,o,(NECG) Footnote Reference,-E Fußnotenzeichen,ESPON Footnote No,Footnote call,Odwołanie przypisu,Footnote Reference Number,Style 4,FR"/>
    <w:basedOn w:val="DefaultParagraphFont"/>
    <w:uiPriority w:val="99"/>
    <w:unhideWhenUsed/>
    <w:qFormat/>
    <w:rsid w:val="00781031"/>
    <w:rPr>
      <w:vertAlign w:val="superscript"/>
    </w:rPr>
  </w:style>
  <w:style w:type="character" w:customStyle="1" w:styleId="normaltextrun">
    <w:name w:val="normaltextrun"/>
    <w:basedOn w:val="DefaultParagraphFont"/>
    <w:rsid w:val="0078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TAR.4B60A8C9678B/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1195</Words>
  <Characters>6812</Characters>
  <Application>Microsoft Office Word</Application>
  <DocSecurity>0</DocSecurity>
  <Lines>56</Lines>
  <Paragraphs>15</Paragraphs>
  <ScaleCrop>false</ScaleCrop>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2</cp:revision>
  <dcterms:created xsi:type="dcterms:W3CDTF">2025-09-17T05:12:00Z</dcterms:created>
  <dcterms:modified xsi:type="dcterms:W3CDTF">2025-09-17T05:13:00Z</dcterms:modified>
</cp:coreProperties>
</file>