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DEBE" w14:textId="77777777" w:rsidR="005C0CBE" w:rsidRPr="005C0CBE" w:rsidRDefault="005C0CBE" w:rsidP="005C0CBE">
      <w:r w:rsidRPr="005C0CBE">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6FD0C1F" w14:textId="2FCD615F" w:rsidR="005C0CBE" w:rsidRDefault="005C0CBE" w:rsidP="005C0CBE">
      <w:pPr>
        <w:rPr>
          <w:lang w:val="lt-LT"/>
        </w:rPr>
      </w:pPr>
      <w:r w:rsidRPr="005C0CBE">
        <w:rPr>
          <w:lang w:val="lt-LT"/>
        </w:rPr>
        <w:t xml:space="preserve">Vadovaujantis Tarnybai Įstatyme nustatyta pažeidimų prevencijos funkcija, šiuo metu atliekama </w:t>
      </w:r>
      <w:r w:rsidR="00E37927">
        <w:rPr>
          <w:b/>
          <w:bCs/>
          <w:lang w:val="lt-LT"/>
        </w:rPr>
        <w:t>Klaipėdos turizmo mokyklos</w:t>
      </w:r>
      <w:r w:rsidRPr="005C0CBE">
        <w:rPr>
          <w:lang w:val="lt-LT"/>
        </w:rPr>
        <w:t xml:space="preserve"> (toliau – Perkančioji organizacija) vykdomo pirkimo </w:t>
      </w:r>
      <w:r w:rsidRPr="005C0CBE">
        <w:rPr>
          <w:b/>
          <w:bCs/>
          <w:lang w:val="lt-LT"/>
        </w:rPr>
        <w:t>Nr.</w:t>
      </w:r>
      <w:r w:rsidRPr="005C0CBE">
        <w:t xml:space="preserve"> </w:t>
      </w:r>
      <w:r w:rsidR="002772A1">
        <w:rPr>
          <w:b/>
          <w:bCs/>
          <w:lang w:val="lt-LT"/>
        </w:rPr>
        <w:t>3898359</w:t>
      </w:r>
      <w:r w:rsidRPr="005C0CBE">
        <w:rPr>
          <w:b/>
          <w:bCs/>
          <w:iCs/>
          <w:lang w:val="lt-LT"/>
        </w:rPr>
        <w:t xml:space="preserve">  „</w:t>
      </w:r>
      <w:r w:rsidR="006B60F6">
        <w:rPr>
          <w:b/>
          <w:bCs/>
          <w:iCs/>
          <w:lang w:val="lt-LT"/>
        </w:rPr>
        <w:t>Bendrabučio atnaujinimo</w:t>
      </w:r>
      <w:r w:rsidRPr="005C0CBE">
        <w:rPr>
          <w:b/>
          <w:bCs/>
          <w:iCs/>
          <w:lang w:val="lt-LT"/>
        </w:rPr>
        <w:t xml:space="preserve"> darbai“</w:t>
      </w:r>
      <w:r w:rsidRPr="005C0CBE">
        <w:rPr>
          <w:lang w:val="lt-LT"/>
        </w:rPr>
        <w:t xml:space="preserve"> (toliau – Pirkimas), dokumentų atitikties Įstatymui ir jį įgyvendinantiems teisės aktams peržiūra (peržiūra prevenciniais tikslais atliekama </w:t>
      </w:r>
      <w:r w:rsidR="0090736F">
        <w:rPr>
          <w:lang w:val="lt-LT"/>
        </w:rPr>
        <w:t xml:space="preserve">pakartotinai </w:t>
      </w:r>
      <w:r w:rsidRPr="005C0CBE">
        <w:rPr>
          <w:lang w:val="lt-LT"/>
        </w:rPr>
        <w:t>tam tikra apimtimi).</w:t>
      </w:r>
    </w:p>
    <w:p w14:paraId="6109F7B7" w14:textId="241F20BE" w:rsidR="00405D6D" w:rsidRPr="000F7A14" w:rsidRDefault="00714227" w:rsidP="000F7A14">
      <w:pPr>
        <w:rPr>
          <w:lang w:val="lt-LT"/>
        </w:rPr>
      </w:pPr>
      <w:r w:rsidRPr="00714227">
        <w:rPr>
          <w:lang w:val="lt-LT"/>
        </w:rPr>
        <w:t xml:space="preserve">Atkreiptinas dėmesys, kad Tarnyba jau atliko Perkančiosios organizacijos vykdomo pirkimo prevencinę peržiūrą ir pateikė rekomendacijas. </w:t>
      </w:r>
      <w:r w:rsidR="00C50D88">
        <w:rPr>
          <w:lang w:val="lt-LT"/>
        </w:rPr>
        <w:t xml:space="preserve">Perkančioji organizacija 2025-08-26 </w:t>
      </w:r>
      <w:r w:rsidR="00F104E7">
        <w:rPr>
          <w:lang w:val="lt-LT"/>
        </w:rPr>
        <w:t xml:space="preserve">el. paštu pateikė atsakymus į klausimus bei pridėjo </w:t>
      </w:r>
      <w:r w:rsidR="00285B14">
        <w:rPr>
          <w:lang w:val="lt-LT"/>
        </w:rPr>
        <w:t xml:space="preserve">pagal rekomendaciją koreguotus pirkimo dokumentus. </w:t>
      </w:r>
      <w:r w:rsidRPr="00714227">
        <w:rPr>
          <w:lang w:val="lt-LT"/>
        </w:rPr>
        <w:t xml:space="preserve">Įvertinus </w:t>
      </w:r>
      <w:r w:rsidR="00285B14">
        <w:rPr>
          <w:lang w:val="lt-LT"/>
        </w:rPr>
        <w:t>pateiktą informaciją</w:t>
      </w:r>
      <w:r w:rsidRPr="00714227">
        <w:rPr>
          <w:lang w:val="lt-LT"/>
        </w:rPr>
        <w:t xml:space="preserve"> nustatyta, kad Perkančioji organizacija tik iš dalies atsižvelgė į pateiktas rekomendacijas, todėl Tarnyba rekomendacijas teikia pakartotinai.</w:t>
      </w:r>
    </w:p>
    <w:p w14:paraId="4FEC8C10" w14:textId="5A5BFD66" w:rsidR="007816CD" w:rsidRDefault="00405D6D" w:rsidP="00691E47">
      <w:pPr>
        <w:pStyle w:val="ListParagraph"/>
        <w:numPr>
          <w:ilvl w:val="0"/>
          <w:numId w:val="1"/>
        </w:numPr>
        <w:spacing w:after="0" w:line="276" w:lineRule="auto"/>
        <w:rPr>
          <w:rFonts w:ascii="Calibri" w:hAnsi="Calibri" w:cs="Calibri"/>
          <w:b/>
          <w:bCs/>
          <w:lang w:val="lt-LT" w:eastAsia="lt-LT"/>
        </w:rPr>
      </w:pPr>
      <w:r w:rsidRPr="00C04F14">
        <w:rPr>
          <w:rFonts w:ascii="Calibri" w:hAnsi="Calibri" w:cs="Calibri"/>
          <w:b/>
          <w:bCs/>
          <w:lang w:val="lt-LT" w:eastAsia="lt-LT"/>
        </w:rPr>
        <w:t>Dėl pašalinimo pagrindų</w:t>
      </w:r>
    </w:p>
    <w:p w14:paraId="434A8146" w14:textId="77777777" w:rsidR="00691E47" w:rsidRPr="00691E47" w:rsidRDefault="00691E47" w:rsidP="00691E47">
      <w:pPr>
        <w:pStyle w:val="ListParagraph"/>
        <w:spacing w:after="0" w:line="276" w:lineRule="auto"/>
        <w:rPr>
          <w:rFonts w:ascii="Calibri" w:hAnsi="Calibri" w:cs="Calibri"/>
          <w:b/>
          <w:bCs/>
          <w:lang w:val="lt-LT" w:eastAsia="lt-LT"/>
        </w:rPr>
      </w:pPr>
    </w:p>
    <w:p w14:paraId="327EB5C4" w14:textId="1F57A817" w:rsidR="00101DBF" w:rsidRPr="00101DBF" w:rsidRDefault="00D253B4" w:rsidP="004528F9">
      <w:pPr>
        <w:spacing w:after="0"/>
        <w:rPr>
          <w:lang w:val="lt-LT"/>
        </w:rPr>
      </w:pPr>
      <w:r>
        <w:rPr>
          <w:lang w:val="lt-LT"/>
        </w:rPr>
        <w:t xml:space="preserve">Perkančioji organizacija </w:t>
      </w:r>
      <w:r w:rsidR="00AD0169">
        <w:rPr>
          <w:lang w:val="lt-LT"/>
        </w:rPr>
        <w:t>nepilnai atsižvelgė į rekomendacij</w:t>
      </w:r>
      <w:r w:rsidR="003A6D83">
        <w:rPr>
          <w:lang w:val="lt-LT"/>
        </w:rPr>
        <w:t>ą</w:t>
      </w:r>
      <w:r w:rsidR="00AD0169">
        <w:rPr>
          <w:lang w:val="lt-LT"/>
        </w:rPr>
        <w:t xml:space="preserve"> dėl pašalinimo pagrindų</w:t>
      </w:r>
      <w:r w:rsidR="00945A79">
        <w:rPr>
          <w:lang w:val="lt-LT"/>
        </w:rPr>
        <w:t xml:space="preserve"> lentelėje </w:t>
      </w:r>
      <w:r w:rsidR="00DB5B65">
        <w:rPr>
          <w:lang w:val="lt-LT"/>
        </w:rPr>
        <w:t>pateikiamos informacijos</w:t>
      </w:r>
      <w:r w:rsidR="00945A79">
        <w:rPr>
          <w:lang w:val="lt-LT"/>
        </w:rPr>
        <w:t xml:space="preserve">, t. y. </w:t>
      </w:r>
      <w:r w:rsidR="00101DBF" w:rsidRPr="00101DBF">
        <w:rPr>
          <w:lang w:val="lt-LT"/>
        </w:rPr>
        <w:t>Tiekėjo pašalinimo pagrindų lentelės</w:t>
      </w:r>
      <w:r w:rsidR="00A05219">
        <w:rPr>
          <w:lang w:val="lt-LT"/>
        </w:rPr>
        <w:t xml:space="preserve"> </w:t>
      </w:r>
      <w:r w:rsidR="00101DBF" w:rsidRPr="00101DBF">
        <w:rPr>
          <w:lang w:val="lt-LT"/>
        </w:rPr>
        <w:t>1</w:t>
      </w:r>
      <w:r w:rsidR="004A1485">
        <w:rPr>
          <w:lang w:val="lt-LT"/>
        </w:rPr>
        <w:t xml:space="preserve"> ir</w:t>
      </w:r>
      <w:r w:rsidR="00101DBF" w:rsidRPr="00101DBF">
        <w:rPr>
          <w:lang w:val="lt-LT"/>
        </w:rPr>
        <w:t xml:space="preserve"> </w:t>
      </w:r>
      <w:r w:rsidR="00A05219">
        <w:rPr>
          <w:lang w:val="lt-LT"/>
        </w:rPr>
        <w:t>2</w:t>
      </w:r>
      <w:r w:rsidR="00101DBF" w:rsidRPr="00101DBF">
        <w:rPr>
          <w:lang w:val="lt-LT"/>
        </w:rPr>
        <w:t xml:space="preserve"> </w:t>
      </w:r>
      <w:r w:rsidR="00C86944">
        <w:rPr>
          <w:lang w:val="lt-LT"/>
        </w:rPr>
        <w:t>punktuose</w:t>
      </w:r>
      <w:r w:rsidR="00101DBF" w:rsidRPr="00101DBF">
        <w:rPr>
          <w:lang w:val="lt-LT"/>
        </w:rPr>
        <w:t xml:space="preserve"> turi būti nurodyta</w:t>
      </w:r>
      <w:r w:rsidR="00DF658B">
        <w:rPr>
          <w:lang w:val="lt-LT"/>
        </w:rPr>
        <w:t>:</w:t>
      </w:r>
      <w:r w:rsidR="00101DBF" w:rsidRPr="00101DBF">
        <w:rPr>
          <w:lang w:val="lt-LT"/>
        </w:rPr>
        <w:t xml:space="preserve"> „</w:t>
      </w:r>
      <w:r w:rsidR="00751AE1" w:rsidRPr="00751AE1">
        <w:rPr>
          <w:bCs/>
          <w:lang w:val="lt-LT"/>
        </w:rPr>
        <w:t xml:space="preserve">tiekėjo, kuris yra juridinis asmuo, kita organizacija </w:t>
      </w:r>
      <w:r w:rsidR="00101DBF" w:rsidRPr="00101DBF">
        <w:rPr>
          <w:lang w:val="lt-LT"/>
        </w:rPr>
        <w:t xml:space="preserve">ar jos </w:t>
      </w:r>
      <w:r w:rsidR="00101DBF" w:rsidRPr="00101DBF">
        <w:rPr>
          <w:b/>
          <w:bCs/>
          <w:lang w:val="lt-LT"/>
        </w:rPr>
        <w:t>struktūrinis</w:t>
      </w:r>
      <w:r w:rsidR="00101DBF" w:rsidRPr="00101DBF">
        <w:rPr>
          <w:lang w:val="lt-LT"/>
        </w:rPr>
        <w:t xml:space="preserve"> padalinys“. Atsižvelgiant į tai, rekomenduotina papildyti Pašalinimo pagrindus trūkstama informacija, t. y. žodžiu „</w:t>
      </w:r>
      <w:r w:rsidR="00101DBF" w:rsidRPr="009D39BD">
        <w:rPr>
          <w:b/>
          <w:bCs/>
          <w:lang w:val="lt-LT"/>
        </w:rPr>
        <w:t>struktūrinis</w:t>
      </w:r>
      <w:r w:rsidR="00101DBF" w:rsidRPr="00101DBF">
        <w:rPr>
          <w:lang w:val="lt-LT"/>
        </w:rPr>
        <w:t>“.</w:t>
      </w:r>
    </w:p>
    <w:p w14:paraId="310B4D99" w14:textId="41A73B26" w:rsidR="00D60B86" w:rsidRPr="009D39BD" w:rsidRDefault="00D60B86" w:rsidP="004528F9">
      <w:pPr>
        <w:spacing w:after="0"/>
        <w:rPr>
          <w:b/>
          <w:bCs/>
          <w:lang w:val="lt-LT"/>
        </w:rPr>
      </w:pPr>
      <w:r w:rsidRPr="00D60B86">
        <w:rPr>
          <w:lang w:val="lt-LT"/>
        </w:rPr>
        <w:t xml:space="preserve">Be to, Pašalinimo pagrindų lentelėje </w:t>
      </w:r>
      <w:r w:rsidRPr="009D39BD">
        <w:rPr>
          <w:b/>
          <w:bCs/>
          <w:lang w:val="lt-LT"/>
        </w:rPr>
        <w:t>nėra Įstatymo 46 straipsnio 2</w:t>
      </w:r>
      <w:r w:rsidRPr="009D39BD">
        <w:rPr>
          <w:b/>
          <w:bCs/>
          <w:vertAlign w:val="superscript"/>
          <w:lang w:val="lt-LT"/>
        </w:rPr>
        <w:t xml:space="preserve">1 </w:t>
      </w:r>
      <w:r w:rsidRPr="009D39BD">
        <w:rPr>
          <w:b/>
          <w:bCs/>
          <w:lang w:val="lt-LT"/>
        </w:rPr>
        <w:t xml:space="preserve"> dalyje nustatyto pašalinimo pagrindo.</w:t>
      </w:r>
    </w:p>
    <w:p w14:paraId="19ACB868" w14:textId="2F019862" w:rsidR="00D60B86" w:rsidRPr="00D60B86" w:rsidRDefault="00D60B86" w:rsidP="00DF658B">
      <w:pPr>
        <w:spacing w:after="0"/>
        <w:rPr>
          <w:lang w:val="lt-LT"/>
        </w:rPr>
      </w:pPr>
      <w:r w:rsidRPr="00D60B86">
        <w:rPr>
          <w:lang w:val="lt-LT"/>
        </w:rPr>
        <w:t xml:space="preserve">Atsižvelgiant į </w:t>
      </w:r>
      <w:r w:rsidR="00B92552">
        <w:rPr>
          <w:lang w:val="lt-LT"/>
        </w:rPr>
        <w:t>nurodytą</w:t>
      </w:r>
      <w:r w:rsidRPr="00D60B86">
        <w:rPr>
          <w:lang w:val="lt-LT"/>
        </w:rPr>
        <w:t xml:space="preserve">, rekomenduotina patikslinti </w:t>
      </w:r>
      <w:r w:rsidR="006017B2">
        <w:rPr>
          <w:lang w:val="lt-LT"/>
        </w:rPr>
        <w:t>Tiekėjų p</w:t>
      </w:r>
      <w:r w:rsidRPr="00D60B86">
        <w:rPr>
          <w:lang w:val="lt-LT"/>
        </w:rPr>
        <w:t>ašalinimo pagrindus.</w:t>
      </w:r>
    </w:p>
    <w:p w14:paraId="3F8FE004" w14:textId="2ADC9E8F" w:rsidR="00A7135E" w:rsidRDefault="00D02383" w:rsidP="00006973">
      <w:pPr>
        <w:spacing w:after="0"/>
        <w:rPr>
          <w:lang w:val="lt-LT"/>
        </w:rPr>
      </w:pPr>
      <w:r>
        <w:rPr>
          <w:lang w:val="lt-LT"/>
        </w:rPr>
        <w:t>S</w:t>
      </w:r>
      <w:r w:rsidR="00D60B86" w:rsidRPr="00D60B86">
        <w:rPr>
          <w:lang w:val="lt-LT"/>
        </w:rPr>
        <w:t xml:space="preserve">iekiant padėti tinkamai suformuluoti pašalinimo pagrindų reikalavimus, Tarnyba yra parengusi ir paskelbusi atnaujintą pavyzdinę </w:t>
      </w:r>
      <w:hyperlink r:id="rId7" w:history="1">
        <w:r w:rsidR="00D60B86" w:rsidRPr="001F7CE8">
          <w:rPr>
            <w:rStyle w:val="Hyperlink"/>
            <w:lang w:val="lt-LT"/>
          </w:rPr>
          <w:t>pašalinimo pagrindų lentelę</w:t>
        </w:r>
      </w:hyperlink>
      <w:r w:rsidR="006017B2" w:rsidRPr="00F80799">
        <w:rPr>
          <w:lang w:val="lt-LT"/>
        </w:rPr>
        <w:t>,</w:t>
      </w:r>
      <w:r w:rsidR="00D60B86" w:rsidRPr="00D60B86">
        <w:rPr>
          <w:lang w:val="lt-LT"/>
        </w:rPr>
        <w:t xml:space="preserve"> todėl rengiant Pirkimo dokumentus rekomenduotina vadovautis šiuo dokumentu.</w:t>
      </w:r>
    </w:p>
    <w:p w14:paraId="15D53AF7" w14:textId="77777777" w:rsidR="000F7A14" w:rsidRPr="00006973" w:rsidRDefault="000F7A14" w:rsidP="00006973">
      <w:pPr>
        <w:spacing w:after="0"/>
        <w:rPr>
          <w:lang w:val="lt-LT"/>
        </w:rPr>
      </w:pPr>
    </w:p>
    <w:p w14:paraId="4079F908" w14:textId="77777777" w:rsidR="005C0CBE" w:rsidRPr="005C0CBE" w:rsidRDefault="005C0CBE" w:rsidP="005C0CBE">
      <w:pPr>
        <w:numPr>
          <w:ilvl w:val="0"/>
          <w:numId w:val="1"/>
        </w:numPr>
        <w:rPr>
          <w:b/>
          <w:bCs/>
          <w:lang w:val="lt-LT"/>
        </w:rPr>
      </w:pPr>
      <w:r w:rsidRPr="005C0CBE">
        <w:rPr>
          <w:b/>
          <w:bCs/>
          <w:lang w:val="lt-LT"/>
        </w:rPr>
        <w:t>Dėl kvalifikacijos reikalavimų</w:t>
      </w:r>
    </w:p>
    <w:p w14:paraId="3E863D43" w14:textId="6FB3BD76" w:rsidR="00725261" w:rsidRDefault="00100249" w:rsidP="00EC1A66">
      <w:pPr>
        <w:spacing w:after="0"/>
        <w:rPr>
          <w:lang w:val="lt"/>
        </w:rPr>
      </w:pPr>
      <w:r>
        <w:rPr>
          <w:b/>
          <w:bCs/>
          <w:lang w:val="lt-LT"/>
        </w:rPr>
        <w:t>2</w:t>
      </w:r>
      <w:r w:rsidR="00725261" w:rsidRPr="00171DA3">
        <w:rPr>
          <w:b/>
          <w:bCs/>
          <w:lang w:val="lt-LT"/>
        </w:rPr>
        <w:t>.</w:t>
      </w:r>
      <w:r>
        <w:rPr>
          <w:b/>
          <w:bCs/>
          <w:lang w:val="lt-LT"/>
        </w:rPr>
        <w:t>1</w:t>
      </w:r>
      <w:r w:rsidR="00725261" w:rsidRPr="00171DA3">
        <w:rPr>
          <w:b/>
          <w:bCs/>
          <w:lang w:val="lt-LT"/>
        </w:rPr>
        <w:t>.</w:t>
      </w:r>
      <w:r w:rsidR="00725261">
        <w:rPr>
          <w:lang w:val="lt-LT"/>
        </w:rPr>
        <w:t xml:space="preserve"> </w:t>
      </w:r>
      <w:r w:rsidR="00725261" w:rsidRPr="00725261">
        <w:rPr>
          <w:lang w:val="lt"/>
        </w:rPr>
        <w:t xml:space="preserve">Įstatymo 47 straipsnio 7 dalyje nurodyta, kad tiekėjo kvalifikacijos reikalavimai nustatomi pagal </w:t>
      </w:r>
      <w:hyperlink r:id="rId8">
        <w:r w:rsidR="00725261" w:rsidRPr="00725261">
          <w:rPr>
            <w:rStyle w:val="Hyperlink"/>
            <w:lang w:val="lt"/>
          </w:rPr>
          <w:t xml:space="preserve">Viešųjų pirkimų tarnybos patvirtintą tiekėjo kvalifikacijos reikalavimų nustatymo metodiką </w:t>
        </w:r>
      </w:hyperlink>
      <w:r w:rsidR="00725261" w:rsidRPr="00725261">
        <w:rPr>
          <w:lang w:val="lt"/>
        </w:rPr>
        <w:t xml:space="preserve"> (toliau – Metodika). Pažymėtina, jog </w:t>
      </w:r>
      <w:r w:rsidR="00725261" w:rsidRPr="009549B1">
        <w:rPr>
          <w:b/>
          <w:bCs/>
          <w:lang w:val="lt"/>
        </w:rPr>
        <w:t>Metodikoje prie kiekvieno kvalifikacijos reikalavimo yra nurodyta, kaip turi būti taikomas konkretus reikalavimas ūkio subjektų grupei, kitiems ūkio subjektams, kurių pajėgumais remiamasi, subtiekėjams</w:t>
      </w:r>
      <w:r w:rsidR="00725261" w:rsidRPr="00725261">
        <w:rPr>
          <w:lang w:val="lt"/>
        </w:rPr>
        <w:t>.</w:t>
      </w:r>
      <w:r w:rsidR="009549B1">
        <w:rPr>
          <w:lang w:val="lt"/>
        </w:rPr>
        <w:t xml:space="preserve"> </w:t>
      </w:r>
      <w:r w:rsidR="00725261" w:rsidRPr="00725261">
        <w:rPr>
          <w:lang w:val="lt"/>
        </w:rPr>
        <w:t>Šiuo atveju Kvalifikacijos reikalavim</w:t>
      </w:r>
      <w:r w:rsidR="00B52809">
        <w:rPr>
          <w:lang w:val="lt"/>
        </w:rPr>
        <w:t>ų skilt</w:t>
      </w:r>
      <w:r w:rsidR="0067559B">
        <w:rPr>
          <w:lang w:val="lt"/>
        </w:rPr>
        <w:t xml:space="preserve">ies </w:t>
      </w:r>
      <w:r w:rsidR="00B52809">
        <w:rPr>
          <w:lang w:val="lt"/>
        </w:rPr>
        <w:t xml:space="preserve">„Subjektas, kuris turi atitikti reikalavimą“ </w:t>
      </w:r>
      <w:r w:rsidR="0067559B">
        <w:rPr>
          <w:lang w:val="lt"/>
        </w:rPr>
        <w:t xml:space="preserve">punktuose </w:t>
      </w:r>
      <w:r w:rsidR="00B52809">
        <w:rPr>
          <w:lang w:val="lt"/>
        </w:rPr>
        <w:t xml:space="preserve">nurodyta </w:t>
      </w:r>
      <w:r w:rsidR="001A7527">
        <w:rPr>
          <w:lang w:val="lt"/>
        </w:rPr>
        <w:t xml:space="preserve">nepilna </w:t>
      </w:r>
      <w:r w:rsidR="00B52809">
        <w:rPr>
          <w:lang w:val="lt"/>
        </w:rPr>
        <w:t xml:space="preserve">informacija </w:t>
      </w:r>
      <w:r w:rsidR="001A7527">
        <w:rPr>
          <w:lang w:val="lt"/>
        </w:rPr>
        <w:t xml:space="preserve">arba </w:t>
      </w:r>
      <w:r w:rsidR="00D42FD9">
        <w:rPr>
          <w:lang w:val="lt"/>
        </w:rPr>
        <w:t xml:space="preserve">informacija </w:t>
      </w:r>
      <w:r w:rsidR="00B52809">
        <w:rPr>
          <w:lang w:val="lt"/>
        </w:rPr>
        <w:t xml:space="preserve">neatitinka </w:t>
      </w:r>
      <w:r w:rsidR="00171DA3">
        <w:rPr>
          <w:lang w:val="lt"/>
        </w:rPr>
        <w:lastRenderedPageBreak/>
        <w:t>Metodikos</w:t>
      </w:r>
      <w:r w:rsidR="00725261" w:rsidRPr="00725261">
        <w:rPr>
          <w:lang w:val="lt"/>
        </w:rPr>
        <w:t>. Atsižvelgiant į išdėstytą, Tarnyba rekomenduoja papildyti Pirkimo dokumentus prie kiekvieno kvalifikacinio reikalavimo nurodant jo taikymą, atsižvelgiant į Metodiką</w:t>
      </w:r>
      <w:r w:rsidR="00E3791B">
        <w:rPr>
          <w:lang w:val="lt"/>
        </w:rPr>
        <w:t xml:space="preserve"> ir </w:t>
      </w:r>
      <w:hyperlink r:id="rId9" w:history="1">
        <w:r w:rsidR="00511D76" w:rsidRPr="001235A3">
          <w:rPr>
            <w:rStyle w:val="Hyperlink"/>
            <w:lang w:val="lt"/>
          </w:rPr>
          <w:t>Statybos darbų pirkimų gaires</w:t>
        </w:r>
      </w:hyperlink>
      <w:r w:rsidR="00725261" w:rsidRPr="00725261">
        <w:rPr>
          <w:lang w:val="lt"/>
        </w:rPr>
        <w:t>.</w:t>
      </w:r>
    </w:p>
    <w:p w14:paraId="41BE6F8D" w14:textId="2E1FD18C" w:rsidR="00F933DA" w:rsidRDefault="00F933DA" w:rsidP="00B56CE4">
      <w:pPr>
        <w:spacing w:after="0"/>
        <w:rPr>
          <w:lang w:val="lt-LT" w:bidi="lt-LT"/>
        </w:rPr>
      </w:pPr>
    </w:p>
    <w:p w14:paraId="5BEAACD4" w14:textId="3EF42DCB" w:rsidR="00E5695B" w:rsidRDefault="00594593" w:rsidP="003B24EC">
      <w:pPr>
        <w:spacing w:after="0"/>
        <w:rPr>
          <w:lang w:val="lt-LT" w:bidi="lt-LT"/>
        </w:rPr>
      </w:pPr>
      <w:r>
        <w:rPr>
          <w:b/>
          <w:bCs/>
          <w:lang w:val="lt-LT" w:bidi="lt-LT"/>
        </w:rPr>
        <w:t>2</w:t>
      </w:r>
      <w:r w:rsidR="00F933DA" w:rsidRPr="00F933DA">
        <w:rPr>
          <w:b/>
          <w:bCs/>
          <w:lang w:val="lt-LT" w:bidi="lt-LT"/>
        </w:rPr>
        <w:t>.</w:t>
      </w:r>
      <w:r>
        <w:rPr>
          <w:b/>
          <w:bCs/>
          <w:lang w:val="lt-LT" w:bidi="lt-LT"/>
        </w:rPr>
        <w:t>2</w:t>
      </w:r>
      <w:r w:rsidR="00F933DA" w:rsidRPr="00F933DA">
        <w:rPr>
          <w:b/>
          <w:bCs/>
          <w:lang w:val="lt-LT" w:bidi="lt-LT"/>
        </w:rPr>
        <w:t xml:space="preserve">. </w:t>
      </w:r>
      <w:r w:rsidR="00DF6D02" w:rsidRPr="00DF6D02">
        <w:rPr>
          <w:lang w:val="lt-LT" w:bidi="lt-LT"/>
        </w:rPr>
        <w:t>Perkančioji organizacija</w:t>
      </w:r>
      <w:r w:rsidR="00DF6D02">
        <w:rPr>
          <w:lang w:val="lt-LT" w:bidi="lt-LT"/>
        </w:rPr>
        <w:t xml:space="preserve"> dalinai atsižvelgė į rekomendaciją ir </w:t>
      </w:r>
      <w:r w:rsidR="00895326">
        <w:rPr>
          <w:lang w:val="lt-LT" w:bidi="lt-LT"/>
        </w:rPr>
        <w:t xml:space="preserve">papildė </w:t>
      </w:r>
      <w:r w:rsidR="00615177" w:rsidRPr="00615177">
        <w:rPr>
          <w:lang w:val="lt-LT" w:bidi="lt-LT"/>
        </w:rPr>
        <w:t>Kvalifikacijos reikalavimų 3</w:t>
      </w:r>
      <w:r w:rsidR="00DF6431">
        <w:rPr>
          <w:lang w:val="lt-LT" w:bidi="lt-LT"/>
        </w:rPr>
        <w:t>.</w:t>
      </w:r>
      <w:r w:rsidR="009209AA">
        <w:rPr>
          <w:lang w:val="lt-LT" w:bidi="lt-LT"/>
        </w:rPr>
        <w:t>2</w:t>
      </w:r>
      <w:r w:rsidR="00615177" w:rsidRPr="00615177">
        <w:rPr>
          <w:lang w:val="lt-LT" w:bidi="lt-LT"/>
        </w:rPr>
        <w:t>. papunktyje</w:t>
      </w:r>
      <w:r w:rsidR="00615177">
        <w:rPr>
          <w:lang w:val="lt-LT" w:bidi="lt-LT"/>
        </w:rPr>
        <w:t xml:space="preserve"> nustatyt</w:t>
      </w:r>
      <w:r w:rsidR="00895326">
        <w:rPr>
          <w:lang w:val="lt-LT" w:bidi="lt-LT"/>
        </w:rPr>
        <w:t>ą</w:t>
      </w:r>
      <w:r w:rsidR="00615177">
        <w:rPr>
          <w:lang w:val="lt-LT" w:bidi="lt-LT"/>
        </w:rPr>
        <w:t xml:space="preserve"> reikalavim</w:t>
      </w:r>
      <w:r w:rsidR="00895326">
        <w:rPr>
          <w:lang w:val="lt-LT" w:bidi="lt-LT"/>
        </w:rPr>
        <w:t>ą</w:t>
      </w:r>
      <w:r w:rsidR="00615177">
        <w:rPr>
          <w:lang w:val="lt-LT" w:bidi="lt-LT"/>
        </w:rPr>
        <w:t xml:space="preserve"> </w:t>
      </w:r>
      <w:r w:rsidR="00BA5D1C">
        <w:rPr>
          <w:lang w:val="lt-LT" w:bidi="lt-LT"/>
        </w:rPr>
        <w:t xml:space="preserve">Tiekėjui turėti </w:t>
      </w:r>
      <w:r w:rsidR="00A925D3" w:rsidRPr="00A925D3">
        <w:rPr>
          <w:lang w:val="lt-LT" w:bidi="lt-LT"/>
        </w:rPr>
        <w:t>bent 1(vien</w:t>
      </w:r>
      <w:r w:rsidR="006D2264">
        <w:rPr>
          <w:lang w:val="lt-LT" w:bidi="lt-LT"/>
        </w:rPr>
        <w:t>ą</w:t>
      </w:r>
      <w:r w:rsidR="00A925D3" w:rsidRPr="00A925D3">
        <w:rPr>
          <w:lang w:val="lt-LT" w:bidi="lt-LT"/>
        </w:rPr>
        <w:t>) atestuot</w:t>
      </w:r>
      <w:r w:rsidR="006D2264">
        <w:rPr>
          <w:lang w:val="lt-LT" w:bidi="lt-LT"/>
        </w:rPr>
        <w:t>ą</w:t>
      </w:r>
      <w:r w:rsidR="00A925D3" w:rsidRPr="00A925D3">
        <w:rPr>
          <w:lang w:val="lt-LT" w:bidi="lt-LT"/>
        </w:rPr>
        <w:t xml:space="preserve"> ypatingo statinio statybos darbų vadov</w:t>
      </w:r>
      <w:r w:rsidR="00C45E09">
        <w:rPr>
          <w:lang w:val="lt-LT" w:bidi="lt-LT"/>
        </w:rPr>
        <w:t xml:space="preserve">ą/ </w:t>
      </w:r>
      <w:r w:rsidR="0004009F">
        <w:rPr>
          <w:lang w:val="lt-LT" w:bidi="lt-LT"/>
        </w:rPr>
        <w:t>specialiųjų statybos darbų vadovą</w:t>
      </w:r>
      <w:r w:rsidR="00E5695B">
        <w:rPr>
          <w:lang w:val="lt-LT" w:bidi="lt-LT"/>
        </w:rPr>
        <w:t xml:space="preserve"> pastaba</w:t>
      </w:r>
      <w:r w:rsidR="008557F0">
        <w:rPr>
          <w:lang w:val="lt-LT" w:bidi="lt-LT"/>
        </w:rPr>
        <w:t>,</w:t>
      </w:r>
      <w:r w:rsidR="003E087C">
        <w:rPr>
          <w:lang w:val="lt-LT" w:bidi="lt-LT"/>
        </w:rPr>
        <w:t xml:space="preserve"> kaip kvalifikacijos dokumente bus vertinama pateikta informacija, t. y.</w:t>
      </w:r>
      <w:r w:rsidR="00DF6431">
        <w:rPr>
          <w:lang w:val="lt-LT" w:bidi="lt-LT"/>
        </w:rPr>
        <w:t>:</w:t>
      </w:r>
      <w:r w:rsidR="00E5695B">
        <w:rPr>
          <w:lang w:val="lt-LT" w:bidi="lt-LT"/>
        </w:rPr>
        <w:t xml:space="preserve"> „</w:t>
      </w:r>
      <w:r w:rsidR="00DF6431" w:rsidRPr="00DF6431">
        <w:rPr>
          <w:lang w:val="lt-LT" w:bidi="lt-LT"/>
        </w:rPr>
        <w:t xml:space="preserve">Jei kvalifikacijos dokumente yra nurodyta visa reikalaujama statinių grupė </w:t>
      </w:r>
      <w:r w:rsidR="00DF6431">
        <w:rPr>
          <w:lang w:val="lt-LT" w:bidi="lt-LT"/>
        </w:rPr>
        <w:t xml:space="preserve"> </w:t>
      </w:r>
      <w:r w:rsidR="00DF6431" w:rsidRPr="004A55C5">
        <w:rPr>
          <w:b/>
          <w:bCs/>
          <w:lang w:val="lt-LT" w:bidi="lt-LT"/>
        </w:rPr>
        <w:t>neišskirti/nenurodyti pogrupiai</w:t>
      </w:r>
      <w:r w:rsidR="00DF6431" w:rsidRPr="00DF6431">
        <w:rPr>
          <w:lang w:val="lt-LT" w:bidi="lt-LT"/>
        </w:rPr>
        <w:t xml:space="preserve">) </w:t>
      </w:r>
      <w:r w:rsidR="00DF6431" w:rsidRPr="004A55C5">
        <w:rPr>
          <w:b/>
          <w:bCs/>
          <w:lang w:val="lt-LT" w:bidi="lt-LT"/>
        </w:rPr>
        <w:t>arba nurodytas konkretus pogrupis</w:t>
      </w:r>
      <w:r w:rsidR="00DF6431" w:rsidRPr="00DF6431">
        <w:rPr>
          <w:lang w:val="lt-LT" w:bidi="lt-LT"/>
        </w:rPr>
        <w:t xml:space="preserve">, </w:t>
      </w:r>
      <w:r w:rsidR="00DF6431" w:rsidRPr="004A55C5">
        <w:rPr>
          <w:b/>
          <w:bCs/>
          <w:lang w:val="lt-LT" w:bidi="lt-LT"/>
        </w:rPr>
        <w:t xml:space="preserve">atitinkantis nurodytą kvalifikacijos reikalavime </w:t>
      </w:r>
      <w:r w:rsidR="00DF6431" w:rsidRPr="00DF6431">
        <w:rPr>
          <w:lang w:val="lt-LT" w:bidi="lt-LT"/>
        </w:rPr>
        <w:t>– tokie kvalifikacijos dokumentai yra tinkami. Tinkamu bus laikomas ir atestatas, kuriame nurodyti „gyvenamieji ir negyvenamieji pastatai“</w:t>
      </w:r>
      <w:r w:rsidR="00DF6431">
        <w:rPr>
          <w:lang w:val="lt-LT" w:bidi="lt-LT"/>
        </w:rPr>
        <w:t>.</w:t>
      </w:r>
    </w:p>
    <w:p w14:paraId="5AE5EBCA" w14:textId="7A1EFA3E" w:rsidR="00E5695B" w:rsidRDefault="003F0473" w:rsidP="003B24EC">
      <w:pPr>
        <w:spacing w:after="0"/>
        <w:rPr>
          <w:lang w:val="lt-LT" w:bidi="lt-LT"/>
        </w:rPr>
      </w:pPr>
      <w:r>
        <w:rPr>
          <w:lang w:val="lt-LT" w:bidi="lt-LT"/>
        </w:rPr>
        <w:t xml:space="preserve">Atkreiptinas dėmesys, jog </w:t>
      </w:r>
      <w:r w:rsidRPr="00D77DD1">
        <w:rPr>
          <w:b/>
          <w:bCs/>
          <w:lang w:val="lt-LT" w:bidi="lt-LT"/>
        </w:rPr>
        <w:t xml:space="preserve">pačiame kvalifikacijos reikalavime nėra </w:t>
      </w:r>
      <w:r w:rsidR="00D77DD1" w:rsidRPr="00D77DD1">
        <w:rPr>
          <w:b/>
          <w:bCs/>
          <w:lang w:val="lt-LT" w:bidi="lt-LT"/>
        </w:rPr>
        <w:t>nurodyto pogrupio</w:t>
      </w:r>
      <w:r w:rsidR="00D77DD1">
        <w:rPr>
          <w:b/>
          <w:bCs/>
          <w:lang w:val="lt-LT" w:bidi="lt-LT"/>
        </w:rPr>
        <w:t xml:space="preserve">, o nurodyta tik </w:t>
      </w:r>
      <w:r w:rsidR="00852550">
        <w:rPr>
          <w:b/>
          <w:bCs/>
          <w:lang w:val="lt-LT" w:bidi="lt-LT"/>
        </w:rPr>
        <w:t>gyvenamųjų pastatų grupė</w:t>
      </w:r>
      <w:r w:rsidR="00D77DD1">
        <w:rPr>
          <w:lang w:val="lt-LT" w:bidi="lt-LT"/>
        </w:rPr>
        <w:t>.</w:t>
      </w:r>
    </w:p>
    <w:p w14:paraId="2ED81449" w14:textId="1CDBC759" w:rsidR="00761AAA" w:rsidRDefault="00E15E1A" w:rsidP="003B24EC">
      <w:pPr>
        <w:spacing w:after="0"/>
        <w:rPr>
          <w:lang w:val="lt" w:bidi="lt-LT"/>
        </w:rPr>
      </w:pPr>
      <w:r w:rsidRPr="00E15E1A">
        <w:rPr>
          <w:lang w:val="lt-LT" w:bidi="lt-LT"/>
        </w:rPr>
        <w:t>Atsižvelgiant į tai, kad gali būti nustatomi tik būtini tiekėjų kvalifikacijos reikalavimai, nustatant specialistų</w:t>
      </w:r>
      <w:r w:rsidR="008E3FF9">
        <w:rPr>
          <w:lang w:val="lt-LT" w:bidi="lt-LT"/>
        </w:rPr>
        <w:t xml:space="preserve"> </w:t>
      </w:r>
      <w:r w:rsidRPr="00E15E1A">
        <w:rPr>
          <w:lang w:val="lt-LT" w:bidi="lt-LT"/>
        </w:rPr>
        <w:t>kvalifikacijos reikalavimą dėl teisės eiti ypatingojo statinio statybos vadovo/specialiųjų</w:t>
      </w:r>
      <w:r>
        <w:rPr>
          <w:lang w:val="lt-LT" w:bidi="lt-LT"/>
        </w:rPr>
        <w:t xml:space="preserve"> </w:t>
      </w:r>
      <w:r w:rsidRPr="00E15E1A">
        <w:rPr>
          <w:lang w:val="lt-LT" w:bidi="lt-LT"/>
        </w:rPr>
        <w:t xml:space="preserve">statybos darbų vadovo pareigas, </w:t>
      </w:r>
      <w:r w:rsidRPr="00FE567F">
        <w:rPr>
          <w:b/>
          <w:bCs/>
          <w:lang w:val="lt-LT" w:bidi="lt-LT"/>
        </w:rPr>
        <w:t>turi būti nurodoma ne tik statinio grupė, bet ir pirkimo objektą atitinkantis pogrupis</w:t>
      </w:r>
      <w:r w:rsidRPr="00E15E1A">
        <w:rPr>
          <w:lang w:val="lt-LT" w:bidi="lt-LT"/>
        </w:rPr>
        <w:t>. Kai nenurodomas pirkimo objektą atitinkantis statinio pogrupis, toks kvalifikacijos reikalavimas</w:t>
      </w:r>
      <w:r>
        <w:rPr>
          <w:lang w:val="lt-LT" w:bidi="lt-LT"/>
        </w:rPr>
        <w:t xml:space="preserve"> </w:t>
      </w:r>
      <w:r w:rsidRPr="00E15E1A">
        <w:rPr>
          <w:lang w:val="lt-LT" w:bidi="lt-LT"/>
        </w:rPr>
        <w:t>laikytinas nesusijusiu su pirkimo objektu, neproporcingu ir gali dirbtinai riboti konkurenciją</w:t>
      </w:r>
      <w:r w:rsidR="002A5D50">
        <w:rPr>
          <w:lang w:val="lt-LT" w:bidi="lt-LT"/>
        </w:rPr>
        <w:t xml:space="preserve">, </w:t>
      </w:r>
      <w:r w:rsidR="002A5D50" w:rsidRPr="002A5D50">
        <w:rPr>
          <w:lang w:val="lt" w:bidi="lt-LT"/>
        </w:rPr>
        <w:t>todėl rekomenduotina peržiūrėti ir papildyti kvalifikacijos reikalavimą</w:t>
      </w:r>
      <w:r w:rsidR="00A2684E">
        <w:rPr>
          <w:lang w:val="lt" w:bidi="lt-LT"/>
        </w:rPr>
        <w:t xml:space="preserve"> pirkimo objektą atitinkančiu pogrupiu</w:t>
      </w:r>
      <w:r w:rsidR="002A5D50" w:rsidRPr="002A5D50">
        <w:rPr>
          <w:lang w:val="lt" w:bidi="lt-LT"/>
        </w:rPr>
        <w:t xml:space="preserve">. </w:t>
      </w:r>
    </w:p>
    <w:p w14:paraId="6142D718" w14:textId="77777777" w:rsidR="00B12D1E" w:rsidRPr="005C0CBE" w:rsidRDefault="00B12D1E" w:rsidP="00B12D1E">
      <w:pPr>
        <w:spacing w:after="0"/>
        <w:rPr>
          <w:lang w:val="lt-LT"/>
        </w:rPr>
      </w:pPr>
    </w:p>
    <w:p w14:paraId="13DCAD70" w14:textId="77777777" w:rsidR="005C0CBE" w:rsidRDefault="005C0CBE" w:rsidP="005C0CBE">
      <w:pPr>
        <w:numPr>
          <w:ilvl w:val="0"/>
          <w:numId w:val="1"/>
        </w:numPr>
        <w:rPr>
          <w:b/>
          <w:bCs/>
          <w:lang w:val="lt-LT"/>
        </w:rPr>
      </w:pPr>
      <w:r w:rsidRPr="005C0CBE">
        <w:rPr>
          <w:b/>
          <w:bCs/>
          <w:lang w:val="lt-LT"/>
        </w:rPr>
        <w:t>Dėl Sutarties projekto nuostatų</w:t>
      </w:r>
    </w:p>
    <w:p w14:paraId="374E9981" w14:textId="0738ABD9" w:rsidR="00562FBC" w:rsidRDefault="00C175BD" w:rsidP="00BA2C70">
      <w:pPr>
        <w:rPr>
          <w:lang w:val="lt-LT"/>
        </w:rPr>
      </w:pPr>
      <w:bookmarkStart w:id="0" w:name="_Toc126333948"/>
      <w:bookmarkStart w:id="1" w:name="_Toc202794144"/>
      <w:r w:rsidRPr="00C175BD">
        <w:rPr>
          <w:lang w:val="lt-LT"/>
        </w:rPr>
        <w:t>Perkančio</w:t>
      </w:r>
      <w:r w:rsidR="00CA4A84">
        <w:rPr>
          <w:lang w:val="lt-LT"/>
        </w:rPr>
        <w:t>ji</w:t>
      </w:r>
      <w:r w:rsidRPr="00C175BD">
        <w:rPr>
          <w:lang w:val="lt-LT"/>
        </w:rPr>
        <w:t xml:space="preserve"> organizacij</w:t>
      </w:r>
      <w:r w:rsidR="00CA4A84">
        <w:rPr>
          <w:lang w:val="lt-LT"/>
        </w:rPr>
        <w:t>a</w:t>
      </w:r>
      <w:r w:rsidRPr="00C175BD">
        <w:rPr>
          <w:lang w:val="lt-LT"/>
        </w:rPr>
        <w:t xml:space="preserve"> 2025</w:t>
      </w:r>
      <w:r w:rsidR="00562FBC">
        <w:rPr>
          <w:lang w:val="lt-LT"/>
        </w:rPr>
        <w:t>-08-</w:t>
      </w:r>
      <w:r w:rsidR="00934B3F">
        <w:rPr>
          <w:lang w:val="lt-LT"/>
        </w:rPr>
        <w:t>26</w:t>
      </w:r>
      <w:r w:rsidRPr="00C175BD">
        <w:rPr>
          <w:lang w:val="lt-LT"/>
        </w:rPr>
        <w:t xml:space="preserve"> rašte „</w:t>
      </w:r>
      <w:r w:rsidR="00664A3D">
        <w:rPr>
          <w:lang w:val="lt-LT"/>
        </w:rPr>
        <w:t>D</w:t>
      </w:r>
      <w:r w:rsidR="00664A3D" w:rsidRPr="00C175BD">
        <w:rPr>
          <w:lang w:val="lt-LT"/>
        </w:rPr>
        <w:t>ėl rekomendacijos įvertinimo ir informacijos apie sprendimus pateikimo</w:t>
      </w:r>
      <w:r w:rsidRPr="00C175BD">
        <w:rPr>
          <w:lang w:val="lt-LT"/>
        </w:rPr>
        <w:t xml:space="preserve">“ </w:t>
      </w:r>
      <w:r w:rsidR="00CA4A84">
        <w:rPr>
          <w:lang w:val="lt-LT"/>
        </w:rPr>
        <w:t>paaiškino</w:t>
      </w:r>
      <w:r w:rsidRPr="00C175BD">
        <w:rPr>
          <w:lang w:val="lt-LT"/>
        </w:rPr>
        <w:t xml:space="preserve">, kad papunktis 13.1 reglamentuoja sutarties įvykdymo užtikrinimo priemones, numatydamas alternatyvas (laiduotojas gali būti tiek draudimo kompanija, tiek bankas), laikantis Statybos įstatymo nuostatų, o papunktis 14.1 reglamentuoja civilinės atsakomybės (CA) draudimą, kuris yra atskira tema, kurioje draudimo paslaugas gali teikti tik draudimo kompanija. Atkreiptinas dėmesys, kad Perkančiosios organizacijos rašte cituojamos </w:t>
      </w:r>
      <w:r w:rsidRPr="00934B3F">
        <w:rPr>
          <w:b/>
          <w:bCs/>
          <w:lang w:val="lt-LT"/>
        </w:rPr>
        <w:t>Statybos rangos sutarties Bendrųjų sąlygų</w:t>
      </w:r>
      <w:r w:rsidRPr="00C175BD">
        <w:rPr>
          <w:lang w:val="lt-LT"/>
        </w:rPr>
        <w:t xml:space="preserve"> nuostatos</w:t>
      </w:r>
      <w:r w:rsidR="00562FBC">
        <w:rPr>
          <w:lang w:val="lt-LT"/>
        </w:rPr>
        <w:t>, tuo tarpu Tarnybos 2025-08-</w:t>
      </w:r>
      <w:r w:rsidR="00934B3F">
        <w:rPr>
          <w:lang w:val="lt-LT"/>
        </w:rPr>
        <w:t>25</w:t>
      </w:r>
      <w:r w:rsidR="00664A3D">
        <w:rPr>
          <w:lang w:val="lt-LT"/>
        </w:rPr>
        <w:t xml:space="preserve"> Perkančiajai organizacijai teiktoje rekomendacijoje pastaba teikta dėl </w:t>
      </w:r>
      <w:r w:rsidR="00664A3D" w:rsidRPr="00934B3F">
        <w:rPr>
          <w:b/>
          <w:bCs/>
          <w:lang w:val="lt-LT"/>
        </w:rPr>
        <w:t>Pagrindinės sutarties specialiųjų sąlygų</w:t>
      </w:r>
      <w:r w:rsidR="00664A3D" w:rsidRPr="00664A3D">
        <w:rPr>
          <w:lang w:val="lt-LT"/>
        </w:rPr>
        <w:t xml:space="preserve"> 14.1 papunk</w:t>
      </w:r>
      <w:r w:rsidR="00664A3D">
        <w:rPr>
          <w:lang w:val="lt-LT"/>
        </w:rPr>
        <w:t>čio.</w:t>
      </w:r>
    </w:p>
    <w:p w14:paraId="284623CA" w14:textId="7AA56CDF" w:rsidR="007A6D94" w:rsidRPr="00A95734" w:rsidRDefault="007432BB" w:rsidP="00BA2C70">
      <w:pPr>
        <w:rPr>
          <w:lang w:val="lt-LT"/>
        </w:rPr>
      </w:pPr>
      <w:r w:rsidRPr="007432BB">
        <w:rPr>
          <w:lang w:val="lt-LT"/>
        </w:rPr>
        <w:t>Pirkimo sąlygų 10 pried</w:t>
      </w:r>
      <w:r>
        <w:rPr>
          <w:lang w:val="lt-LT"/>
        </w:rPr>
        <w:t>o</w:t>
      </w:r>
      <w:r w:rsidRPr="007432BB">
        <w:rPr>
          <w:lang w:val="lt-LT"/>
        </w:rPr>
        <w:t xml:space="preserve"> „Preliminarios sutarties projektas“</w:t>
      </w:r>
      <w:bookmarkEnd w:id="0"/>
      <w:bookmarkEnd w:id="1"/>
      <w:r w:rsidR="00D73156" w:rsidRPr="007432BB">
        <w:rPr>
          <w:lang w:val="lt-LT"/>
        </w:rPr>
        <w:t xml:space="preserve"> 7.1. punkte nustatyta, jog „Rangovas įsipareigoja: kiekvienai rangos darbų (pagrindinei) sutarčiai per 5 dienas nuo jos pasirašymo pateikti jos įvykdymo užtikrinimą – </w:t>
      </w:r>
      <w:r w:rsidR="00D73156" w:rsidRPr="00EA6B5B">
        <w:rPr>
          <w:b/>
          <w:bCs/>
          <w:lang w:val="lt-LT"/>
        </w:rPr>
        <w:t>Lietuvos Respublikoje ar užsienyje registruoto banko garantiją arba draudimo bendrovės laidavimą</w:t>
      </w:r>
      <w:r w:rsidR="00D73156" w:rsidRPr="007432BB">
        <w:rPr>
          <w:lang w:val="lt-LT"/>
        </w:rPr>
        <w:t>.</w:t>
      </w:r>
      <w:r w:rsidR="009D22EF">
        <w:rPr>
          <w:lang w:val="lt-LT"/>
        </w:rPr>
        <w:t xml:space="preserve"> Atkreiptinas dėmesys, </w:t>
      </w:r>
      <w:r w:rsidR="009D22EF">
        <w:rPr>
          <w:lang w:val="lt-LT"/>
        </w:rPr>
        <w:lastRenderedPageBreak/>
        <w:t xml:space="preserve">jog </w:t>
      </w:r>
      <w:r w:rsidR="005C06BD" w:rsidRPr="004857AC">
        <w:rPr>
          <w:b/>
          <w:bCs/>
          <w:lang w:val="lt-LT"/>
        </w:rPr>
        <w:t>P</w:t>
      </w:r>
      <w:r w:rsidR="009D22EF" w:rsidRPr="004857AC">
        <w:rPr>
          <w:b/>
          <w:bCs/>
          <w:lang w:val="lt-LT"/>
        </w:rPr>
        <w:t xml:space="preserve">agrindinės sutarties </w:t>
      </w:r>
      <w:r w:rsidR="009D22EF" w:rsidRPr="00FC3398">
        <w:rPr>
          <w:b/>
          <w:bCs/>
          <w:color w:val="FF0000"/>
          <w:lang w:val="lt-LT"/>
        </w:rPr>
        <w:t xml:space="preserve">specialiųjų sąlygų </w:t>
      </w:r>
      <w:r w:rsidR="009D22EF" w:rsidRPr="004857AC">
        <w:rPr>
          <w:b/>
          <w:bCs/>
          <w:lang w:val="lt-LT"/>
        </w:rPr>
        <w:t>14.1 papunktyje</w:t>
      </w:r>
      <w:r w:rsidR="009D22EF">
        <w:rPr>
          <w:lang w:val="lt-LT"/>
        </w:rPr>
        <w:t xml:space="preserve"> pažymėta</w:t>
      </w:r>
      <w:r w:rsidR="005C06BD">
        <w:rPr>
          <w:lang w:val="lt-LT"/>
        </w:rPr>
        <w:t xml:space="preserve">, </w:t>
      </w:r>
      <w:r w:rsidR="00717EFA">
        <w:rPr>
          <w:lang w:val="lt-LT"/>
        </w:rPr>
        <w:t>k</w:t>
      </w:r>
      <w:r w:rsidR="005C06BD">
        <w:rPr>
          <w:lang w:val="lt-LT"/>
        </w:rPr>
        <w:t xml:space="preserve">ad </w:t>
      </w:r>
      <w:r w:rsidR="00C36AC7">
        <w:rPr>
          <w:lang w:val="lt-LT"/>
        </w:rPr>
        <w:t xml:space="preserve">kaip </w:t>
      </w:r>
      <w:r w:rsidR="00717EFA" w:rsidRPr="004857AC">
        <w:rPr>
          <w:b/>
          <w:bCs/>
          <w:lang w:val="lt-LT"/>
        </w:rPr>
        <w:t xml:space="preserve">Sutarties įvykdymo užtikrinimas </w:t>
      </w:r>
      <w:r w:rsidR="00C36AC7" w:rsidRPr="004857AC">
        <w:rPr>
          <w:b/>
          <w:bCs/>
          <w:lang w:val="lt-LT"/>
        </w:rPr>
        <w:t>galimas tik</w:t>
      </w:r>
      <w:r w:rsidR="00717EFA" w:rsidRPr="004857AC">
        <w:rPr>
          <w:b/>
          <w:bCs/>
          <w:lang w:val="lt-LT"/>
        </w:rPr>
        <w:t xml:space="preserve"> </w:t>
      </w:r>
      <w:r w:rsidR="00712442" w:rsidRPr="004857AC">
        <w:rPr>
          <w:b/>
          <w:bCs/>
          <w:lang w:val="lt-LT"/>
        </w:rPr>
        <w:t>draudimo bendrovės laidavimo draudimo liudijim</w:t>
      </w:r>
      <w:r w:rsidR="00934088" w:rsidRPr="004857AC">
        <w:rPr>
          <w:b/>
          <w:bCs/>
          <w:lang w:val="lt-LT"/>
        </w:rPr>
        <w:t>as</w:t>
      </w:r>
      <w:r w:rsidR="00934088">
        <w:rPr>
          <w:lang w:val="lt-LT"/>
        </w:rPr>
        <w:t xml:space="preserve">. </w:t>
      </w:r>
      <w:r w:rsidR="00A95734" w:rsidRPr="00A95734">
        <w:rPr>
          <w:lang w:val="lt"/>
        </w:rPr>
        <w:t xml:space="preserve">Atsižvelgiant į tai, kad Pirkimo dokumentai turi būti </w:t>
      </w:r>
      <w:r w:rsidR="00061747" w:rsidRPr="00061747">
        <w:rPr>
          <w:lang w:val="lt-LT"/>
        </w:rPr>
        <w:t>tikslūs, aiškūs, be dviprasmybių</w:t>
      </w:r>
      <w:r w:rsidR="00061747" w:rsidRPr="00061747">
        <w:rPr>
          <w:lang w:val="lt"/>
        </w:rPr>
        <w:t xml:space="preserve"> </w:t>
      </w:r>
      <w:r w:rsidR="00A95734" w:rsidRPr="00A95734">
        <w:rPr>
          <w:lang w:val="lt"/>
        </w:rPr>
        <w:t xml:space="preserve">(Įstatymo 35 straipsnio 4 dalis), Tarnyba rekomenduoja tikslinti </w:t>
      </w:r>
      <w:r w:rsidR="00A95734">
        <w:rPr>
          <w:lang w:val="lt"/>
        </w:rPr>
        <w:t>Pagrindinės s</w:t>
      </w:r>
      <w:r w:rsidR="00A95734" w:rsidRPr="00A95734">
        <w:rPr>
          <w:lang w:val="lt"/>
        </w:rPr>
        <w:t xml:space="preserve">utarties projekto nuostatas, pateikiant </w:t>
      </w:r>
      <w:r w:rsidR="00A95734">
        <w:rPr>
          <w:lang w:val="lt"/>
        </w:rPr>
        <w:t>vienodą</w:t>
      </w:r>
      <w:r w:rsidR="00A95734" w:rsidRPr="00A95734">
        <w:rPr>
          <w:lang w:val="lt"/>
        </w:rPr>
        <w:t xml:space="preserve"> informaciją</w:t>
      </w:r>
      <w:r w:rsidR="00A95734">
        <w:rPr>
          <w:lang w:val="lt"/>
        </w:rPr>
        <w:t>.</w:t>
      </w:r>
    </w:p>
    <w:p w14:paraId="6CD4A95B" w14:textId="77777777" w:rsidR="0006361C" w:rsidRPr="00354A64" w:rsidRDefault="0006361C" w:rsidP="00354A64">
      <w:pPr>
        <w:spacing w:after="0"/>
        <w:rPr>
          <w:bCs/>
          <w:lang w:val="lt"/>
        </w:rPr>
      </w:pPr>
    </w:p>
    <w:p w14:paraId="5A710625" w14:textId="77777777" w:rsidR="00495F55" w:rsidRDefault="005C0CBE" w:rsidP="00A46805">
      <w:pPr>
        <w:rPr>
          <w:lang w:val="lt"/>
        </w:rPr>
      </w:pPr>
      <w:r w:rsidRPr="005C0CBE">
        <w:rPr>
          <w:lang w:val="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w:t>
      </w:r>
    </w:p>
    <w:p w14:paraId="3F1FBDF1" w14:textId="2F6540BB" w:rsidR="00A46805" w:rsidRPr="00EC3F9F" w:rsidRDefault="00A46805" w:rsidP="00A46805">
      <w:pPr>
        <w:rPr>
          <w:iCs/>
          <w:lang w:val="lt-LT"/>
        </w:rPr>
      </w:pPr>
      <w:r w:rsidRPr="00EC3F9F">
        <w:rPr>
          <w:iCs/>
          <w:lang w:val="lt-LT"/>
        </w:rPr>
        <w:t>Pažymėtina, kad visais atvejais sprendimą dėl tolimesnio Pirkimo procedūros vykdymo ar nutraukimo priima pati Perkančioji organizacija, nes Tarnybos pateikta Rekomendacija nėra privalomojo pobūdžio įpareigojimas, tačiau Perkančiajai organizacijai, neatsižvelgus į Rekomendaciją, bus sprendžiamas klausimas dėl Pirkimo perdavimo išsamiam vertinimui.</w:t>
      </w:r>
    </w:p>
    <w:p w14:paraId="42209A02" w14:textId="77777777" w:rsidR="005C0CBE" w:rsidRPr="005C0CBE" w:rsidRDefault="005C0CBE" w:rsidP="005C0CBE">
      <w:pPr>
        <w:rPr>
          <w:lang w:val="lt"/>
        </w:rPr>
      </w:pPr>
    </w:p>
    <w:p w14:paraId="68D7E4AA" w14:textId="77777777" w:rsidR="00EC3F9F" w:rsidRPr="00F80799" w:rsidRDefault="00EC3F9F">
      <w:pPr>
        <w:rPr>
          <w:lang w:val="pt-BR"/>
        </w:rPr>
      </w:pPr>
    </w:p>
    <w:sectPr w:rsidR="00EC3F9F" w:rsidRPr="00F80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6898" w14:textId="77777777" w:rsidR="002B7A13" w:rsidRDefault="002B7A13" w:rsidP="00761AAA">
      <w:pPr>
        <w:spacing w:after="0" w:line="240" w:lineRule="auto"/>
      </w:pPr>
      <w:r>
        <w:separator/>
      </w:r>
    </w:p>
  </w:endnote>
  <w:endnote w:type="continuationSeparator" w:id="0">
    <w:p w14:paraId="03DA6F33" w14:textId="77777777" w:rsidR="002B7A13" w:rsidRDefault="002B7A13" w:rsidP="0076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9EF7" w14:textId="77777777" w:rsidR="002B7A13" w:rsidRDefault="002B7A13" w:rsidP="00761AAA">
      <w:pPr>
        <w:spacing w:after="0" w:line="240" w:lineRule="auto"/>
      </w:pPr>
      <w:r>
        <w:separator/>
      </w:r>
    </w:p>
  </w:footnote>
  <w:footnote w:type="continuationSeparator" w:id="0">
    <w:p w14:paraId="41757494" w14:textId="77777777" w:rsidR="002B7A13" w:rsidRDefault="002B7A13" w:rsidP="0076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8051"/>
    <w:multiLevelType w:val="hybridMultilevel"/>
    <w:tmpl w:val="4F784458"/>
    <w:lvl w:ilvl="0" w:tplc="78E43B9A">
      <w:start w:val="1"/>
      <w:numFmt w:val="decimal"/>
      <w:lvlText w:val="%1."/>
      <w:lvlJc w:val="left"/>
      <w:pPr>
        <w:ind w:left="5965" w:hanging="360"/>
      </w:pPr>
    </w:lvl>
    <w:lvl w:ilvl="1" w:tplc="0C1E3F08">
      <w:start w:val="1"/>
      <w:numFmt w:val="lowerLetter"/>
      <w:lvlText w:val="%2."/>
      <w:lvlJc w:val="left"/>
      <w:pPr>
        <w:ind w:left="6685" w:hanging="360"/>
      </w:pPr>
    </w:lvl>
    <w:lvl w:ilvl="2" w:tplc="A79CA0BA">
      <w:start w:val="1"/>
      <w:numFmt w:val="lowerRoman"/>
      <w:lvlText w:val="%3."/>
      <w:lvlJc w:val="right"/>
      <w:pPr>
        <w:ind w:left="7405" w:hanging="180"/>
      </w:pPr>
    </w:lvl>
    <w:lvl w:ilvl="3" w:tplc="86BC605A">
      <w:start w:val="1"/>
      <w:numFmt w:val="decimal"/>
      <w:lvlText w:val="%4."/>
      <w:lvlJc w:val="left"/>
      <w:pPr>
        <w:ind w:left="8125" w:hanging="360"/>
      </w:pPr>
    </w:lvl>
    <w:lvl w:ilvl="4" w:tplc="BA0E5F46">
      <w:start w:val="1"/>
      <w:numFmt w:val="lowerLetter"/>
      <w:lvlText w:val="%5."/>
      <w:lvlJc w:val="left"/>
      <w:pPr>
        <w:ind w:left="8845" w:hanging="360"/>
      </w:pPr>
    </w:lvl>
    <w:lvl w:ilvl="5" w:tplc="8528F922">
      <w:start w:val="1"/>
      <w:numFmt w:val="lowerRoman"/>
      <w:lvlText w:val="%6."/>
      <w:lvlJc w:val="right"/>
      <w:pPr>
        <w:ind w:left="9565" w:hanging="180"/>
      </w:pPr>
    </w:lvl>
    <w:lvl w:ilvl="6" w:tplc="479C9D3C">
      <w:start w:val="1"/>
      <w:numFmt w:val="decimal"/>
      <w:lvlText w:val="%7."/>
      <w:lvlJc w:val="left"/>
      <w:pPr>
        <w:ind w:left="10285" w:hanging="360"/>
      </w:pPr>
    </w:lvl>
    <w:lvl w:ilvl="7" w:tplc="99FCD8F0">
      <w:start w:val="1"/>
      <w:numFmt w:val="lowerLetter"/>
      <w:lvlText w:val="%8."/>
      <w:lvlJc w:val="left"/>
      <w:pPr>
        <w:ind w:left="11005" w:hanging="360"/>
      </w:pPr>
    </w:lvl>
    <w:lvl w:ilvl="8" w:tplc="0B82DC5A">
      <w:start w:val="1"/>
      <w:numFmt w:val="lowerRoman"/>
      <w:lvlText w:val="%9."/>
      <w:lvlJc w:val="right"/>
      <w:pPr>
        <w:ind w:left="11725" w:hanging="180"/>
      </w:pPr>
    </w:lvl>
  </w:abstractNum>
  <w:abstractNum w:abstractNumId="1" w15:restartNumberingAfterBreak="0">
    <w:nsid w:val="13AF44FF"/>
    <w:multiLevelType w:val="multilevel"/>
    <w:tmpl w:val="355C5DD0"/>
    <w:lvl w:ilvl="0">
      <w:start w:val="1"/>
      <w:numFmt w:val="decimal"/>
      <w:lvlText w:val="%1."/>
      <w:lvlJc w:val="left"/>
      <w:pPr>
        <w:ind w:left="994" w:hanging="360"/>
      </w:pPr>
    </w:lvl>
    <w:lvl w:ilvl="1">
      <w:start w:val="1"/>
      <w:numFmt w:val="decimal"/>
      <w:lvlText w:val="%1.%2."/>
      <w:lvlJc w:val="left"/>
      <w:pPr>
        <w:ind w:left="1636" w:hanging="360"/>
      </w:pPr>
    </w:lvl>
    <w:lvl w:ilvl="2">
      <w:start w:val="1"/>
      <w:numFmt w:val="decimal"/>
      <w:lvlText w:val="%1.%2.%3."/>
      <w:lvlJc w:val="left"/>
      <w:pPr>
        <w:ind w:left="1354" w:hanging="720"/>
      </w:pPr>
    </w:lvl>
    <w:lvl w:ilvl="3">
      <w:start w:val="1"/>
      <w:numFmt w:val="decimal"/>
      <w:lvlText w:val="%1.%2.%3.%4."/>
      <w:lvlJc w:val="left"/>
      <w:pPr>
        <w:ind w:left="1354" w:hanging="720"/>
      </w:pPr>
    </w:lvl>
    <w:lvl w:ilvl="4">
      <w:start w:val="1"/>
      <w:numFmt w:val="decimal"/>
      <w:lvlText w:val="%1.%2.%3.%4.%5."/>
      <w:lvlJc w:val="left"/>
      <w:pPr>
        <w:ind w:left="1714" w:hanging="1080"/>
      </w:pPr>
    </w:lvl>
    <w:lvl w:ilvl="5">
      <w:start w:val="1"/>
      <w:numFmt w:val="decimal"/>
      <w:lvlText w:val="%1.%2.%3.%4.%5.%6."/>
      <w:lvlJc w:val="left"/>
      <w:pPr>
        <w:ind w:left="1714" w:hanging="1080"/>
      </w:pPr>
    </w:lvl>
    <w:lvl w:ilvl="6">
      <w:start w:val="1"/>
      <w:numFmt w:val="decimal"/>
      <w:lvlText w:val="%1.%2.%3.%4.%5.%6.%7."/>
      <w:lvlJc w:val="left"/>
      <w:pPr>
        <w:ind w:left="2074" w:hanging="1440"/>
      </w:pPr>
    </w:lvl>
    <w:lvl w:ilvl="7">
      <w:start w:val="1"/>
      <w:numFmt w:val="decimal"/>
      <w:lvlText w:val="%1.%2.%3.%4.%5.%6.%7.%8."/>
      <w:lvlJc w:val="left"/>
      <w:pPr>
        <w:ind w:left="2074" w:hanging="1440"/>
      </w:pPr>
    </w:lvl>
    <w:lvl w:ilvl="8">
      <w:start w:val="1"/>
      <w:numFmt w:val="decimal"/>
      <w:lvlText w:val="%1.%2.%3.%4.%5.%6.%7.%8.%9."/>
      <w:lvlJc w:val="left"/>
      <w:pPr>
        <w:ind w:left="2434" w:hanging="1800"/>
      </w:pPr>
    </w:lvl>
  </w:abstractNum>
  <w:abstractNum w:abstractNumId="2" w15:restartNumberingAfterBreak="0">
    <w:nsid w:val="425D2B3C"/>
    <w:multiLevelType w:val="multilevel"/>
    <w:tmpl w:val="B6404F52"/>
    <w:lvl w:ilvl="0">
      <w:start w:val="1"/>
      <w:numFmt w:val="decimal"/>
      <w:lvlText w:val="%1."/>
      <w:lvlJc w:val="left"/>
      <w:pPr>
        <w:ind w:left="786"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D42CA9"/>
    <w:multiLevelType w:val="multilevel"/>
    <w:tmpl w:val="0472C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F247ED"/>
    <w:multiLevelType w:val="hybridMultilevel"/>
    <w:tmpl w:val="3C30498C"/>
    <w:lvl w:ilvl="0" w:tplc="EC32D13A">
      <w:start w:val="1"/>
      <w:numFmt w:val="decimal"/>
      <w:lvlText w:val="%1."/>
      <w:lvlJc w:val="left"/>
      <w:pPr>
        <w:ind w:left="1020" w:hanging="360"/>
      </w:pPr>
    </w:lvl>
    <w:lvl w:ilvl="1" w:tplc="30023D30">
      <w:start w:val="1"/>
      <w:numFmt w:val="decimal"/>
      <w:lvlText w:val="%2."/>
      <w:lvlJc w:val="left"/>
      <w:pPr>
        <w:ind w:left="1020" w:hanging="360"/>
      </w:pPr>
    </w:lvl>
    <w:lvl w:ilvl="2" w:tplc="E6143984">
      <w:start w:val="1"/>
      <w:numFmt w:val="decimal"/>
      <w:lvlText w:val="%3."/>
      <w:lvlJc w:val="left"/>
      <w:pPr>
        <w:ind w:left="1020" w:hanging="360"/>
      </w:pPr>
    </w:lvl>
    <w:lvl w:ilvl="3" w:tplc="024098F8">
      <w:start w:val="1"/>
      <w:numFmt w:val="decimal"/>
      <w:lvlText w:val="%4."/>
      <w:lvlJc w:val="left"/>
      <w:pPr>
        <w:ind w:left="1020" w:hanging="360"/>
      </w:pPr>
    </w:lvl>
    <w:lvl w:ilvl="4" w:tplc="FC12DDDC">
      <w:start w:val="1"/>
      <w:numFmt w:val="decimal"/>
      <w:lvlText w:val="%5."/>
      <w:lvlJc w:val="left"/>
      <w:pPr>
        <w:ind w:left="1020" w:hanging="360"/>
      </w:pPr>
    </w:lvl>
    <w:lvl w:ilvl="5" w:tplc="E3B06A26">
      <w:start w:val="1"/>
      <w:numFmt w:val="decimal"/>
      <w:lvlText w:val="%6."/>
      <w:lvlJc w:val="left"/>
      <w:pPr>
        <w:ind w:left="1020" w:hanging="360"/>
      </w:pPr>
    </w:lvl>
    <w:lvl w:ilvl="6" w:tplc="AEEC351C">
      <w:start w:val="1"/>
      <w:numFmt w:val="decimal"/>
      <w:lvlText w:val="%7."/>
      <w:lvlJc w:val="left"/>
      <w:pPr>
        <w:ind w:left="1020" w:hanging="360"/>
      </w:pPr>
    </w:lvl>
    <w:lvl w:ilvl="7" w:tplc="F686FDCE">
      <w:start w:val="1"/>
      <w:numFmt w:val="decimal"/>
      <w:lvlText w:val="%8."/>
      <w:lvlJc w:val="left"/>
      <w:pPr>
        <w:ind w:left="1020" w:hanging="360"/>
      </w:pPr>
    </w:lvl>
    <w:lvl w:ilvl="8" w:tplc="4F246D38">
      <w:start w:val="1"/>
      <w:numFmt w:val="decimal"/>
      <w:lvlText w:val="%9."/>
      <w:lvlJc w:val="left"/>
      <w:pPr>
        <w:ind w:left="1020" w:hanging="360"/>
      </w:pPr>
    </w:lvl>
  </w:abstractNum>
  <w:abstractNum w:abstractNumId="6" w15:restartNumberingAfterBreak="0">
    <w:nsid w:val="7C337E56"/>
    <w:multiLevelType w:val="multilevel"/>
    <w:tmpl w:val="27E4D18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953708717">
    <w:abstractNumId w:val="2"/>
  </w:num>
  <w:num w:numId="2" w16cid:durableId="1894386315">
    <w:abstractNumId w:val="6"/>
  </w:num>
  <w:num w:numId="3" w16cid:durableId="1962033026">
    <w:abstractNumId w:val="4"/>
  </w:num>
  <w:num w:numId="4" w16cid:durableId="1345085720">
    <w:abstractNumId w:val="5"/>
  </w:num>
  <w:num w:numId="5" w16cid:durableId="2147238868">
    <w:abstractNumId w:val="3"/>
  </w:num>
  <w:num w:numId="6" w16cid:durableId="887304270">
    <w:abstractNumId w:val="0"/>
  </w:num>
  <w:num w:numId="7" w16cid:durableId="2140486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23"/>
    <w:rsid w:val="0000095D"/>
    <w:rsid w:val="00006973"/>
    <w:rsid w:val="000106A2"/>
    <w:rsid w:val="00011414"/>
    <w:rsid w:val="00013618"/>
    <w:rsid w:val="00013FC2"/>
    <w:rsid w:val="00017721"/>
    <w:rsid w:val="000275DA"/>
    <w:rsid w:val="00030248"/>
    <w:rsid w:val="00032AAD"/>
    <w:rsid w:val="00036AD8"/>
    <w:rsid w:val="0004009F"/>
    <w:rsid w:val="0004055C"/>
    <w:rsid w:val="0004062D"/>
    <w:rsid w:val="000512FC"/>
    <w:rsid w:val="00060247"/>
    <w:rsid w:val="000615EF"/>
    <w:rsid w:val="00061747"/>
    <w:rsid w:val="0006361C"/>
    <w:rsid w:val="0009119C"/>
    <w:rsid w:val="000A185A"/>
    <w:rsid w:val="000A1FC1"/>
    <w:rsid w:val="000A6756"/>
    <w:rsid w:val="000A6979"/>
    <w:rsid w:val="000C2592"/>
    <w:rsid w:val="000C4F76"/>
    <w:rsid w:val="000C789A"/>
    <w:rsid w:val="000C7F17"/>
    <w:rsid w:val="000E038F"/>
    <w:rsid w:val="000E4878"/>
    <w:rsid w:val="000E6AA2"/>
    <w:rsid w:val="000F7A14"/>
    <w:rsid w:val="00100249"/>
    <w:rsid w:val="00101DBF"/>
    <w:rsid w:val="001106FD"/>
    <w:rsid w:val="001108D4"/>
    <w:rsid w:val="00111170"/>
    <w:rsid w:val="001123BA"/>
    <w:rsid w:val="00115AB6"/>
    <w:rsid w:val="001214E1"/>
    <w:rsid w:val="00122CB7"/>
    <w:rsid w:val="001235A3"/>
    <w:rsid w:val="00131940"/>
    <w:rsid w:val="001379BE"/>
    <w:rsid w:val="00143ED4"/>
    <w:rsid w:val="00150D4D"/>
    <w:rsid w:val="0015114F"/>
    <w:rsid w:val="001528D4"/>
    <w:rsid w:val="00162E39"/>
    <w:rsid w:val="00165E2F"/>
    <w:rsid w:val="00171DA3"/>
    <w:rsid w:val="00180C17"/>
    <w:rsid w:val="00191845"/>
    <w:rsid w:val="001A7527"/>
    <w:rsid w:val="001A7C0D"/>
    <w:rsid w:val="001B1D5E"/>
    <w:rsid w:val="001C0195"/>
    <w:rsid w:val="001C63A8"/>
    <w:rsid w:val="001C68A8"/>
    <w:rsid w:val="001D162A"/>
    <w:rsid w:val="001D44F7"/>
    <w:rsid w:val="001E6506"/>
    <w:rsid w:val="001F1C18"/>
    <w:rsid w:val="001F2BA1"/>
    <w:rsid w:val="001F7CE8"/>
    <w:rsid w:val="00200F4B"/>
    <w:rsid w:val="00210828"/>
    <w:rsid w:val="002109B9"/>
    <w:rsid w:val="00211752"/>
    <w:rsid w:val="00212113"/>
    <w:rsid w:val="0021421F"/>
    <w:rsid w:val="00217D40"/>
    <w:rsid w:val="002266DB"/>
    <w:rsid w:val="0023079A"/>
    <w:rsid w:val="00236490"/>
    <w:rsid w:val="002456B5"/>
    <w:rsid w:val="00247562"/>
    <w:rsid w:val="00257CB1"/>
    <w:rsid w:val="002651B5"/>
    <w:rsid w:val="00272718"/>
    <w:rsid w:val="002772A1"/>
    <w:rsid w:val="00282BCD"/>
    <w:rsid w:val="00285B14"/>
    <w:rsid w:val="00296155"/>
    <w:rsid w:val="002A303A"/>
    <w:rsid w:val="002A3533"/>
    <w:rsid w:val="002A49B6"/>
    <w:rsid w:val="002A5D50"/>
    <w:rsid w:val="002A6C12"/>
    <w:rsid w:val="002B195A"/>
    <w:rsid w:val="002B39A8"/>
    <w:rsid w:val="002B6922"/>
    <w:rsid w:val="002B7A13"/>
    <w:rsid w:val="002C115E"/>
    <w:rsid w:val="002C1245"/>
    <w:rsid w:val="002C2051"/>
    <w:rsid w:val="002C5089"/>
    <w:rsid w:val="002D20A9"/>
    <w:rsid w:val="002F51DD"/>
    <w:rsid w:val="002F681E"/>
    <w:rsid w:val="002F6D8B"/>
    <w:rsid w:val="002F7A68"/>
    <w:rsid w:val="0030229E"/>
    <w:rsid w:val="00323B27"/>
    <w:rsid w:val="00351600"/>
    <w:rsid w:val="00354A64"/>
    <w:rsid w:val="003556FA"/>
    <w:rsid w:val="00356006"/>
    <w:rsid w:val="00356453"/>
    <w:rsid w:val="00370ACE"/>
    <w:rsid w:val="0037170A"/>
    <w:rsid w:val="00375B3A"/>
    <w:rsid w:val="003777EA"/>
    <w:rsid w:val="003875C6"/>
    <w:rsid w:val="00394862"/>
    <w:rsid w:val="003A191A"/>
    <w:rsid w:val="003A349C"/>
    <w:rsid w:val="003A51D6"/>
    <w:rsid w:val="003A6D83"/>
    <w:rsid w:val="003B0B6A"/>
    <w:rsid w:val="003B24EC"/>
    <w:rsid w:val="003B49C4"/>
    <w:rsid w:val="003C0EE8"/>
    <w:rsid w:val="003C2078"/>
    <w:rsid w:val="003D3A61"/>
    <w:rsid w:val="003D4FCA"/>
    <w:rsid w:val="003D5E11"/>
    <w:rsid w:val="003E087C"/>
    <w:rsid w:val="003E3620"/>
    <w:rsid w:val="003F0473"/>
    <w:rsid w:val="003F08B9"/>
    <w:rsid w:val="003F3107"/>
    <w:rsid w:val="003F7DD0"/>
    <w:rsid w:val="003F7EAD"/>
    <w:rsid w:val="00403565"/>
    <w:rsid w:val="0040488C"/>
    <w:rsid w:val="00404F8C"/>
    <w:rsid w:val="00405989"/>
    <w:rsid w:val="00405D6D"/>
    <w:rsid w:val="00406716"/>
    <w:rsid w:val="00423EEE"/>
    <w:rsid w:val="00426EB2"/>
    <w:rsid w:val="0043289C"/>
    <w:rsid w:val="00440022"/>
    <w:rsid w:val="004443E7"/>
    <w:rsid w:val="00451668"/>
    <w:rsid w:val="004523B7"/>
    <w:rsid w:val="004528F9"/>
    <w:rsid w:val="0045394B"/>
    <w:rsid w:val="0045394C"/>
    <w:rsid w:val="0046383B"/>
    <w:rsid w:val="00467B86"/>
    <w:rsid w:val="00481357"/>
    <w:rsid w:val="004857AC"/>
    <w:rsid w:val="00495929"/>
    <w:rsid w:val="00495F55"/>
    <w:rsid w:val="004966B0"/>
    <w:rsid w:val="004972CA"/>
    <w:rsid w:val="004A1485"/>
    <w:rsid w:val="004A55C5"/>
    <w:rsid w:val="004C565F"/>
    <w:rsid w:val="004C6228"/>
    <w:rsid w:val="004D315C"/>
    <w:rsid w:val="004E0842"/>
    <w:rsid w:val="004F4231"/>
    <w:rsid w:val="00502A25"/>
    <w:rsid w:val="0050459E"/>
    <w:rsid w:val="005045C3"/>
    <w:rsid w:val="0050546F"/>
    <w:rsid w:val="00511D76"/>
    <w:rsid w:val="005122BA"/>
    <w:rsid w:val="00513CED"/>
    <w:rsid w:val="00515A59"/>
    <w:rsid w:val="00530928"/>
    <w:rsid w:val="00533DA7"/>
    <w:rsid w:val="00552887"/>
    <w:rsid w:val="00556285"/>
    <w:rsid w:val="00562FBC"/>
    <w:rsid w:val="0056521F"/>
    <w:rsid w:val="00566FBE"/>
    <w:rsid w:val="005815E6"/>
    <w:rsid w:val="005820A9"/>
    <w:rsid w:val="0058680C"/>
    <w:rsid w:val="00594593"/>
    <w:rsid w:val="005A2E71"/>
    <w:rsid w:val="005A6E10"/>
    <w:rsid w:val="005B0CD1"/>
    <w:rsid w:val="005B7E12"/>
    <w:rsid w:val="005C06BD"/>
    <w:rsid w:val="005C0CBE"/>
    <w:rsid w:val="005D36E4"/>
    <w:rsid w:val="005D7DD6"/>
    <w:rsid w:val="005E7B96"/>
    <w:rsid w:val="005F1CA2"/>
    <w:rsid w:val="005F2C1B"/>
    <w:rsid w:val="005F3B94"/>
    <w:rsid w:val="005F5F0D"/>
    <w:rsid w:val="006017B2"/>
    <w:rsid w:val="00612295"/>
    <w:rsid w:val="00612A65"/>
    <w:rsid w:val="00615177"/>
    <w:rsid w:val="0061621B"/>
    <w:rsid w:val="0062236B"/>
    <w:rsid w:val="00623249"/>
    <w:rsid w:val="006351B2"/>
    <w:rsid w:val="00637B99"/>
    <w:rsid w:val="00637B9D"/>
    <w:rsid w:val="00660BD8"/>
    <w:rsid w:val="00664A3D"/>
    <w:rsid w:val="00666BED"/>
    <w:rsid w:val="00674D34"/>
    <w:rsid w:val="0067559B"/>
    <w:rsid w:val="006765B7"/>
    <w:rsid w:val="006907A3"/>
    <w:rsid w:val="00691E47"/>
    <w:rsid w:val="00693BE5"/>
    <w:rsid w:val="0069435B"/>
    <w:rsid w:val="00697707"/>
    <w:rsid w:val="006A064B"/>
    <w:rsid w:val="006A7E54"/>
    <w:rsid w:val="006B60F6"/>
    <w:rsid w:val="006C4B97"/>
    <w:rsid w:val="006C6657"/>
    <w:rsid w:val="006C7A2C"/>
    <w:rsid w:val="006D2264"/>
    <w:rsid w:val="006D2AB0"/>
    <w:rsid w:val="006D6FE0"/>
    <w:rsid w:val="006F06C3"/>
    <w:rsid w:val="006F549E"/>
    <w:rsid w:val="00700265"/>
    <w:rsid w:val="00705236"/>
    <w:rsid w:val="0070558A"/>
    <w:rsid w:val="00706249"/>
    <w:rsid w:val="00707170"/>
    <w:rsid w:val="00712442"/>
    <w:rsid w:val="00712D4A"/>
    <w:rsid w:val="00714227"/>
    <w:rsid w:val="00715B74"/>
    <w:rsid w:val="0071641A"/>
    <w:rsid w:val="00717EFA"/>
    <w:rsid w:val="00724FFD"/>
    <w:rsid w:val="00725261"/>
    <w:rsid w:val="00727BF3"/>
    <w:rsid w:val="00734127"/>
    <w:rsid w:val="00737313"/>
    <w:rsid w:val="00737AEC"/>
    <w:rsid w:val="00740A26"/>
    <w:rsid w:val="007432BB"/>
    <w:rsid w:val="00745B3B"/>
    <w:rsid w:val="00751AE1"/>
    <w:rsid w:val="00756C17"/>
    <w:rsid w:val="00761AAA"/>
    <w:rsid w:val="00762567"/>
    <w:rsid w:val="00765779"/>
    <w:rsid w:val="007719D4"/>
    <w:rsid w:val="007774AD"/>
    <w:rsid w:val="007816CD"/>
    <w:rsid w:val="00783FE4"/>
    <w:rsid w:val="0078442F"/>
    <w:rsid w:val="0078770E"/>
    <w:rsid w:val="00797621"/>
    <w:rsid w:val="007A0C96"/>
    <w:rsid w:val="007A6D94"/>
    <w:rsid w:val="007D6D34"/>
    <w:rsid w:val="007E2A8A"/>
    <w:rsid w:val="007E5CA5"/>
    <w:rsid w:val="008048E1"/>
    <w:rsid w:val="00805A92"/>
    <w:rsid w:val="008117E2"/>
    <w:rsid w:val="00812219"/>
    <w:rsid w:val="00817686"/>
    <w:rsid w:val="00817EE4"/>
    <w:rsid w:val="0082799B"/>
    <w:rsid w:val="00830503"/>
    <w:rsid w:val="00842ED0"/>
    <w:rsid w:val="00843CCF"/>
    <w:rsid w:val="00852550"/>
    <w:rsid w:val="00852CBD"/>
    <w:rsid w:val="008546D1"/>
    <w:rsid w:val="00854864"/>
    <w:rsid w:val="00854CA0"/>
    <w:rsid w:val="0085567B"/>
    <w:rsid w:val="008557F0"/>
    <w:rsid w:val="0086317D"/>
    <w:rsid w:val="00876950"/>
    <w:rsid w:val="008822C1"/>
    <w:rsid w:val="00891023"/>
    <w:rsid w:val="00895326"/>
    <w:rsid w:val="008A2A06"/>
    <w:rsid w:val="008A602F"/>
    <w:rsid w:val="008A64F5"/>
    <w:rsid w:val="008B0E29"/>
    <w:rsid w:val="008C2A7F"/>
    <w:rsid w:val="008C6062"/>
    <w:rsid w:val="008D614A"/>
    <w:rsid w:val="008E3FF9"/>
    <w:rsid w:val="00902C90"/>
    <w:rsid w:val="00904BD4"/>
    <w:rsid w:val="00905EDC"/>
    <w:rsid w:val="0090736F"/>
    <w:rsid w:val="00913FBF"/>
    <w:rsid w:val="009141EC"/>
    <w:rsid w:val="009150E9"/>
    <w:rsid w:val="009209AA"/>
    <w:rsid w:val="00926375"/>
    <w:rsid w:val="00932B6C"/>
    <w:rsid w:val="00934088"/>
    <w:rsid w:val="00934B3F"/>
    <w:rsid w:val="00935770"/>
    <w:rsid w:val="00944760"/>
    <w:rsid w:val="00944B9B"/>
    <w:rsid w:val="00945A79"/>
    <w:rsid w:val="009549B1"/>
    <w:rsid w:val="0096382C"/>
    <w:rsid w:val="00963E3F"/>
    <w:rsid w:val="00970DED"/>
    <w:rsid w:val="0097777E"/>
    <w:rsid w:val="0099250A"/>
    <w:rsid w:val="009A0F3D"/>
    <w:rsid w:val="009B0298"/>
    <w:rsid w:val="009B5528"/>
    <w:rsid w:val="009B5CBB"/>
    <w:rsid w:val="009C45AB"/>
    <w:rsid w:val="009C7416"/>
    <w:rsid w:val="009C7587"/>
    <w:rsid w:val="009C77F2"/>
    <w:rsid w:val="009D22EF"/>
    <w:rsid w:val="009D39BD"/>
    <w:rsid w:val="009E5117"/>
    <w:rsid w:val="009F7E34"/>
    <w:rsid w:val="00A003FC"/>
    <w:rsid w:val="00A0270C"/>
    <w:rsid w:val="00A05219"/>
    <w:rsid w:val="00A12F3C"/>
    <w:rsid w:val="00A1620F"/>
    <w:rsid w:val="00A2684E"/>
    <w:rsid w:val="00A324FE"/>
    <w:rsid w:val="00A37FEA"/>
    <w:rsid w:val="00A46805"/>
    <w:rsid w:val="00A54EF1"/>
    <w:rsid w:val="00A550F7"/>
    <w:rsid w:val="00A65BBC"/>
    <w:rsid w:val="00A70649"/>
    <w:rsid w:val="00A70897"/>
    <w:rsid w:val="00A70FBF"/>
    <w:rsid w:val="00A7135E"/>
    <w:rsid w:val="00A74EA3"/>
    <w:rsid w:val="00A925D3"/>
    <w:rsid w:val="00A95734"/>
    <w:rsid w:val="00A97C9E"/>
    <w:rsid w:val="00AA0FB0"/>
    <w:rsid w:val="00AA3D59"/>
    <w:rsid w:val="00AA5314"/>
    <w:rsid w:val="00AB40D3"/>
    <w:rsid w:val="00AC3E6F"/>
    <w:rsid w:val="00AD0169"/>
    <w:rsid w:val="00AD2A14"/>
    <w:rsid w:val="00AD3D95"/>
    <w:rsid w:val="00AF78CC"/>
    <w:rsid w:val="00B04DDD"/>
    <w:rsid w:val="00B12D1E"/>
    <w:rsid w:val="00B15EE3"/>
    <w:rsid w:val="00B17296"/>
    <w:rsid w:val="00B2544B"/>
    <w:rsid w:val="00B26614"/>
    <w:rsid w:val="00B33779"/>
    <w:rsid w:val="00B40650"/>
    <w:rsid w:val="00B406C3"/>
    <w:rsid w:val="00B45034"/>
    <w:rsid w:val="00B52809"/>
    <w:rsid w:val="00B56CE4"/>
    <w:rsid w:val="00B57413"/>
    <w:rsid w:val="00B64465"/>
    <w:rsid w:val="00B71816"/>
    <w:rsid w:val="00B74E08"/>
    <w:rsid w:val="00B82C14"/>
    <w:rsid w:val="00B839FF"/>
    <w:rsid w:val="00B851B2"/>
    <w:rsid w:val="00B876D4"/>
    <w:rsid w:val="00B92552"/>
    <w:rsid w:val="00B9362B"/>
    <w:rsid w:val="00BA2C70"/>
    <w:rsid w:val="00BA5D1C"/>
    <w:rsid w:val="00BC1952"/>
    <w:rsid w:val="00BC670A"/>
    <w:rsid w:val="00BE064F"/>
    <w:rsid w:val="00BE27C6"/>
    <w:rsid w:val="00BF0441"/>
    <w:rsid w:val="00C04898"/>
    <w:rsid w:val="00C110B3"/>
    <w:rsid w:val="00C11DD6"/>
    <w:rsid w:val="00C175BD"/>
    <w:rsid w:val="00C17D2D"/>
    <w:rsid w:val="00C2219A"/>
    <w:rsid w:val="00C241D5"/>
    <w:rsid w:val="00C258EE"/>
    <w:rsid w:val="00C31F5D"/>
    <w:rsid w:val="00C3287C"/>
    <w:rsid w:val="00C32DE1"/>
    <w:rsid w:val="00C34459"/>
    <w:rsid w:val="00C36AC7"/>
    <w:rsid w:val="00C45E09"/>
    <w:rsid w:val="00C4656E"/>
    <w:rsid w:val="00C472EF"/>
    <w:rsid w:val="00C50D88"/>
    <w:rsid w:val="00C56559"/>
    <w:rsid w:val="00C62E49"/>
    <w:rsid w:val="00C66595"/>
    <w:rsid w:val="00C7387E"/>
    <w:rsid w:val="00C74E75"/>
    <w:rsid w:val="00C8420B"/>
    <w:rsid w:val="00C86944"/>
    <w:rsid w:val="00C92AAE"/>
    <w:rsid w:val="00CA44DC"/>
    <w:rsid w:val="00CA4A84"/>
    <w:rsid w:val="00CD5170"/>
    <w:rsid w:val="00CD5491"/>
    <w:rsid w:val="00CD6015"/>
    <w:rsid w:val="00CE2B43"/>
    <w:rsid w:val="00CE7679"/>
    <w:rsid w:val="00CF53C2"/>
    <w:rsid w:val="00CF7C7C"/>
    <w:rsid w:val="00D02383"/>
    <w:rsid w:val="00D21854"/>
    <w:rsid w:val="00D21C7C"/>
    <w:rsid w:val="00D253B4"/>
    <w:rsid w:val="00D31F28"/>
    <w:rsid w:val="00D3405E"/>
    <w:rsid w:val="00D42FD9"/>
    <w:rsid w:val="00D60B86"/>
    <w:rsid w:val="00D63625"/>
    <w:rsid w:val="00D650EE"/>
    <w:rsid w:val="00D66FE2"/>
    <w:rsid w:val="00D7039D"/>
    <w:rsid w:val="00D71D75"/>
    <w:rsid w:val="00D72AA1"/>
    <w:rsid w:val="00D73156"/>
    <w:rsid w:val="00D73C18"/>
    <w:rsid w:val="00D7456F"/>
    <w:rsid w:val="00D75D81"/>
    <w:rsid w:val="00D779D2"/>
    <w:rsid w:val="00D77DD1"/>
    <w:rsid w:val="00D931BE"/>
    <w:rsid w:val="00D94812"/>
    <w:rsid w:val="00DA1D80"/>
    <w:rsid w:val="00DA4423"/>
    <w:rsid w:val="00DA4CB9"/>
    <w:rsid w:val="00DB403A"/>
    <w:rsid w:val="00DB4FA2"/>
    <w:rsid w:val="00DB5B65"/>
    <w:rsid w:val="00DB5CB0"/>
    <w:rsid w:val="00DB7384"/>
    <w:rsid w:val="00DC5E45"/>
    <w:rsid w:val="00DD7B4F"/>
    <w:rsid w:val="00DE022C"/>
    <w:rsid w:val="00DE5853"/>
    <w:rsid w:val="00DF40E8"/>
    <w:rsid w:val="00DF6431"/>
    <w:rsid w:val="00DF658B"/>
    <w:rsid w:val="00DF6D02"/>
    <w:rsid w:val="00E15E1A"/>
    <w:rsid w:val="00E1671E"/>
    <w:rsid w:val="00E177AD"/>
    <w:rsid w:val="00E216C0"/>
    <w:rsid w:val="00E316A4"/>
    <w:rsid w:val="00E33C53"/>
    <w:rsid w:val="00E3791B"/>
    <w:rsid w:val="00E37927"/>
    <w:rsid w:val="00E5225F"/>
    <w:rsid w:val="00E5695B"/>
    <w:rsid w:val="00E65D01"/>
    <w:rsid w:val="00E73400"/>
    <w:rsid w:val="00E838F3"/>
    <w:rsid w:val="00E84F00"/>
    <w:rsid w:val="00E85CCA"/>
    <w:rsid w:val="00E86CBE"/>
    <w:rsid w:val="00E87080"/>
    <w:rsid w:val="00EA1F76"/>
    <w:rsid w:val="00EA6B5B"/>
    <w:rsid w:val="00EB15C6"/>
    <w:rsid w:val="00EB20F6"/>
    <w:rsid w:val="00EB71CB"/>
    <w:rsid w:val="00EC0196"/>
    <w:rsid w:val="00EC1A66"/>
    <w:rsid w:val="00EC3DEB"/>
    <w:rsid w:val="00EC3F9F"/>
    <w:rsid w:val="00EC5A3B"/>
    <w:rsid w:val="00EC7BAF"/>
    <w:rsid w:val="00ED0795"/>
    <w:rsid w:val="00ED23ED"/>
    <w:rsid w:val="00ED5AF3"/>
    <w:rsid w:val="00ED6918"/>
    <w:rsid w:val="00ED7CFE"/>
    <w:rsid w:val="00EE411D"/>
    <w:rsid w:val="00EE4C57"/>
    <w:rsid w:val="00EF28D3"/>
    <w:rsid w:val="00EF756B"/>
    <w:rsid w:val="00F01716"/>
    <w:rsid w:val="00F104E7"/>
    <w:rsid w:val="00F1237A"/>
    <w:rsid w:val="00F13193"/>
    <w:rsid w:val="00F16EC8"/>
    <w:rsid w:val="00F21233"/>
    <w:rsid w:val="00F320D8"/>
    <w:rsid w:val="00F40256"/>
    <w:rsid w:val="00F40E29"/>
    <w:rsid w:val="00F42862"/>
    <w:rsid w:val="00F54E63"/>
    <w:rsid w:val="00F60501"/>
    <w:rsid w:val="00F605B8"/>
    <w:rsid w:val="00F72B9F"/>
    <w:rsid w:val="00F749A1"/>
    <w:rsid w:val="00F76D76"/>
    <w:rsid w:val="00F80799"/>
    <w:rsid w:val="00F83942"/>
    <w:rsid w:val="00F86891"/>
    <w:rsid w:val="00F90767"/>
    <w:rsid w:val="00F910BE"/>
    <w:rsid w:val="00F92167"/>
    <w:rsid w:val="00F933DA"/>
    <w:rsid w:val="00FA573A"/>
    <w:rsid w:val="00FA68E5"/>
    <w:rsid w:val="00FB1968"/>
    <w:rsid w:val="00FB2363"/>
    <w:rsid w:val="00FC1705"/>
    <w:rsid w:val="00FC18E2"/>
    <w:rsid w:val="00FC3398"/>
    <w:rsid w:val="00FD14BC"/>
    <w:rsid w:val="00FE4724"/>
    <w:rsid w:val="00FE5448"/>
    <w:rsid w:val="00FE567F"/>
    <w:rsid w:val="00FE5831"/>
    <w:rsid w:val="00FF2227"/>
    <w:rsid w:val="00FF6280"/>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C13A"/>
  <w15:chartTrackingRefBased/>
  <w15:docId w15:val="{FC37980A-DBE8-46DF-B31B-08695563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1F"/>
  </w:style>
  <w:style w:type="paragraph" w:styleId="Heading1">
    <w:name w:val="heading 1"/>
    <w:basedOn w:val="Normal"/>
    <w:next w:val="Normal"/>
    <w:link w:val="Heading1Char"/>
    <w:uiPriority w:val="9"/>
    <w:qFormat/>
    <w:rsid w:val="00DA4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423"/>
    <w:rPr>
      <w:rFonts w:eastAsiaTheme="majorEastAsia" w:cstheme="majorBidi"/>
      <w:color w:val="272727" w:themeColor="text1" w:themeTint="D8"/>
    </w:rPr>
  </w:style>
  <w:style w:type="paragraph" w:styleId="Title">
    <w:name w:val="Title"/>
    <w:basedOn w:val="Normal"/>
    <w:next w:val="Normal"/>
    <w:link w:val="TitleChar"/>
    <w:uiPriority w:val="10"/>
    <w:qFormat/>
    <w:rsid w:val="00DA4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423"/>
    <w:pPr>
      <w:spacing w:before="160"/>
      <w:jc w:val="center"/>
    </w:pPr>
    <w:rPr>
      <w:i/>
      <w:iCs/>
      <w:color w:val="404040" w:themeColor="text1" w:themeTint="BF"/>
    </w:rPr>
  </w:style>
  <w:style w:type="character" w:customStyle="1" w:styleId="QuoteChar">
    <w:name w:val="Quote Char"/>
    <w:basedOn w:val="DefaultParagraphFont"/>
    <w:link w:val="Quote"/>
    <w:uiPriority w:val="29"/>
    <w:rsid w:val="00DA442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99"/>
    <w:qFormat/>
    <w:rsid w:val="00DA4423"/>
    <w:pPr>
      <w:ind w:left="720"/>
      <w:contextualSpacing/>
    </w:pPr>
  </w:style>
  <w:style w:type="character" w:styleId="IntenseEmphasis">
    <w:name w:val="Intense Emphasis"/>
    <w:basedOn w:val="DefaultParagraphFont"/>
    <w:uiPriority w:val="21"/>
    <w:qFormat/>
    <w:rsid w:val="00DA4423"/>
    <w:rPr>
      <w:i/>
      <w:iCs/>
      <w:color w:val="0F4761" w:themeColor="accent1" w:themeShade="BF"/>
    </w:rPr>
  </w:style>
  <w:style w:type="paragraph" w:styleId="IntenseQuote">
    <w:name w:val="Intense Quote"/>
    <w:basedOn w:val="Normal"/>
    <w:next w:val="Normal"/>
    <w:link w:val="IntenseQuoteChar"/>
    <w:uiPriority w:val="30"/>
    <w:qFormat/>
    <w:rsid w:val="00DA4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423"/>
    <w:rPr>
      <w:i/>
      <w:iCs/>
      <w:color w:val="0F4761" w:themeColor="accent1" w:themeShade="BF"/>
    </w:rPr>
  </w:style>
  <w:style w:type="character" w:styleId="IntenseReference">
    <w:name w:val="Intense Reference"/>
    <w:basedOn w:val="DefaultParagraphFont"/>
    <w:uiPriority w:val="32"/>
    <w:qFormat/>
    <w:rsid w:val="00DA4423"/>
    <w:rPr>
      <w:b/>
      <w:bCs/>
      <w:smallCaps/>
      <w:color w:val="0F4761" w:themeColor="accent1" w:themeShade="BF"/>
      <w:spacing w:val="5"/>
    </w:rPr>
  </w:style>
  <w:style w:type="character" w:styleId="Hyperlink">
    <w:name w:val="Hyperlink"/>
    <w:basedOn w:val="DefaultParagraphFont"/>
    <w:uiPriority w:val="99"/>
    <w:unhideWhenUsed/>
    <w:rsid w:val="005C0CBE"/>
    <w:rPr>
      <w:color w:val="467886" w:themeColor="hyperlink"/>
      <w:u w:val="single"/>
    </w:rPr>
  </w:style>
  <w:style w:type="character" w:styleId="UnresolvedMention">
    <w:name w:val="Unresolved Mention"/>
    <w:basedOn w:val="DefaultParagraphFont"/>
    <w:uiPriority w:val="99"/>
    <w:semiHidden/>
    <w:unhideWhenUsed/>
    <w:rsid w:val="005C0CB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05D6D"/>
  </w:style>
  <w:style w:type="character" w:styleId="FollowedHyperlink">
    <w:name w:val="FollowedHyperlink"/>
    <w:basedOn w:val="DefaultParagraphFont"/>
    <w:uiPriority w:val="99"/>
    <w:semiHidden/>
    <w:unhideWhenUsed/>
    <w:rsid w:val="00DF658B"/>
    <w:rPr>
      <w:color w:val="96607D" w:themeColor="followedHyperlink"/>
      <w:u w:val="single"/>
    </w:rPr>
  </w:style>
  <w:style w:type="paragraph" w:styleId="CommentText">
    <w:name w:val="annotation text"/>
    <w:basedOn w:val="Normal"/>
    <w:link w:val="CommentTextChar"/>
    <w:uiPriority w:val="99"/>
    <w:unhideWhenUsed/>
    <w:rsid w:val="00913FBF"/>
    <w:pPr>
      <w:spacing w:line="240" w:lineRule="auto"/>
    </w:pPr>
    <w:rPr>
      <w:sz w:val="20"/>
      <w:szCs w:val="20"/>
    </w:rPr>
  </w:style>
  <w:style w:type="character" w:customStyle="1" w:styleId="CommentTextChar">
    <w:name w:val="Comment Text Char"/>
    <w:basedOn w:val="DefaultParagraphFont"/>
    <w:link w:val="CommentText"/>
    <w:uiPriority w:val="99"/>
    <w:rsid w:val="00913FBF"/>
    <w:rPr>
      <w:sz w:val="20"/>
      <w:szCs w:val="20"/>
    </w:rPr>
  </w:style>
  <w:style w:type="character" w:styleId="CommentReference">
    <w:name w:val="annotation reference"/>
    <w:basedOn w:val="DefaultParagraphFont"/>
    <w:uiPriority w:val="99"/>
    <w:unhideWhenUsed/>
    <w:rsid w:val="00913FBF"/>
    <w:rPr>
      <w:sz w:val="16"/>
      <w:szCs w:val="16"/>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61AAA"/>
    <w:rPr>
      <w:vertAlign w:val="superscript"/>
    </w:rPr>
  </w:style>
  <w:style w:type="paragraph" w:styleId="Revision">
    <w:name w:val="Revision"/>
    <w:hidden/>
    <w:uiPriority w:val="99"/>
    <w:semiHidden/>
    <w:rsid w:val="00F80799"/>
    <w:pPr>
      <w:spacing w:after="0" w:line="240" w:lineRule="auto"/>
    </w:pPr>
  </w:style>
  <w:style w:type="paragraph" w:styleId="CommentSubject">
    <w:name w:val="annotation subject"/>
    <w:basedOn w:val="CommentText"/>
    <w:next w:val="CommentText"/>
    <w:link w:val="CommentSubjectChar"/>
    <w:uiPriority w:val="99"/>
    <w:semiHidden/>
    <w:unhideWhenUsed/>
    <w:rsid w:val="00B17296"/>
    <w:rPr>
      <w:b/>
      <w:bCs/>
    </w:rPr>
  </w:style>
  <w:style w:type="character" w:customStyle="1" w:styleId="CommentSubjectChar">
    <w:name w:val="Comment Subject Char"/>
    <w:basedOn w:val="CommentTextChar"/>
    <w:link w:val="CommentSubject"/>
    <w:uiPriority w:val="99"/>
    <w:semiHidden/>
    <w:rsid w:val="00B172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303">
      <w:bodyDiv w:val="1"/>
      <w:marLeft w:val="0"/>
      <w:marRight w:val="0"/>
      <w:marTop w:val="0"/>
      <w:marBottom w:val="0"/>
      <w:divBdr>
        <w:top w:val="none" w:sz="0" w:space="0" w:color="auto"/>
        <w:left w:val="none" w:sz="0" w:space="0" w:color="auto"/>
        <w:bottom w:val="none" w:sz="0" w:space="0" w:color="auto"/>
        <w:right w:val="none" w:sz="0" w:space="0" w:color="auto"/>
      </w:divBdr>
      <w:divsChild>
        <w:div w:id="842550427">
          <w:marLeft w:val="0"/>
          <w:marRight w:val="0"/>
          <w:marTop w:val="0"/>
          <w:marBottom w:val="0"/>
          <w:divBdr>
            <w:top w:val="none" w:sz="0" w:space="0" w:color="auto"/>
            <w:left w:val="none" w:sz="0" w:space="0" w:color="auto"/>
            <w:bottom w:val="none" w:sz="0" w:space="0" w:color="auto"/>
            <w:right w:val="none" w:sz="0" w:space="0" w:color="auto"/>
          </w:divBdr>
          <w:divsChild>
            <w:div w:id="1747415526">
              <w:marLeft w:val="0"/>
              <w:marRight w:val="0"/>
              <w:marTop w:val="0"/>
              <w:marBottom w:val="0"/>
              <w:divBdr>
                <w:top w:val="none" w:sz="0" w:space="0" w:color="auto"/>
                <w:left w:val="none" w:sz="0" w:space="0" w:color="auto"/>
                <w:bottom w:val="none" w:sz="0" w:space="0" w:color="auto"/>
                <w:right w:val="none" w:sz="0" w:space="0" w:color="auto"/>
              </w:divBdr>
              <w:divsChild>
                <w:div w:id="1509833438">
                  <w:marLeft w:val="0"/>
                  <w:marRight w:val="0"/>
                  <w:marTop w:val="0"/>
                  <w:marBottom w:val="0"/>
                  <w:divBdr>
                    <w:top w:val="none" w:sz="0" w:space="0" w:color="auto"/>
                    <w:left w:val="none" w:sz="0" w:space="0" w:color="auto"/>
                    <w:bottom w:val="none" w:sz="0" w:space="0" w:color="auto"/>
                    <w:right w:val="none" w:sz="0" w:space="0" w:color="auto"/>
                  </w:divBdr>
                  <w:divsChild>
                    <w:div w:id="1983345114">
                      <w:marLeft w:val="0"/>
                      <w:marRight w:val="0"/>
                      <w:marTop w:val="0"/>
                      <w:marBottom w:val="0"/>
                      <w:divBdr>
                        <w:top w:val="none" w:sz="0" w:space="0" w:color="auto"/>
                        <w:left w:val="none" w:sz="0" w:space="0" w:color="auto"/>
                        <w:bottom w:val="none" w:sz="0" w:space="0" w:color="auto"/>
                        <w:right w:val="none" w:sz="0" w:space="0" w:color="auto"/>
                      </w:divBdr>
                    </w:div>
                    <w:div w:id="11520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852459">
      <w:bodyDiv w:val="1"/>
      <w:marLeft w:val="0"/>
      <w:marRight w:val="0"/>
      <w:marTop w:val="0"/>
      <w:marBottom w:val="0"/>
      <w:divBdr>
        <w:top w:val="none" w:sz="0" w:space="0" w:color="auto"/>
        <w:left w:val="none" w:sz="0" w:space="0" w:color="auto"/>
        <w:bottom w:val="none" w:sz="0" w:space="0" w:color="auto"/>
        <w:right w:val="none" w:sz="0" w:space="0" w:color="auto"/>
      </w:divBdr>
    </w:div>
    <w:div w:id="777262589">
      <w:bodyDiv w:val="1"/>
      <w:marLeft w:val="0"/>
      <w:marRight w:val="0"/>
      <w:marTop w:val="0"/>
      <w:marBottom w:val="0"/>
      <w:divBdr>
        <w:top w:val="none" w:sz="0" w:space="0" w:color="auto"/>
        <w:left w:val="none" w:sz="0" w:space="0" w:color="auto"/>
        <w:bottom w:val="none" w:sz="0" w:space="0" w:color="auto"/>
        <w:right w:val="none" w:sz="0" w:space="0" w:color="auto"/>
      </w:divBdr>
    </w:div>
    <w:div w:id="1135829882">
      <w:bodyDiv w:val="1"/>
      <w:marLeft w:val="0"/>
      <w:marRight w:val="0"/>
      <w:marTop w:val="0"/>
      <w:marBottom w:val="0"/>
      <w:divBdr>
        <w:top w:val="none" w:sz="0" w:space="0" w:color="auto"/>
        <w:left w:val="none" w:sz="0" w:space="0" w:color="auto"/>
        <w:bottom w:val="none" w:sz="0" w:space="0" w:color="auto"/>
        <w:right w:val="none" w:sz="0" w:space="0" w:color="auto"/>
      </w:divBdr>
    </w:div>
    <w:div w:id="1202858658">
      <w:bodyDiv w:val="1"/>
      <w:marLeft w:val="0"/>
      <w:marRight w:val="0"/>
      <w:marTop w:val="0"/>
      <w:marBottom w:val="0"/>
      <w:divBdr>
        <w:top w:val="none" w:sz="0" w:space="0" w:color="auto"/>
        <w:left w:val="none" w:sz="0" w:space="0" w:color="auto"/>
        <w:bottom w:val="none" w:sz="0" w:space="0" w:color="auto"/>
        <w:right w:val="none" w:sz="0" w:space="0" w:color="auto"/>
      </w:divBdr>
    </w:div>
    <w:div w:id="1430354217">
      <w:bodyDiv w:val="1"/>
      <w:marLeft w:val="0"/>
      <w:marRight w:val="0"/>
      <w:marTop w:val="0"/>
      <w:marBottom w:val="0"/>
      <w:divBdr>
        <w:top w:val="none" w:sz="0" w:space="0" w:color="auto"/>
        <w:left w:val="none" w:sz="0" w:space="0" w:color="auto"/>
        <w:bottom w:val="none" w:sz="0" w:space="0" w:color="auto"/>
        <w:right w:val="none" w:sz="0" w:space="0" w:color="auto"/>
      </w:divBdr>
    </w:div>
    <w:div w:id="1655915771">
      <w:bodyDiv w:val="1"/>
      <w:marLeft w:val="0"/>
      <w:marRight w:val="0"/>
      <w:marTop w:val="0"/>
      <w:marBottom w:val="0"/>
      <w:divBdr>
        <w:top w:val="none" w:sz="0" w:space="0" w:color="auto"/>
        <w:left w:val="none" w:sz="0" w:space="0" w:color="auto"/>
        <w:bottom w:val="none" w:sz="0" w:space="0" w:color="auto"/>
        <w:right w:val="none" w:sz="0" w:space="0" w:color="auto"/>
      </w:divBdr>
      <w:divsChild>
        <w:div w:id="1176767915">
          <w:marLeft w:val="0"/>
          <w:marRight w:val="0"/>
          <w:marTop w:val="0"/>
          <w:marBottom w:val="0"/>
          <w:divBdr>
            <w:top w:val="none" w:sz="0" w:space="0" w:color="auto"/>
            <w:left w:val="none" w:sz="0" w:space="0" w:color="auto"/>
            <w:bottom w:val="none" w:sz="0" w:space="0" w:color="auto"/>
            <w:right w:val="none" w:sz="0" w:space="0" w:color="auto"/>
          </w:divBdr>
          <w:divsChild>
            <w:div w:id="1081759839">
              <w:marLeft w:val="0"/>
              <w:marRight w:val="0"/>
              <w:marTop w:val="0"/>
              <w:marBottom w:val="0"/>
              <w:divBdr>
                <w:top w:val="none" w:sz="0" w:space="0" w:color="auto"/>
                <w:left w:val="none" w:sz="0" w:space="0" w:color="auto"/>
                <w:bottom w:val="none" w:sz="0" w:space="0" w:color="auto"/>
                <w:right w:val="none" w:sz="0" w:space="0" w:color="auto"/>
              </w:divBdr>
              <w:divsChild>
                <w:div w:id="1472987778">
                  <w:marLeft w:val="0"/>
                  <w:marRight w:val="0"/>
                  <w:marTop w:val="0"/>
                  <w:marBottom w:val="0"/>
                  <w:divBdr>
                    <w:top w:val="none" w:sz="0" w:space="0" w:color="auto"/>
                    <w:left w:val="none" w:sz="0" w:space="0" w:color="auto"/>
                    <w:bottom w:val="none" w:sz="0" w:space="0" w:color="auto"/>
                    <w:right w:val="none" w:sz="0" w:space="0" w:color="auto"/>
                  </w:divBdr>
                  <w:divsChild>
                    <w:div w:id="1013801694">
                      <w:marLeft w:val="0"/>
                      <w:marRight w:val="0"/>
                      <w:marTop w:val="0"/>
                      <w:marBottom w:val="0"/>
                      <w:divBdr>
                        <w:top w:val="none" w:sz="0" w:space="0" w:color="auto"/>
                        <w:left w:val="none" w:sz="0" w:space="0" w:color="auto"/>
                        <w:bottom w:val="none" w:sz="0" w:space="0" w:color="auto"/>
                        <w:right w:val="none" w:sz="0" w:space="0" w:color="auto"/>
                      </w:divBdr>
                    </w:div>
                    <w:div w:id="11160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476246">
      <w:bodyDiv w:val="1"/>
      <w:marLeft w:val="0"/>
      <w:marRight w:val="0"/>
      <w:marTop w:val="0"/>
      <w:marBottom w:val="0"/>
      <w:divBdr>
        <w:top w:val="none" w:sz="0" w:space="0" w:color="auto"/>
        <w:left w:val="none" w:sz="0" w:space="0" w:color="auto"/>
        <w:bottom w:val="none" w:sz="0" w:space="0" w:color="auto"/>
        <w:right w:val="none" w:sz="0" w:space="0" w:color="auto"/>
      </w:divBdr>
    </w:div>
    <w:div w:id="1800222768">
      <w:bodyDiv w:val="1"/>
      <w:marLeft w:val="0"/>
      <w:marRight w:val="0"/>
      <w:marTop w:val="0"/>
      <w:marBottom w:val="0"/>
      <w:divBdr>
        <w:top w:val="none" w:sz="0" w:space="0" w:color="auto"/>
        <w:left w:val="none" w:sz="0" w:space="0" w:color="auto"/>
        <w:bottom w:val="none" w:sz="0" w:space="0" w:color="auto"/>
        <w:right w:val="none" w:sz="0" w:space="0" w:color="auto"/>
      </w:divBdr>
      <w:divsChild>
        <w:div w:id="892041864">
          <w:marLeft w:val="0"/>
          <w:marRight w:val="0"/>
          <w:marTop w:val="0"/>
          <w:marBottom w:val="0"/>
          <w:divBdr>
            <w:top w:val="none" w:sz="0" w:space="0" w:color="auto"/>
            <w:left w:val="none" w:sz="0" w:space="0" w:color="auto"/>
            <w:bottom w:val="none" w:sz="0" w:space="0" w:color="auto"/>
            <w:right w:val="none" w:sz="0" w:space="0" w:color="auto"/>
          </w:divBdr>
        </w:div>
      </w:divsChild>
    </w:div>
    <w:div w:id="19966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3" Type="http://schemas.openxmlformats.org/officeDocument/2006/relationships/settings" Target="settings.xml"/><Relationship Id="rId7" Type="http://schemas.openxmlformats.org/officeDocument/2006/relationships/hyperlink" Target="https://vpt.lrv.lt/lt/metodine-pagalba/pirkimu-vykdytojams_3/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2025-08-29T11:31:00Z</dcterms:created>
  <dcterms:modified xsi:type="dcterms:W3CDTF">2025-08-29T11:45:00Z</dcterms:modified>
</cp:coreProperties>
</file>