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DEBE" w14:textId="77777777" w:rsidR="005C0CBE" w:rsidRPr="005C0CBE" w:rsidRDefault="005C0CBE" w:rsidP="005C0CBE">
      <w:r w:rsidRPr="005C0CBE">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6FD0C1F" w14:textId="0CE8C9EB" w:rsidR="005C0CBE" w:rsidRPr="005C0CBE" w:rsidRDefault="005C0CBE" w:rsidP="005C0CBE">
      <w:pPr>
        <w:rPr>
          <w:lang w:val="lt-LT"/>
        </w:rPr>
      </w:pPr>
      <w:r w:rsidRPr="005C0CBE">
        <w:rPr>
          <w:lang w:val="lt-LT"/>
        </w:rPr>
        <w:t xml:space="preserve">Vadovaujantis Tarnybai Įstatyme nustatyta pažeidimų prevencijos funkcija, šiuo metu atliekama </w:t>
      </w:r>
      <w:r w:rsidR="00E37927">
        <w:rPr>
          <w:b/>
          <w:bCs/>
          <w:lang w:val="lt-LT"/>
        </w:rPr>
        <w:t>Klaipėdos turizmo mokyklos</w:t>
      </w:r>
      <w:r w:rsidRPr="005C0CBE">
        <w:rPr>
          <w:lang w:val="lt-LT"/>
        </w:rPr>
        <w:t xml:space="preserve"> (toliau – Perkančioji organizacija) vykdomo pirkimo </w:t>
      </w:r>
      <w:r w:rsidRPr="005C0CBE">
        <w:rPr>
          <w:b/>
          <w:bCs/>
          <w:lang w:val="lt-LT"/>
        </w:rPr>
        <w:t>Nr.</w:t>
      </w:r>
      <w:r w:rsidRPr="005C0CBE">
        <w:t xml:space="preserve"> </w:t>
      </w:r>
      <w:r w:rsidR="002772A1">
        <w:rPr>
          <w:b/>
          <w:bCs/>
          <w:lang w:val="lt-LT"/>
        </w:rPr>
        <w:t>3898359</w:t>
      </w:r>
      <w:r w:rsidRPr="005C0CBE">
        <w:rPr>
          <w:b/>
          <w:bCs/>
          <w:iCs/>
          <w:lang w:val="lt-LT"/>
        </w:rPr>
        <w:t xml:space="preserve">  „</w:t>
      </w:r>
      <w:r w:rsidR="006B60F6">
        <w:rPr>
          <w:b/>
          <w:bCs/>
          <w:iCs/>
          <w:lang w:val="lt-LT"/>
        </w:rPr>
        <w:t>Bendrabučio atnaujinimo</w:t>
      </w:r>
      <w:r w:rsidRPr="005C0CBE">
        <w:rPr>
          <w:b/>
          <w:bCs/>
          <w:iCs/>
          <w:lang w:val="lt-LT"/>
        </w:rPr>
        <w:t xml:space="preserve"> darbai“</w:t>
      </w:r>
      <w:r w:rsidRPr="005C0CBE">
        <w:rPr>
          <w:lang w:val="lt-LT"/>
        </w:rPr>
        <w:t xml:space="preserve"> (toliau – Pirkimas), dokumentų atitikties Įstatymui ir jį įgyvendinantiems teisės aktams peržiūra (peržiūra prevenciniais tikslais atliekama tam tikra apimtimi).</w:t>
      </w:r>
    </w:p>
    <w:p w14:paraId="34C6C6B9" w14:textId="7A3968C8" w:rsidR="005C0CBE" w:rsidRPr="005C0CBE" w:rsidRDefault="005C0CBE" w:rsidP="005C0CBE">
      <w:pPr>
        <w:rPr>
          <w:lang w:val="lt"/>
        </w:rPr>
      </w:pPr>
      <w:r w:rsidRPr="005C0CBE">
        <w:rPr>
          <w:lang w:val="lt"/>
        </w:rPr>
        <w:t xml:space="preserve">Tarnyba, prevencine tvarka peržiūrėjusi Pirkimo dokumentus ir atsižvelgdama į galiojantį teisinį reglamentavimą, teikia </w:t>
      </w:r>
      <w:r w:rsidR="00C17D2D">
        <w:rPr>
          <w:lang w:val="lt"/>
        </w:rPr>
        <w:t xml:space="preserve">klausimus, </w:t>
      </w:r>
      <w:r w:rsidRPr="005C0CBE">
        <w:rPr>
          <w:lang w:val="lt"/>
        </w:rPr>
        <w:t>pastabas ir rekomendacijas (toliau – Rekomendacija) dėl Pirkimo dokumentų nuostatų.</w:t>
      </w:r>
    </w:p>
    <w:p w14:paraId="5B60CD86" w14:textId="71F66023" w:rsidR="005C0CBE" w:rsidRPr="005C0CBE" w:rsidRDefault="005C0CBE" w:rsidP="005C0CBE">
      <w:pPr>
        <w:numPr>
          <w:ilvl w:val="0"/>
          <w:numId w:val="1"/>
        </w:numPr>
        <w:rPr>
          <w:lang w:val="lt-LT"/>
        </w:rPr>
      </w:pPr>
      <w:r w:rsidRPr="005C0CBE">
        <w:rPr>
          <w:b/>
          <w:bCs/>
          <w:lang w:val="lt-LT"/>
        </w:rPr>
        <w:t>Dėl informacijos skelbime apie pirkimą</w:t>
      </w:r>
    </w:p>
    <w:p w14:paraId="2BB963C6" w14:textId="2627C116" w:rsidR="005C0CBE" w:rsidRPr="005C0CBE" w:rsidRDefault="00F40256" w:rsidP="00B839FF">
      <w:pPr>
        <w:spacing w:after="0"/>
        <w:rPr>
          <w:lang w:val="lt-LT"/>
        </w:rPr>
      </w:pPr>
      <w:r>
        <w:rPr>
          <w:lang w:val="lt-LT"/>
        </w:rPr>
        <w:t>Tarnyba atkreipia dėmesį, jog</w:t>
      </w:r>
      <w:r w:rsidR="005C0CBE" w:rsidRPr="005C0CBE">
        <w:rPr>
          <w:lang w:val="lt-LT"/>
        </w:rPr>
        <w:t xml:space="preserve"> skelbimo apie pirkimą 5.1.7 punkte „Strateginis viešasis pirkimas“ pažymėta, kad </w:t>
      </w:r>
      <w:r w:rsidR="005C0CBE" w:rsidRPr="005C0CBE">
        <w:rPr>
          <w:b/>
          <w:bCs/>
          <w:lang w:val="lt-LT"/>
        </w:rPr>
        <w:t>strateginių viešųjų pirkimų</w:t>
      </w:r>
      <w:r w:rsidR="005C0CBE" w:rsidRPr="005C0CBE">
        <w:rPr>
          <w:lang w:val="lt-LT"/>
        </w:rPr>
        <w:t xml:space="preserve"> (tame tarpe ir žaliųjų pirkimų) </w:t>
      </w:r>
      <w:r w:rsidR="005C0CBE" w:rsidRPr="005C0CBE">
        <w:rPr>
          <w:b/>
          <w:bCs/>
          <w:lang w:val="lt-LT"/>
        </w:rPr>
        <w:t>nėra</w:t>
      </w:r>
      <w:r w:rsidR="005C0CBE" w:rsidRPr="005C0CBE">
        <w:rPr>
          <w:lang w:val="lt-LT"/>
        </w:rPr>
        <w:t xml:space="preserve">. </w:t>
      </w:r>
      <w:r w:rsidR="009B5CBB" w:rsidRPr="009B5CBB">
        <w:rPr>
          <w:lang w:val="lt-LT"/>
        </w:rPr>
        <w:t xml:space="preserve">Pirkimo sąlygų 2 priedo „Techninė specifikacija“ (toliau – Techninė specifikacija) 7 punkte nustatyta, jog </w:t>
      </w:r>
      <w:r w:rsidR="00944B9B">
        <w:rPr>
          <w:lang w:val="lt-LT"/>
        </w:rPr>
        <w:t>pirkimui taikomas</w:t>
      </w:r>
      <w:r w:rsidR="009B5CBB" w:rsidRPr="009B5CBB">
        <w:rPr>
          <w:lang w:val="lt-LT"/>
        </w:rPr>
        <w:t xml:space="preserve"> Lietuvos Respublikos aplinkos ministro 2011 m. birželio 28 d. įsakymu Nr. D1-508 „</w:t>
      </w:r>
      <w:hyperlink r:id="rId7" w:history="1">
        <w:r w:rsidR="009B5CBB" w:rsidRPr="009B5CBB">
          <w:rPr>
            <w:rStyle w:val="Hyperlink"/>
            <w:lang w:val="lt-LT"/>
          </w:rPr>
          <w:t>Dėl Aplinkos apsaugos kriterijų taikymo, vykdant žaliuosius pirkimus, tvarkos aprašo patvirtinimo</w:t>
        </w:r>
      </w:hyperlink>
      <w:r w:rsidR="009B5CBB" w:rsidRPr="009B5CBB">
        <w:rPr>
          <w:lang w:val="lt-LT"/>
        </w:rPr>
        <w:t xml:space="preserve">“ patvirtinto Aplinkos apsaugos kriterijų taikymo, vykdant žaliuosius pirkimus, tvarkos aprašo (toliau – Tvarkos aprašas) </w:t>
      </w:r>
      <w:r w:rsidR="009B5CBB" w:rsidRPr="009B5CBB">
        <w:rPr>
          <w:b/>
          <w:bCs/>
          <w:lang w:val="lt-LT"/>
        </w:rPr>
        <w:t>4.4.3.  papunk</w:t>
      </w:r>
      <w:r w:rsidR="00375B3A">
        <w:rPr>
          <w:b/>
          <w:bCs/>
          <w:lang w:val="lt-LT"/>
        </w:rPr>
        <w:t>tis</w:t>
      </w:r>
      <w:r w:rsidR="00375B3A" w:rsidRPr="00B839FF">
        <w:rPr>
          <w:lang w:val="lt-LT"/>
        </w:rPr>
        <w:t>, t.</w:t>
      </w:r>
      <w:r w:rsidR="00B839FF" w:rsidRPr="00B839FF">
        <w:rPr>
          <w:lang w:val="lt-LT"/>
        </w:rPr>
        <w:t xml:space="preserve"> </w:t>
      </w:r>
      <w:r w:rsidR="00375B3A" w:rsidRPr="00B839FF">
        <w:rPr>
          <w:lang w:val="lt-LT"/>
        </w:rPr>
        <w:t>y. vykdomas žaliasis pirkimas</w:t>
      </w:r>
      <w:r w:rsidR="009B5CBB" w:rsidRPr="00B839FF">
        <w:rPr>
          <w:lang w:val="lt-LT"/>
        </w:rPr>
        <w:t>.</w:t>
      </w:r>
      <w:r w:rsidR="009B5CBB">
        <w:rPr>
          <w:b/>
          <w:bCs/>
          <w:lang w:val="lt-LT"/>
        </w:rPr>
        <w:t xml:space="preserve"> </w:t>
      </w:r>
      <w:r w:rsidR="005C0CBE" w:rsidRPr="005C0CBE">
        <w:rPr>
          <w:lang w:val="lt-LT"/>
        </w:rPr>
        <w:t>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02357175" w14:textId="77777777" w:rsidR="005C0CBE" w:rsidRDefault="005C0CBE" w:rsidP="00B839FF">
      <w:pPr>
        <w:spacing w:after="0"/>
        <w:rPr>
          <w:lang w:val="lt-LT"/>
        </w:rPr>
      </w:pPr>
      <w:r w:rsidRPr="005C0CBE">
        <w:rPr>
          <w:lang w:val="lt-LT"/>
        </w:rPr>
        <w:t xml:space="preserve">Tarnybos parengtos mokomosios priemonės </w:t>
      </w:r>
      <w:hyperlink r:id="rId8" w:tgtFrame="_blank" w:history="1">
        <w:r w:rsidRPr="005C0CBE">
          <w:rPr>
            <w:rStyle w:val="Hyperlink"/>
            <w:lang w:val="lt-LT"/>
          </w:rPr>
          <w:t>Skelbimas apie pirkimą</w:t>
        </w:r>
      </w:hyperlink>
      <w:r w:rsidRPr="005C0CBE">
        <w:rPr>
          <w:lang w:val="lt-LT"/>
        </w:rPr>
        <w:t xml:space="preserve"> 16 ir 17 skaidrėse pateikta informacija apie Pirkimų procedūros dalies </w:t>
      </w:r>
      <w:r w:rsidRPr="005C0CBE">
        <w:rPr>
          <w:b/>
          <w:bCs/>
          <w:lang w:val="lt-LT"/>
        </w:rPr>
        <w:t>strateginiai viešieji pirkimai</w:t>
      </w:r>
      <w:r w:rsidRPr="005C0CBE">
        <w:rPr>
          <w:lang w:val="lt-LT"/>
        </w:rPr>
        <w:t xml:space="preserve"> pildymą. Įvertinusi skelbime apie pirkimą pateiktą netikslią informaciją, Tarnyba rekomenduoja </w:t>
      </w:r>
      <w:hyperlink r:id="rId9" w:history="1">
        <w:r w:rsidRPr="005C0CBE">
          <w:rPr>
            <w:rStyle w:val="Hyperlink"/>
            <w:lang w:val="lt-LT"/>
          </w:rPr>
          <w:t>Pranešimu apie pakeitimus</w:t>
        </w:r>
      </w:hyperlink>
      <w:r w:rsidRPr="005C0CBE">
        <w:rPr>
          <w:lang w:val="lt-LT"/>
        </w:rPr>
        <w:t xml:space="preserve"> patikslinti skelbimo apie pirkimą informaciją.</w:t>
      </w:r>
    </w:p>
    <w:p w14:paraId="6109F7B7" w14:textId="77777777" w:rsidR="00405D6D" w:rsidRPr="00C04F14" w:rsidRDefault="00405D6D" w:rsidP="00405D6D">
      <w:pPr>
        <w:spacing w:after="0" w:line="276" w:lineRule="auto"/>
        <w:ind w:firstLine="709"/>
        <w:rPr>
          <w:rFonts w:ascii="Calibri" w:hAnsi="Calibri" w:cs="Calibri"/>
          <w:lang w:val="lt-LT" w:eastAsia="lt-LT"/>
        </w:rPr>
      </w:pPr>
    </w:p>
    <w:p w14:paraId="4FEC8C10" w14:textId="5A5BFD66" w:rsidR="007816CD" w:rsidRDefault="00405D6D" w:rsidP="00691E47">
      <w:pPr>
        <w:pStyle w:val="ListParagraph"/>
        <w:numPr>
          <w:ilvl w:val="0"/>
          <w:numId w:val="1"/>
        </w:numPr>
        <w:spacing w:after="0" w:line="276" w:lineRule="auto"/>
        <w:rPr>
          <w:rFonts w:ascii="Calibri" w:hAnsi="Calibri" w:cs="Calibri"/>
          <w:b/>
          <w:bCs/>
          <w:lang w:val="lt-LT" w:eastAsia="lt-LT"/>
        </w:rPr>
      </w:pPr>
      <w:r w:rsidRPr="00C04F14">
        <w:rPr>
          <w:rFonts w:ascii="Calibri" w:hAnsi="Calibri" w:cs="Calibri"/>
          <w:b/>
          <w:bCs/>
          <w:lang w:val="lt-LT" w:eastAsia="lt-LT"/>
        </w:rPr>
        <w:t>Dėl pašalinimo pagrindų</w:t>
      </w:r>
    </w:p>
    <w:p w14:paraId="434A8146" w14:textId="77777777" w:rsidR="00691E47" w:rsidRPr="00691E47" w:rsidRDefault="00691E47" w:rsidP="00691E47">
      <w:pPr>
        <w:pStyle w:val="ListParagraph"/>
        <w:spacing w:after="0" w:line="276" w:lineRule="auto"/>
        <w:rPr>
          <w:rFonts w:ascii="Calibri" w:hAnsi="Calibri" w:cs="Calibri"/>
          <w:b/>
          <w:bCs/>
          <w:lang w:val="lt-LT" w:eastAsia="lt-LT"/>
        </w:rPr>
      </w:pPr>
    </w:p>
    <w:p w14:paraId="267F4F78" w14:textId="392EF917" w:rsidR="002A6C12" w:rsidRPr="00E65D01" w:rsidRDefault="00E65D01" w:rsidP="00E65D01">
      <w:pPr>
        <w:spacing w:after="0"/>
        <w:rPr>
          <w:lang w:val="lt-LT"/>
        </w:rPr>
      </w:pPr>
      <w:r w:rsidRPr="00E65D01">
        <w:rPr>
          <w:b/>
          <w:bCs/>
          <w:lang w:val="lt-LT"/>
        </w:rPr>
        <w:t>2.1.</w:t>
      </w:r>
      <w:r>
        <w:rPr>
          <w:lang w:val="lt-LT"/>
        </w:rPr>
        <w:t xml:space="preserve"> </w:t>
      </w:r>
      <w:r w:rsidR="00B839FF" w:rsidRPr="00E65D01">
        <w:rPr>
          <w:lang w:val="lt-LT"/>
        </w:rPr>
        <w:t>Tarnyba primena</w:t>
      </w:r>
      <w:r w:rsidR="002A6C12" w:rsidRPr="00E65D01">
        <w:rPr>
          <w:lang w:val="lt-LT"/>
        </w:rPr>
        <w:t xml:space="preserve">, kad 2024-01-01 įsigaliojo Įstatymo 25 straipsnio 1 dalies pakeitimas, nustatantis, jog atliekant supaprastintus pirkimus, pažymų, patvirtinančių Įstatymo 46 straipsnyje nurodytų tiekėjo pašalinimo pagrindų nebuvimą, nereikalaujama, kai tiekėjas pateikia Europos bendrąjį viešųjų pirkimų dokumentą (EBVPD). Pažymų, patvirtinančių </w:t>
      </w:r>
      <w:r w:rsidR="002A6C12" w:rsidRPr="00E65D01">
        <w:rPr>
          <w:lang w:val="lt-LT"/>
        </w:rPr>
        <w:lastRenderedPageBreak/>
        <w:t xml:space="preserve">tiekėjo pašalinimo pagrindų nebuvimą, perkančioji organizacija gali reikalauti iš tiekėjų tik turėdama pagrįstų abejonių dėl šių tiekėjų patikimumo. </w:t>
      </w:r>
    </w:p>
    <w:p w14:paraId="6D080CE8" w14:textId="6092FDB4" w:rsidR="0082799B" w:rsidRDefault="00D60B86" w:rsidP="003777EA">
      <w:pPr>
        <w:spacing w:after="0"/>
        <w:rPr>
          <w:lang w:val="lt-LT"/>
        </w:rPr>
      </w:pPr>
      <w:r w:rsidRPr="00D60B86">
        <w:rPr>
          <w:lang w:val="lt-LT"/>
        </w:rPr>
        <w:t xml:space="preserve">Atsižvelgiant į tai, jog </w:t>
      </w:r>
      <w:r w:rsidR="002A6C12">
        <w:rPr>
          <w:lang w:val="lt-LT"/>
        </w:rPr>
        <w:t>šiuo atveju</w:t>
      </w:r>
      <w:r w:rsidRPr="00D60B86">
        <w:rPr>
          <w:lang w:val="lt-LT"/>
        </w:rPr>
        <w:t xml:space="preserve"> vykdomas supaprastintas pirkimas,</w:t>
      </w:r>
      <w:r w:rsidR="004D315C">
        <w:rPr>
          <w:lang w:val="lt-LT"/>
        </w:rPr>
        <w:t xml:space="preserve"> Pirkimo sąlygų 3 priedo „Tiekėjų pašalinimo pagrindai“</w:t>
      </w:r>
      <w:r w:rsidRPr="00D60B86">
        <w:rPr>
          <w:lang w:val="lt-LT"/>
        </w:rPr>
        <w:t xml:space="preserve"> lentelės</w:t>
      </w:r>
      <w:r w:rsidR="00737313">
        <w:rPr>
          <w:lang w:val="lt-LT"/>
        </w:rPr>
        <w:t xml:space="preserve"> </w:t>
      </w:r>
      <w:r w:rsidR="002B195A">
        <w:rPr>
          <w:lang w:val="lt-LT"/>
        </w:rPr>
        <w:t>1</w:t>
      </w:r>
      <w:r w:rsidRPr="00D60B86">
        <w:rPr>
          <w:lang w:val="lt-LT"/>
        </w:rPr>
        <w:t>, 2</w:t>
      </w:r>
      <w:r w:rsidR="002B195A">
        <w:rPr>
          <w:lang w:val="lt-LT"/>
        </w:rPr>
        <w:t xml:space="preserve"> ir 13</w:t>
      </w:r>
      <w:r w:rsidRPr="00D60B86">
        <w:rPr>
          <w:lang w:val="lt-LT"/>
        </w:rPr>
        <w:t xml:space="preserve"> </w:t>
      </w:r>
      <w:r w:rsidR="00A05219">
        <w:rPr>
          <w:lang w:val="lt-LT"/>
        </w:rPr>
        <w:t>punktų</w:t>
      </w:r>
      <w:r w:rsidRPr="00D60B86">
        <w:rPr>
          <w:lang w:val="lt-LT"/>
        </w:rPr>
        <w:t xml:space="preserve"> skilty</w:t>
      </w:r>
      <w:r w:rsidR="007719D4">
        <w:rPr>
          <w:lang w:val="lt-LT"/>
        </w:rPr>
        <w:t>j</w:t>
      </w:r>
      <w:r w:rsidRPr="00D60B86">
        <w:rPr>
          <w:lang w:val="lt-LT"/>
        </w:rPr>
        <w:t xml:space="preserve">e „Pašalinimo pagrindų nebuvimą įrodantys dokumentai“ trūksta pastabos: „Pažymų, patvirtinančių VPĮ 46 straipsnyje nurodytų tiekėjo pašalinimo pagrindų nebuvimą, pateikti nereikalaujama. Jų perkančioji organizacija reikalaus tik turėdama pagrįstų abejonių dėl tiekėjo patikimumo”. </w:t>
      </w:r>
    </w:p>
    <w:p w14:paraId="327EB5C4" w14:textId="7687D503" w:rsidR="00101DBF" w:rsidRPr="00101DBF" w:rsidRDefault="00F80799" w:rsidP="004528F9">
      <w:pPr>
        <w:spacing w:after="0"/>
        <w:rPr>
          <w:lang w:val="lt-LT"/>
        </w:rPr>
      </w:pPr>
      <w:r>
        <w:rPr>
          <w:lang w:val="lt-LT"/>
        </w:rPr>
        <w:t>Taip pat a</w:t>
      </w:r>
      <w:r w:rsidR="00515A59">
        <w:rPr>
          <w:lang w:val="lt-LT"/>
        </w:rPr>
        <w:t xml:space="preserve">tkreiptinas dėmesys, jog </w:t>
      </w:r>
      <w:r w:rsidR="00101DBF" w:rsidRPr="00101DBF">
        <w:rPr>
          <w:lang w:val="lt-LT"/>
        </w:rPr>
        <w:t>Tiekėjo pašalinimo pagrindų lentelės</w:t>
      </w:r>
      <w:r w:rsidR="00A05219">
        <w:rPr>
          <w:lang w:val="lt-LT"/>
        </w:rPr>
        <w:t xml:space="preserve"> </w:t>
      </w:r>
      <w:r w:rsidR="00101DBF" w:rsidRPr="00101DBF">
        <w:rPr>
          <w:lang w:val="lt-LT"/>
        </w:rPr>
        <w:t>1</w:t>
      </w:r>
      <w:r w:rsidR="004A1485">
        <w:rPr>
          <w:lang w:val="lt-LT"/>
        </w:rPr>
        <w:t xml:space="preserve"> ir</w:t>
      </w:r>
      <w:r w:rsidR="00101DBF" w:rsidRPr="00101DBF">
        <w:rPr>
          <w:lang w:val="lt-LT"/>
        </w:rPr>
        <w:t xml:space="preserve"> </w:t>
      </w:r>
      <w:r w:rsidR="00A05219">
        <w:rPr>
          <w:lang w:val="lt-LT"/>
        </w:rPr>
        <w:t>2</w:t>
      </w:r>
      <w:r w:rsidR="00101DBF" w:rsidRPr="00101DBF">
        <w:rPr>
          <w:lang w:val="lt-LT"/>
        </w:rPr>
        <w:t xml:space="preserve"> </w:t>
      </w:r>
      <w:r w:rsidR="00C86944">
        <w:rPr>
          <w:lang w:val="lt-LT"/>
        </w:rPr>
        <w:t>punktuose</w:t>
      </w:r>
      <w:r w:rsidR="00101DBF" w:rsidRPr="00101DBF">
        <w:rPr>
          <w:lang w:val="lt-LT"/>
        </w:rPr>
        <w:t xml:space="preserve"> turi būti nurodyta</w:t>
      </w:r>
      <w:r w:rsidR="00DF658B">
        <w:rPr>
          <w:lang w:val="lt-LT"/>
        </w:rPr>
        <w:t>:</w:t>
      </w:r>
      <w:r w:rsidR="00101DBF" w:rsidRPr="00101DBF">
        <w:rPr>
          <w:lang w:val="lt-LT"/>
        </w:rPr>
        <w:t xml:space="preserve"> „</w:t>
      </w:r>
      <w:r w:rsidR="00751AE1" w:rsidRPr="00751AE1">
        <w:rPr>
          <w:bCs/>
          <w:lang w:val="lt-LT"/>
        </w:rPr>
        <w:t xml:space="preserve">tiekėjo, kuris yra juridinis asmuo, kita organizacija </w:t>
      </w:r>
      <w:r w:rsidR="00101DBF" w:rsidRPr="00101DBF">
        <w:rPr>
          <w:lang w:val="lt-LT"/>
        </w:rPr>
        <w:t xml:space="preserve">ar jos </w:t>
      </w:r>
      <w:r w:rsidR="00101DBF" w:rsidRPr="00101DBF">
        <w:rPr>
          <w:b/>
          <w:bCs/>
          <w:lang w:val="lt-LT"/>
        </w:rPr>
        <w:t>struktūrinis</w:t>
      </w:r>
      <w:r w:rsidR="00101DBF" w:rsidRPr="00101DBF">
        <w:rPr>
          <w:lang w:val="lt-LT"/>
        </w:rPr>
        <w:t xml:space="preserve"> padalinys“. Atsižvelgiant į tai, rekomenduotina papildyti Pašalinimo pagrindus trūkstama informacija, t. y. žodžiu „struktūrinis“.</w:t>
      </w:r>
    </w:p>
    <w:p w14:paraId="310B4D99" w14:textId="18DCE348" w:rsidR="00D60B86" w:rsidRPr="00D60B86" w:rsidRDefault="00D60B86" w:rsidP="004528F9">
      <w:pPr>
        <w:spacing w:after="0"/>
        <w:rPr>
          <w:lang w:val="lt-LT"/>
        </w:rPr>
      </w:pPr>
      <w:r w:rsidRPr="00D60B86">
        <w:rPr>
          <w:lang w:val="lt-LT"/>
        </w:rPr>
        <w:t>Be to, Pašalinimo pagrindų lentelėje nėra Įstatymo 46 straipsnio 2</w:t>
      </w:r>
      <w:r w:rsidRPr="00D60B86">
        <w:rPr>
          <w:vertAlign w:val="superscript"/>
          <w:lang w:val="lt-LT"/>
        </w:rPr>
        <w:t xml:space="preserve">1 </w:t>
      </w:r>
      <w:r w:rsidRPr="00D60B86">
        <w:rPr>
          <w:lang w:val="lt-LT"/>
        </w:rPr>
        <w:t xml:space="preserve"> dalyje nustatyto pašalinimo pagrindo.</w:t>
      </w:r>
    </w:p>
    <w:p w14:paraId="19ACB868" w14:textId="2F019862" w:rsidR="00D60B86" w:rsidRPr="00D60B86" w:rsidRDefault="00D60B86" w:rsidP="00DF658B">
      <w:pPr>
        <w:spacing w:after="0"/>
        <w:rPr>
          <w:lang w:val="lt-LT"/>
        </w:rPr>
      </w:pPr>
      <w:r w:rsidRPr="00D60B86">
        <w:rPr>
          <w:lang w:val="lt-LT"/>
        </w:rPr>
        <w:t xml:space="preserve">Atsižvelgiant į </w:t>
      </w:r>
      <w:r w:rsidR="00B92552">
        <w:rPr>
          <w:lang w:val="lt-LT"/>
        </w:rPr>
        <w:t>nurodytą</w:t>
      </w:r>
      <w:r w:rsidRPr="00D60B86">
        <w:rPr>
          <w:lang w:val="lt-LT"/>
        </w:rPr>
        <w:t xml:space="preserve">, rekomenduotina patikslinti </w:t>
      </w:r>
      <w:r w:rsidR="006017B2">
        <w:rPr>
          <w:lang w:val="lt-LT"/>
        </w:rPr>
        <w:t>Tiekėjų p</w:t>
      </w:r>
      <w:r w:rsidRPr="00D60B86">
        <w:rPr>
          <w:lang w:val="lt-LT"/>
        </w:rPr>
        <w:t>ašalinimo pagrindus.</w:t>
      </w:r>
    </w:p>
    <w:p w14:paraId="3F8FE004" w14:textId="6B3FA8C9" w:rsidR="00A7135E" w:rsidRDefault="00D02383" w:rsidP="00006973">
      <w:pPr>
        <w:spacing w:after="0"/>
        <w:rPr>
          <w:lang w:val="lt-LT"/>
        </w:rPr>
      </w:pPr>
      <w:r>
        <w:rPr>
          <w:lang w:val="lt-LT"/>
        </w:rPr>
        <w:t>S</w:t>
      </w:r>
      <w:r w:rsidR="00D60B86" w:rsidRPr="00D60B86">
        <w:rPr>
          <w:lang w:val="lt-LT"/>
        </w:rPr>
        <w:t xml:space="preserve">iekiant padėti tinkamai suformuluoti pašalinimo pagrindų reikalavimus, Tarnyba yra parengusi ir paskelbusi atnaujintą pavyzdinę </w:t>
      </w:r>
      <w:hyperlink r:id="rId10">
        <w:r w:rsidR="00D60B86" w:rsidRPr="00D60B86">
          <w:rPr>
            <w:rStyle w:val="Hyperlink"/>
            <w:lang w:val="lt-LT"/>
          </w:rPr>
          <w:t>pašalinimo pagrindų lentelę</w:t>
        </w:r>
      </w:hyperlink>
      <w:r w:rsidR="006017B2" w:rsidRPr="00F80799">
        <w:rPr>
          <w:lang w:val="lt-LT"/>
        </w:rPr>
        <w:t>,</w:t>
      </w:r>
      <w:r w:rsidR="00D60B86" w:rsidRPr="00D60B86">
        <w:rPr>
          <w:lang w:val="lt-LT"/>
        </w:rPr>
        <w:t xml:space="preserve"> todėl rengiant Pirkimo dokumentus rekomenduotina vadovautis šiuo dokumentu.</w:t>
      </w:r>
    </w:p>
    <w:p w14:paraId="6DED3B88" w14:textId="77777777" w:rsidR="00E65D01" w:rsidRDefault="00E65D01" w:rsidP="00006973">
      <w:pPr>
        <w:spacing w:after="0"/>
        <w:rPr>
          <w:lang w:val="lt-LT"/>
        </w:rPr>
      </w:pPr>
    </w:p>
    <w:p w14:paraId="5E7D3DD0" w14:textId="5407DC88" w:rsidR="00DD7B4F" w:rsidRPr="00DD7B4F" w:rsidRDefault="00E65D01" w:rsidP="00DD7B4F">
      <w:pPr>
        <w:spacing w:after="0"/>
        <w:rPr>
          <w:lang w:val="lt-LT"/>
        </w:rPr>
      </w:pPr>
      <w:r w:rsidRPr="00E65D01">
        <w:rPr>
          <w:b/>
          <w:bCs/>
          <w:lang w:val="lt-LT"/>
        </w:rPr>
        <w:t>2.2.</w:t>
      </w:r>
      <w:r>
        <w:rPr>
          <w:b/>
          <w:bCs/>
          <w:lang w:val="lt-LT"/>
        </w:rPr>
        <w:t xml:space="preserve"> </w:t>
      </w:r>
      <w:r w:rsidR="00236490" w:rsidRPr="00236490">
        <w:rPr>
          <w:lang w:val="lt-LT"/>
        </w:rPr>
        <w:t>Atkreiptinas dėmesys, jog</w:t>
      </w:r>
      <w:r w:rsidR="00236490">
        <w:rPr>
          <w:b/>
          <w:bCs/>
          <w:lang w:val="lt-LT"/>
        </w:rPr>
        <w:t xml:space="preserve"> </w:t>
      </w:r>
      <w:bookmarkStart w:id="0" w:name="_Ref38291379"/>
      <w:bookmarkStart w:id="1" w:name="_Ref38291394"/>
      <w:bookmarkStart w:id="2" w:name="_Ref38898251"/>
      <w:bookmarkStart w:id="3" w:name="_Toc126333943"/>
      <w:bookmarkStart w:id="4" w:name="_Toc202794139"/>
      <w:r w:rsidR="00A70FBF" w:rsidRPr="00A70FBF">
        <w:rPr>
          <w:lang w:val="lt-LT"/>
        </w:rPr>
        <w:t>Pirkimo sąlygų 5 pried</w:t>
      </w:r>
      <w:r w:rsidR="000106A2">
        <w:rPr>
          <w:lang w:val="lt-LT"/>
        </w:rPr>
        <w:t>e</w:t>
      </w:r>
      <w:r w:rsidR="00A70FBF" w:rsidRPr="00A70FBF">
        <w:rPr>
          <w:lang w:val="lt-LT"/>
        </w:rPr>
        <w:t xml:space="preserve"> „EBVPD“ </w:t>
      </w:r>
      <w:bookmarkEnd w:id="0"/>
      <w:bookmarkEnd w:id="1"/>
      <w:bookmarkEnd w:id="2"/>
      <w:bookmarkEnd w:id="3"/>
      <w:bookmarkEnd w:id="4"/>
      <w:r w:rsidR="00715B74">
        <w:rPr>
          <w:lang w:val="lt-LT"/>
        </w:rPr>
        <w:t>nurodyta, jog „</w:t>
      </w:r>
      <w:r w:rsidR="005122BA" w:rsidRPr="005122BA">
        <w:rPr>
          <w:lang w:val="lt-LT"/>
        </w:rPr>
        <w:t>Europos bendrasis viešųjų pirkimų dokumentas (EBVPD)“ pateikiamas .</w:t>
      </w:r>
      <w:proofErr w:type="spellStart"/>
      <w:r w:rsidR="005122BA" w:rsidRPr="005122BA">
        <w:rPr>
          <w:lang w:val="lt-LT"/>
        </w:rPr>
        <w:t>xml</w:t>
      </w:r>
      <w:proofErr w:type="spellEnd"/>
      <w:r w:rsidR="005122BA" w:rsidRPr="005122BA">
        <w:rPr>
          <w:lang w:val="lt-LT"/>
        </w:rPr>
        <w:t xml:space="preserve"> formatu</w:t>
      </w:r>
      <w:r w:rsidR="005122BA">
        <w:rPr>
          <w:lang w:val="lt-LT"/>
        </w:rPr>
        <w:t xml:space="preserve">“, tačiau </w:t>
      </w:r>
      <w:r w:rsidR="00DD7B4F" w:rsidRPr="00DD7B4F">
        <w:rPr>
          <w:lang w:val="lt-LT"/>
        </w:rPr>
        <w:t>Centrinė</w:t>
      </w:r>
      <w:r w:rsidR="00EC5A3B">
        <w:rPr>
          <w:lang w:val="lt-LT"/>
        </w:rPr>
        <w:t>s</w:t>
      </w:r>
      <w:r w:rsidR="00DD7B4F" w:rsidRPr="00DD7B4F">
        <w:rPr>
          <w:lang w:val="lt-LT"/>
        </w:rPr>
        <w:t xml:space="preserve"> viešųjų pirkimų informacinė</w:t>
      </w:r>
      <w:r w:rsidR="00C258EE">
        <w:rPr>
          <w:lang w:val="lt-LT"/>
        </w:rPr>
        <w:t>s</w:t>
      </w:r>
      <w:r w:rsidR="00DD7B4F" w:rsidRPr="00DD7B4F">
        <w:rPr>
          <w:lang w:val="lt-LT"/>
        </w:rPr>
        <w:t xml:space="preserve"> sistem</w:t>
      </w:r>
      <w:r w:rsidR="00DD7B4F">
        <w:rPr>
          <w:lang w:val="lt-LT"/>
        </w:rPr>
        <w:t>o</w:t>
      </w:r>
      <w:r w:rsidR="00C258EE">
        <w:rPr>
          <w:lang w:val="lt-LT"/>
        </w:rPr>
        <w:t>s</w:t>
      </w:r>
      <w:r w:rsidR="00DD7B4F">
        <w:rPr>
          <w:lang w:val="lt-LT"/>
        </w:rPr>
        <w:t xml:space="preserve"> (</w:t>
      </w:r>
      <w:r w:rsidR="000A6979">
        <w:rPr>
          <w:lang w:val="lt-LT"/>
        </w:rPr>
        <w:t>toliau – CVP IS</w:t>
      </w:r>
      <w:r w:rsidR="00C258EE">
        <w:rPr>
          <w:lang w:val="lt-LT"/>
        </w:rPr>
        <w:t>) skiltyje</w:t>
      </w:r>
      <w:r w:rsidR="00FB1968">
        <w:rPr>
          <w:lang w:val="lt-LT"/>
        </w:rPr>
        <w:t xml:space="preserve"> </w:t>
      </w:r>
      <w:r w:rsidR="00C258EE">
        <w:rPr>
          <w:lang w:val="lt-LT"/>
        </w:rPr>
        <w:t>„P</w:t>
      </w:r>
      <w:r w:rsidR="00FB1968">
        <w:rPr>
          <w:lang w:val="lt-LT"/>
        </w:rPr>
        <w:t xml:space="preserve">irkimo </w:t>
      </w:r>
      <w:r w:rsidR="00EC5A3B">
        <w:rPr>
          <w:lang w:val="lt-LT"/>
        </w:rPr>
        <w:t>dokument</w:t>
      </w:r>
      <w:r w:rsidR="00C258EE">
        <w:rPr>
          <w:lang w:val="lt-LT"/>
        </w:rPr>
        <w:t>ai“,</w:t>
      </w:r>
      <w:r w:rsidR="000A6979">
        <w:rPr>
          <w:lang w:val="lt-LT"/>
        </w:rPr>
        <w:t xml:space="preserve"> tokio dokumento nėra, </w:t>
      </w:r>
      <w:r w:rsidR="00891023">
        <w:rPr>
          <w:lang w:val="lt-LT"/>
        </w:rPr>
        <w:t xml:space="preserve">o </w:t>
      </w:r>
      <w:r w:rsidR="00AA3D59">
        <w:rPr>
          <w:lang w:val="lt-LT"/>
        </w:rPr>
        <w:t xml:space="preserve">pateikta internetinė nuoroda yra neaktyvi. </w:t>
      </w:r>
      <w:r w:rsidR="00F54E63">
        <w:rPr>
          <w:lang w:val="lt-LT"/>
        </w:rPr>
        <w:t>Atsižvelgiant į nurodytą, Tarnyba rekomenduoja peržiūrėti</w:t>
      </w:r>
      <w:r w:rsidR="006351B2">
        <w:rPr>
          <w:lang w:val="lt-LT"/>
        </w:rPr>
        <w:t xml:space="preserve"> ir papildyti</w:t>
      </w:r>
      <w:r w:rsidR="00F54E63">
        <w:rPr>
          <w:lang w:val="lt-LT"/>
        </w:rPr>
        <w:t xml:space="preserve"> Pirkimo dokumentus</w:t>
      </w:r>
      <w:r w:rsidR="006351B2">
        <w:rPr>
          <w:lang w:val="lt-LT"/>
        </w:rPr>
        <w:t xml:space="preserve">, bei </w:t>
      </w:r>
      <w:r w:rsidR="002456B5">
        <w:rPr>
          <w:lang w:val="lt-LT"/>
        </w:rPr>
        <w:t>atnaujinti</w:t>
      </w:r>
      <w:r w:rsidR="00E87080">
        <w:rPr>
          <w:lang w:val="lt-LT"/>
        </w:rPr>
        <w:t xml:space="preserve"> neaktyvias internetines nuorodas</w:t>
      </w:r>
      <w:r w:rsidR="00724FFD">
        <w:rPr>
          <w:lang w:val="lt-LT"/>
        </w:rPr>
        <w:t>.</w:t>
      </w:r>
      <w:r w:rsidR="00CD5491">
        <w:rPr>
          <w:lang w:val="lt-LT"/>
        </w:rPr>
        <w:t xml:space="preserve"> </w:t>
      </w:r>
      <w:r w:rsidR="005D36E4">
        <w:rPr>
          <w:lang w:val="lt-LT"/>
        </w:rPr>
        <w:t xml:space="preserve">Tarnyba yra parengusi informaciją, kaip pildyti EBVPD, su kuria galite susipažinti </w:t>
      </w:r>
      <w:hyperlink r:id="rId11" w:history="1">
        <w:r w:rsidR="005D36E4" w:rsidRPr="005D36E4">
          <w:rPr>
            <w:rStyle w:val="Hyperlink"/>
            <w:lang w:val="lt-LT"/>
          </w:rPr>
          <w:t>čia</w:t>
        </w:r>
      </w:hyperlink>
      <w:r w:rsidR="005D36E4">
        <w:rPr>
          <w:lang w:val="lt-LT"/>
        </w:rPr>
        <w:t>.</w:t>
      </w:r>
    </w:p>
    <w:p w14:paraId="1D001BD1" w14:textId="0AEF188A" w:rsidR="00006973" w:rsidRPr="00006973" w:rsidRDefault="00006973" w:rsidP="00006973">
      <w:pPr>
        <w:spacing w:after="0"/>
        <w:rPr>
          <w:lang w:val="lt-LT"/>
        </w:rPr>
      </w:pPr>
    </w:p>
    <w:p w14:paraId="574E56C4" w14:textId="77777777" w:rsidR="005C0CBE" w:rsidRPr="003777EA" w:rsidRDefault="005C0CBE" w:rsidP="005C0CBE">
      <w:pPr>
        <w:numPr>
          <w:ilvl w:val="0"/>
          <w:numId w:val="1"/>
        </w:numPr>
        <w:rPr>
          <w:lang w:val="lt-LT"/>
        </w:rPr>
      </w:pPr>
      <w:r w:rsidRPr="005C0CBE">
        <w:rPr>
          <w:b/>
          <w:bCs/>
          <w:lang w:val="lt-LT"/>
        </w:rPr>
        <w:t>Dėl žaliojo kriterijaus taikymo</w:t>
      </w:r>
    </w:p>
    <w:p w14:paraId="3802A21A" w14:textId="6175D0F6" w:rsidR="0056521F" w:rsidRPr="004A1485" w:rsidRDefault="004A1485" w:rsidP="004A1485">
      <w:pPr>
        <w:spacing w:after="0"/>
        <w:rPr>
          <w:b/>
          <w:bCs/>
          <w:lang w:val="lt-LT"/>
        </w:rPr>
      </w:pPr>
      <w:bookmarkStart w:id="5" w:name="_Hlk206928850"/>
      <w:r w:rsidRPr="004A1485">
        <w:rPr>
          <w:b/>
          <w:bCs/>
          <w:lang w:val="lt-LT"/>
        </w:rPr>
        <w:t>3.1.</w:t>
      </w:r>
      <w:r>
        <w:rPr>
          <w:lang w:val="lt-LT"/>
        </w:rPr>
        <w:t xml:space="preserve"> </w:t>
      </w:r>
      <w:r w:rsidR="00C31F5D" w:rsidRPr="004A1485">
        <w:rPr>
          <w:lang w:val="lt-LT"/>
        </w:rPr>
        <w:t>Techninė</w:t>
      </w:r>
      <w:r w:rsidR="009B5CBB" w:rsidRPr="004A1485">
        <w:rPr>
          <w:lang w:val="lt-LT"/>
        </w:rPr>
        <w:t>s</w:t>
      </w:r>
      <w:r w:rsidR="00C31F5D" w:rsidRPr="004A1485">
        <w:rPr>
          <w:lang w:val="lt-LT"/>
        </w:rPr>
        <w:t xml:space="preserve"> specifikacij</w:t>
      </w:r>
      <w:r w:rsidR="009B5CBB" w:rsidRPr="004A1485">
        <w:rPr>
          <w:lang w:val="lt-LT"/>
        </w:rPr>
        <w:t>os</w:t>
      </w:r>
      <w:r w:rsidR="00C31F5D" w:rsidRPr="004A1485">
        <w:rPr>
          <w:lang w:val="lt-LT"/>
        </w:rPr>
        <w:t xml:space="preserve"> </w:t>
      </w:r>
      <w:r w:rsidR="001C63A8" w:rsidRPr="004A1485">
        <w:rPr>
          <w:lang w:val="lt-LT"/>
        </w:rPr>
        <w:t>7 punkte nustatyta</w:t>
      </w:r>
      <w:r w:rsidR="003556FA" w:rsidRPr="004A1485">
        <w:rPr>
          <w:lang w:val="lt-LT"/>
        </w:rPr>
        <w:t xml:space="preserve">, jog </w:t>
      </w:r>
      <w:r w:rsidR="00030248" w:rsidRPr="004A1485">
        <w:rPr>
          <w:lang w:val="lt-LT"/>
        </w:rPr>
        <w:t xml:space="preserve">pirkimas vykdomas vadovaujantis </w:t>
      </w:r>
      <w:r w:rsidR="00451668" w:rsidRPr="004A1485">
        <w:rPr>
          <w:lang w:val="lt-LT"/>
        </w:rPr>
        <w:t>T</w:t>
      </w:r>
      <w:r w:rsidR="00030248" w:rsidRPr="004A1485">
        <w:rPr>
          <w:lang w:val="lt-LT"/>
        </w:rPr>
        <w:t xml:space="preserve">varkos aprašo </w:t>
      </w:r>
      <w:r w:rsidR="00030248" w:rsidRPr="004A1485">
        <w:rPr>
          <w:b/>
          <w:bCs/>
          <w:lang w:val="lt-LT"/>
        </w:rPr>
        <w:t>4.</w:t>
      </w:r>
      <w:r w:rsidR="0097777E" w:rsidRPr="004A1485">
        <w:rPr>
          <w:b/>
          <w:bCs/>
          <w:lang w:val="lt-LT"/>
        </w:rPr>
        <w:t xml:space="preserve">4.3. </w:t>
      </w:r>
      <w:r w:rsidR="00030248" w:rsidRPr="004A1485">
        <w:rPr>
          <w:b/>
          <w:bCs/>
          <w:lang w:val="lt-LT"/>
        </w:rPr>
        <w:t xml:space="preserve"> </w:t>
      </w:r>
      <w:r w:rsidR="0097777E" w:rsidRPr="004A1485">
        <w:rPr>
          <w:b/>
          <w:bCs/>
          <w:lang w:val="lt-LT"/>
        </w:rPr>
        <w:t xml:space="preserve">papunkčiu.  </w:t>
      </w:r>
    </w:p>
    <w:bookmarkEnd w:id="5"/>
    <w:p w14:paraId="0C1C5434" w14:textId="28D1C821" w:rsidR="00C56559" w:rsidRPr="004A1485" w:rsidRDefault="00C56559" w:rsidP="00C56559">
      <w:pPr>
        <w:spacing w:after="0"/>
        <w:rPr>
          <w:b/>
          <w:bCs/>
          <w:lang w:val="lt-LT"/>
        </w:rPr>
      </w:pPr>
      <w:r w:rsidRPr="004A1485">
        <w:rPr>
          <w:b/>
          <w:bCs/>
          <w:lang w:val="lt-LT"/>
        </w:rPr>
        <w:t>Pažy</w:t>
      </w:r>
      <w:r w:rsidR="003F7DD0" w:rsidRPr="004A1485">
        <w:rPr>
          <w:b/>
          <w:bCs/>
          <w:lang w:val="lt-LT"/>
        </w:rPr>
        <w:t>mėtina</w:t>
      </w:r>
      <w:r w:rsidRPr="004A1485">
        <w:rPr>
          <w:b/>
          <w:bCs/>
          <w:lang w:val="lt-LT"/>
        </w:rPr>
        <w:t xml:space="preserve">, kad Pirkimo objektas šiuo atveju </w:t>
      </w:r>
      <w:r w:rsidRPr="003F3107">
        <w:rPr>
          <w:b/>
          <w:bCs/>
          <w:lang w:val="lt-LT"/>
        </w:rPr>
        <w:t>patenka</w:t>
      </w:r>
      <w:r w:rsidRPr="004A1485">
        <w:rPr>
          <w:b/>
          <w:bCs/>
          <w:lang w:val="lt-LT"/>
        </w:rPr>
        <w:t xml:space="preserve"> į Tvarkos aprašo priede Nr. 1 „Produktų, kurių viešiesiems pirkimams ir pirkimams taikytini minimalūs aplinkos apsaugos kriterijai, sąrašas“ </w:t>
      </w:r>
      <w:r w:rsidR="00B17296" w:rsidRPr="004A1485">
        <w:rPr>
          <w:b/>
          <w:bCs/>
          <w:lang w:val="lt-LT"/>
        </w:rPr>
        <w:t xml:space="preserve">(toliau – Tvarkos aprašo 1 priedas) </w:t>
      </w:r>
      <w:r w:rsidRPr="004A1485">
        <w:rPr>
          <w:b/>
          <w:bCs/>
          <w:lang w:val="lt-LT"/>
        </w:rPr>
        <w:t xml:space="preserve">nurodytą </w:t>
      </w:r>
      <w:r w:rsidRPr="003F3107">
        <w:rPr>
          <w:b/>
          <w:bCs/>
          <w:lang w:val="lt-LT"/>
        </w:rPr>
        <w:t>sąrašą</w:t>
      </w:r>
      <w:r w:rsidRPr="004A1485">
        <w:rPr>
          <w:b/>
          <w:bCs/>
          <w:lang w:val="lt-LT"/>
        </w:rPr>
        <w:t>, t. y. taikomas 12 punktas „Pastatų projektavimo paslaugos ir statybos darbai“.</w:t>
      </w:r>
    </w:p>
    <w:p w14:paraId="4654F8D5" w14:textId="45A0DEA2" w:rsidR="00830503" w:rsidRDefault="00C56559" w:rsidP="00C56559">
      <w:pPr>
        <w:spacing w:after="0"/>
        <w:rPr>
          <w:lang w:val="lt-LT"/>
        </w:rPr>
      </w:pPr>
      <w:r w:rsidRPr="00C56559">
        <w:rPr>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w:t>
      </w:r>
      <w:r w:rsidRPr="00C56559">
        <w:rPr>
          <w:lang w:val="lt-LT"/>
        </w:rPr>
        <w:lastRenderedPageBreak/>
        <w:t>aplinkos ministro įsakymu patvirtintus minimalius aplinkos apsaugos kriterijus, nurodytus Tvarkos aprašo 2 priede</w:t>
      </w:r>
      <w:r w:rsidR="00B17296">
        <w:rPr>
          <w:lang w:val="lt-LT"/>
        </w:rPr>
        <w:t xml:space="preserve"> </w:t>
      </w:r>
      <w:r w:rsidR="00B17296" w:rsidRPr="002C1245">
        <w:rPr>
          <w:lang w:val="lt-LT"/>
        </w:rPr>
        <w:t>„Minimalūs aplinkos apsaugos kriterijai“</w:t>
      </w:r>
      <w:r w:rsidR="00B17296">
        <w:rPr>
          <w:lang w:val="lt-LT"/>
        </w:rPr>
        <w:t xml:space="preserve"> (toliau – Tvarkos aprašo 2 priedas)</w:t>
      </w:r>
      <w:r w:rsidRPr="00C56559">
        <w:rPr>
          <w:lang w:val="lt-LT"/>
        </w:rPr>
        <w:t>.</w:t>
      </w:r>
      <w:r w:rsidR="002C1245" w:rsidRPr="002C1245">
        <w:rPr>
          <w:rFonts w:ascii="Calibri" w:hAnsi="Calibri" w:cs="Calibri"/>
          <w:sz w:val="22"/>
          <w:szCs w:val="22"/>
          <w:lang w:val="lt-LT"/>
        </w:rPr>
        <w:t xml:space="preserve"> </w:t>
      </w:r>
      <w:r w:rsidR="002C1245" w:rsidRPr="002C1245">
        <w:rPr>
          <w:lang w:val="lt-LT"/>
        </w:rPr>
        <w:t xml:space="preserve">Tvarkos aprašo priedo Nr. 2 15 punkte nustatyti projektavimo paslaugų ir statybos darbų minimalūs aplinkos apsaugos kriterijai, kuriuos privaloma taikyti vykdant žaliąjį pirkimą. Atsižvelgiant į tai, Tarnyba rekomenduoja pakartotinai įsivertinti Tvarkos aprašo 15 punkto sąlygas ir užtikrinti Tvarkos aprašo 15 punkto įgyvendinimą šiame Pirkime. </w:t>
      </w:r>
    </w:p>
    <w:p w14:paraId="56AA7884" w14:textId="77777777" w:rsidR="00AD3D95" w:rsidRDefault="00AD3D95" w:rsidP="00C56559">
      <w:pPr>
        <w:spacing w:after="0"/>
        <w:rPr>
          <w:lang w:val="lt-LT"/>
        </w:rPr>
      </w:pPr>
    </w:p>
    <w:p w14:paraId="419D8119" w14:textId="4789D441" w:rsidR="0045394C" w:rsidRDefault="00111170" w:rsidP="00212113">
      <w:pPr>
        <w:spacing w:after="0"/>
        <w:rPr>
          <w:lang w:val="lt-LT"/>
        </w:rPr>
      </w:pPr>
      <w:r>
        <w:rPr>
          <w:lang w:val="lt-LT"/>
        </w:rPr>
        <w:t>Taip pat</w:t>
      </w:r>
      <w:r w:rsidR="00356453">
        <w:rPr>
          <w:lang w:val="lt-LT"/>
        </w:rPr>
        <w:t xml:space="preserve">, Tarnyba </w:t>
      </w:r>
      <w:r w:rsidR="006C4B97">
        <w:rPr>
          <w:lang w:val="lt-LT"/>
        </w:rPr>
        <w:t xml:space="preserve">rekomenduoja </w:t>
      </w:r>
      <w:r w:rsidR="00210828" w:rsidRPr="00210828">
        <w:rPr>
          <w:lang w:val="lt-LT"/>
        </w:rPr>
        <w:t>Pirkimo dokumentuose aiškiai nurodyti galiojančio teisės akto tikslų pavadinimą, pateikti nuorodą į galiojančią redakciją ir nurodyti tikslų Tvarkos aprašo punktą, pagal kurį vykdomas žaliasis pirkimas</w:t>
      </w:r>
      <w:r>
        <w:rPr>
          <w:lang w:val="lt-LT"/>
        </w:rPr>
        <w:t xml:space="preserve">, šiuo atveju tai būtų Tvarkos aprašo 4.1 </w:t>
      </w:r>
      <w:r w:rsidR="006C6657">
        <w:rPr>
          <w:lang w:val="lt-LT"/>
        </w:rPr>
        <w:t>pa</w:t>
      </w:r>
      <w:r>
        <w:rPr>
          <w:lang w:val="lt-LT"/>
        </w:rPr>
        <w:t>punkt</w:t>
      </w:r>
      <w:r w:rsidR="006C6657">
        <w:rPr>
          <w:lang w:val="lt-LT"/>
        </w:rPr>
        <w:t>is</w:t>
      </w:r>
      <w:r w:rsidR="00210828" w:rsidRPr="00210828">
        <w:rPr>
          <w:lang w:val="lt-LT"/>
        </w:rPr>
        <w:t>.</w:t>
      </w:r>
    </w:p>
    <w:p w14:paraId="58F02E0D" w14:textId="77777777" w:rsidR="004F4231" w:rsidRDefault="004F4231" w:rsidP="004F4231">
      <w:pPr>
        <w:spacing w:after="0"/>
        <w:rPr>
          <w:lang w:val="lt-LT"/>
        </w:rPr>
      </w:pPr>
      <w:r w:rsidRPr="004F4231">
        <w:rPr>
          <w:lang w:val="lt-LT"/>
        </w:rPr>
        <w:t xml:space="preserve">Tarnyba yra parengusi ir viešai paskelbusi pranešimą  </w:t>
      </w:r>
      <w:hyperlink r:id="rId12" w:history="1">
        <w:r w:rsidRPr="004F4231">
          <w:rPr>
            <w:rStyle w:val="Hyperlink"/>
            <w:lang w:val="lt-LT"/>
          </w:rPr>
          <w:t>Pastatų projektavimo paslaugos ir jų statybos darbai. Minimalūs aplinkos apsaugos kriterijų taikymas</w:t>
        </w:r>
      </w:hyperlink>
      <w:r w:rsidRPr="004F4231">
        <w:rPr>
          <w:lang w:val="lt-LT"/>
        </w:rPr>
        <w:t xml:space="preserve">. </w:t>
      </w:r>
    </w:p>
    <w:p w14:paraId="016F39B3" w14:textId="77777777" w:rsidR="00705236" w:rsidRDefault="00705236" w:rsidP="00566FBE">
      <w:pPr>
        <w:spacing w:after="0"/>
        <w:rPr>
          <w:lang w:val="lt-LT"/>
        </w:rPr>
      </w:pPr>
    </w:p>
    <w:p w14:paraId="432CADB3" w14:textId="5DF6B316" w:rsidR="00566FBE" w:rsidRPr="00756C17" w:rsidRDefault="00566FBE" w:rsidP="00566FBE">
      <w:pPr>
        <w:spacing w:after="0"/>
        <w:rPr>
          <w:lang w:val="lt-LT"/>
        </w:rPr>
      </w:pPr>
      <w:r w:rsidRPr="004A1485">
        <w:rPr>
          <w:b/>
          <w:bCs/>
          <w:lang w:val="lt-LT"/>
        </w:rPr>
        <w:t>3.2.</w:t>
      </w:r>
      <w:r>
        <w:rPr>
          <w:lang w:val="lt-LT"/>
        </w:rPr>
        <w:t xml:space="preserve"> </w:t>
      </w:r>
      <w:r w:rsidRPr="00756C17">
        <w:rPr>
          <w:lang w:val="lt-LT"/>
        </w:rPr>
        <w:t>Atkreiptinas dėmesys, jog Tvarkos aprašo 4.4.3. papunktis taikomas, kai „</w:t>
      </w:r>
      <w:r w:rsidRPr="00756C17">
        <w:rPr>
          <w:b/>
          <w:bCs/>
          <w:lang w:val="lt-LT"/>
        </w:rPr>
        <w:t>perkama tik nematerialaus pobūdžio (intelektinė) ar kitokia</w:t>
      </w:r>
      <w:r w:rsidRPr="00756C17">
        <w:rPr>
          <w:lang w:val="lt-LT"/>
        </w:rPr>
        <w:t xml:space="preserve"> </w:t>
      </w:r>
      <w:r w:rsidRPr="00756C17">
        <w:rPr>
          <w:b/>
          <w:bCs/>
          <w:lang w:val="lt-LT"/>
        </w:rPr>
        <w:t>paslauga</w:t>
      </w:r>
      <w:r w:rsidRPr="00756C17">
        <w:rPr>
          <w:lang w:val="lt-LT"/>
        </w:rPr>
        <w:t xml:space="preserve">,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w:t>
      </w:r>
      <w:r w:rsidRPr="00756C17">
        <w:rPr>
          <w:b/>
          <w:bCs/>
          <w:lang w:val="lt-LT"/>
        </w:rPr>
        <w:t>arba perkama prekė</w:t>
      </w:r>
      <w:r w:rsidRPr="00756C17">
        <w:rPr>
          <w:lang w:val="lt-LT"/>
        </w:rPr>
        <w:t xml:space="preserve">: programinė įranga, programinės įrangos nuoma, licencijos, elektroniniai leidiniai ar elektroninės knygos”. Pažymėtina, jog šiuo pirkimu siekiama įsigyti </w:t>
      </w:r>
      <w:r w:rsidRPr="00756C17">
        <w:rPr>
          <w:b/>
          <w:bCs/>
          <w:lang w:val="lt-LT"/>
        </w:rPr>
        <w:t>paprastojo remonto rangos darbus</w:t>
      </w:r>
      <w:r w:rsidRPr="00756C17">
        <w:rPr>
          <w:lang w:val="lt-LT"/>
        </w:rPr>
        <w:t xml:space="preserve">, todėl rekomenduotina </w:t>
      </w:r>
      <w:r>
        <w:rPr>
          <w:lang w:val="lt-LT"/>
        </w:rPr>
        <w:t>įsivertinus pirkimo objektą ir pakartotinai</w:t>
      </w:r>
      <w:r w:rsidRPr="00756C17">
        <w:rPr>
          <w:lang w:val="lt-LT"/>
        </w:rPr>
        <w:t xml:space="preserve"> </w:t>
      </w:r>
      <w:r>
        <w:rPr>
          <w:lang w:val="lt-LT"/>
        </w:rPr>
        <w:t xml:space="preserve"> įsivertinti savarankiškai nustatomų aplinkos apsaugos kriterijų tikslingumą, ypač atsižvelgiant į tai, kad </w:t>
      </w:r>
      <w:r w:rsidRPr="00122CB7">
        <w:rPr>
          <w:lang w:val="lt-LT"/>
        </w:rPr>
        <w:t>šiuo atveju Pirkimo objektas patenka į Tvarkos aprašo priede Nr. 1 nurodytą sąrašą</w:t>
      </w:r>
      <w:r w:rsidRPr="00756C17">
        <w:rPr>
          <w:lang w:val="lt-LT"/>
        </w:rPr>
        <w:t>.</w:t>
      </w:r>
    </w:p>
    <w:p w14:paraId="241095D4" w14:textId="77777777" w:rsidR="00566FBE" w:rsidRDefault="00566FBE" w:rsidP="00566FBE">
      <w:pPr>
        <w:spacing w:after="0"/>
        <w:rPr>
          <w:lang w:val="lt-LT"/>
        </w:rPr>
      </w:pPr>
      <w:r>
        <w:rPr>
          <w:lang w:val="lt-LT"/>
        </w:rPr>
        <w:t>Nustatant</w:t>
      </w:r>
      <w:r w:rsidRPr="00F80799">
        <w:rPr>
          <w:color w:val="000000"/>
          <w:lang w:val="lt-LT"/>
        </w:rPr>
        <w:t xml:space="preserve"> </w:t>
      </w:r>
      <w:r w:rsidRPr="00FB2363">
        <w:rPr>
          <w:lang w:val="lt-LT"/>
        </w:rPr>
        <w:t>savarankiškai aplinkos apsaugos kriterijus</w:t>
      </w:r>
      <w:r>
        <w:rPr>
          <w:lang w:val="lt-LT"/>
        </w:rPr>
        <w:t xml:space="preserve"> </w:t>
      </w:r>
      <w:r w:rsidRPr="00E5225F">
        <w:rPr>
          <w:lang w:val="lt-LT"/>
        </w:rPr>
        <w:t xml:space="preserve">rekomenduotina susipažinti su Lietuvos Respublikos aplinkos ministerijos  parengtu pranešimu </w:t>
      </w:r>
      <w:hyperlink r:id="rId13" w:history="1">
        <w:r w:rsidRPr="00E5225F">
          <w:rPr>
            <w:rStyle w:val="Hyperlink"/>
            <w:lang w:val="lt-LT"/>
          </w:rPr>
          <w:t>Rekomendacijos pirkimų vykdytojams, nustatantiems aplinkos apsaugos kriterijus savarankiškai</w:t>
        </w:r>
      </w:hyperlink>
      <w:r w:rsidRPr="00E5225F">
        <w:rPr>
          <w:lang w:val="lt-LT"/>
        </w:rPr>
        <w:t>.</w:t>
      </w:r>
    </w:p>
    <w:p w14:paraId="2CAE893D" w14:textId="77777777" w:rsidR="0056521F" w:rsidRDefault="0056521F" w:rsidP="0056521F">
      <w:pPr>
        <w:spacing w:after="0"/>
        <w:rPr>
          <w:lang w:val="lt-LT"/>
        </w:rPr>
      </w:pPr>
    </w:p>
    <w:p w14:paraId="4079F908" w14:textId="77777777" w:rsidR="005C0CBE" w:rsidRPr="005C0CBE" w:rsidRDefault="005C0CBE" w:rsidP="005C0CBE">
      <w:pPr>
        <w:numPr>
          <w:ilvl w:val="0"/>
          <w:numId w:val="1"/>
        </w:numPr>
        <w:rPr>
          <w:b/>
          <w:bCs/>
          <w:lang w:val="lt-LT"/>
        </w:rPr>
      </w:pPr>
      <w:r w:rsidRPr="005C0CBE">
        <w:rPr>
          <w:b/>
          <w:bCs/>
          <w:lang w:val="lt-LT"/>
        </w:rPr>
        <w:t>Dėl kvalifikacijos reikalavimų</w:t>
      </w:r>
    </w:p>
    <w:p w14:paraId="6FB40D0E" w14:textId="43F019C2" w:rsidR="009C7416" w:rsidRPr="009C7416" w:rsidRDefault="001F1C18" w:rsidP="009C7416">
      <w:pPr>
        <w:rPr>
          <w:lang w:val="lt-LT"/>
        </w:rPr>
      </w:pPr>
      <w:r>
        <w:rPr>
          <w:b/>
          <w:bCs/>
          <w:lang w:val="lt-LT"/>
        </w:rPr>
        <w:t>4</w:t>
      </w:r>
      <w:r w:rsidR="005C0CBE" w:rsidRPr="005C0CBE">
        <w:rPr>
          <w:b/>
          <w:bCs/>
          <w:lang w:val="lt-LT"/>
        </w:rPr>
        <w:t>.1.</w:t>
      </w:r>
      <w:r w:rsidR="005C0CBE" w:rsidRPr="005C0CBE">
        <w:rPr>
          <w:lang w:val="lt-LT"/>
        </w:rPr>
        <w:t xml:space="preserve"> </w:t>
      </w:r>
      <w:bookmarkStart w:id="6" w:name="_Ref38291223"/>
      <w:bookmarkStart w:id="7" w:name="_Ref38291334"/>
      <w:bookmarkStart w:id="8" w:name="_Ref38533412"/>
      <w:bookmarkStart w:id="9" w:name="_Toc126333942"/>
      <w:bookmarkStart w:id="10" w:name="_Toc202794138"/>
      <w:r w:rsidR="00693BE5" w:rsidRPr="00693BE5">
        <w:rPr>
          <w:lang w:val="lt-LT"/>
        </w:rPr>
        <w:t>Pirkimo sąlygų 4 pried</w:t>
      </w:r>
      <w:r w:rsidR="00036AD8">
        <w:rPr>
          <w:lang w:val="lt-LT"/>
        </w:rPr>
        <w:t>o</w:t>
      </w:r>
      <w:r w:rsidR="00693BE5" w:rsidRPr="00693BE5">
        <w:rPr>
          <w:lang w:val="lt-LT"/>
        </w:rPr>
        <w:t xml:space="preserve"> „Tiekėjų kvalifikacijos reikalavimai ir reikalaujami kokybės bei aplinkos apsaugos vadybos sistemų standartai“</w:t>
      </w:r>
      <w:bookmarkEnd w:id="6"/>
      <w:bookmarkEnd w:id="7"/>
      <w:bookmarkEnd w:id="8"/>
      <w:bookmarkEnd w:id="9"/>
      <w:bookmarkEnd w:id="10"/>
      <w:r w:rsidR="00693BE5">
        <w:rPr>
          <w:lang w:val="lt-LT"/>
        </w:rPr>
        <w:t xml:space="preserve"> (toliau</w:t>
      </w:r>
      <w:r w:rsidR="00017721">
        <w:rPr>
          <w:lang w:val="lt-LT"/>
        </w:rPr>
        <w:t xml:space="preserve"> – </w:t>
      </w:r>
      <w:r w:rsidR="00693BE5">
        <w:rPr>
          <w:lang w:val="lt-LT"/>
        </w:rPr>
        <w:t xml:space="preserve">Kvalifikacijos reikalavimai) </w:t>
      </w:r>
      <w:r w:rsidR="004523B7">
        <w:rPr>
          <w:lang w:val="lt-LT"/>
        </w:rPr>
        <w:t>Tiekėjų kvalifikacijos reikalavimų lentelės 1.1 punkte nustatytas reikalavimas Tiekėjui „</w:t>
      </w:r>
      <w:r w:rsidR="001379BE" w:rsidRPr="001379BE">
        <w:rPr>
          <w:lang w:val="lt-LT"/>
        </w:rPr>
        <w:t xml:space="preserve">turėti teisę būti ypatingojo statinio statybos rangovu: gyvenamosios paskirties, įvairių socialinių </w:t>
      </w:r>
      <w:r w:rsidR="001379BE" w:rsidRPr="001379BE">
        <w:rPr>
          <w:lang w:val="lt-LT"/>
        </w:rPr>
        <w:lastRenderedPageBreak/>
        <w:t>grupių,  pastatų  ( Statybos įstatymo 18 str. )</w:t>
      </w:r>
      <w:r w:rsidR="001379BE">
        <w:rPr>
          <w:lang w:val="lt-LT"/>
        </w:rPr>
        <w:t xml:space="preserve">“. Atkreiptinas dėmesys, jog </w:t>
      </w:r>
      <w:r w:rsidR="00904BD4" w:rsidRPr="00F80799">
        <w:rPr>
          <w:lang w:val="lt-LT"/>
        </w:rPr>
        <w:t>k</w:t>
      </w:r>
      <w:r w:rsidR="009C7416" w:rsidRPr="00F80799">
        <w:rPr>
          <w:lang w:val="lt-LT"/>
        </w:rPr>
        <w:t xml:space="preserve">ai </w:t>
      </w:r>
      <w:r w:rsidR="009C7416" w:rsidRPr="009C7416">
        <w:rPr>
          <w:lang w:val="lt-LT"/>
        </w:rPr>
        <w:t>pirkimo objektas yra ypatingųjų statinių paprastasis remontas, vadovaujantis Statybos įstatymo 18 straipsnio 2 dalies nuostatomis, reikalavimas tiekėjui turėti teisę būti ypatingojo statinio statybos rangovu netaikomas. Rekomenduojam</w:t>
      </w:r>
      <w:r w:rsidR="00036AD8">
        <w:rPr>
          <w:lang w:val="lt-LT"/>
        </w:rPr>
        <w:t>e</w:t>
      </w:r>
      <w:r w:rsidR="009C7416" w:rsidRPr="009C7416">
        <w:rPr>
          <w:lang w:val="lt-LT"/>
        </w:rPr>
        <w:t xml:space="preserve"> atsisakyti reikal</w:t>
      </w:r>
      <w:r w:rsidR="00904BD4">
        <w:rPr>
          <w:lang w:val="lt-LT"/>
        </w:rPr>
        <w:t>avi</w:t>
      </w:r>
      <w:r w:rsidR="009C7416" w:rsidRPr="009C7416">
        <w:rPr>
          <w:lang w:val="lt-LT"/>
        </w:rPr>
        <w:t>mo arba jį tikslinti nurodant, kad tiekėjas turi turėti teisę verstis statybos veikla, kuri suteikiama remiantis bendraisiais pagrindais, kaip tai nurodyta stulpelyje "Atitiktį reikalavimui įrodantys dokumentai</w:t>
      </w:r>
      <w:r w:rsidR="009C7416" w:rsidRPr="009C7416">
        <w:rPr>
          <w:b/>
          <w:bCs/>
          <w:lang w:val="lt-LT"/>
        </w:rPr>
        <w:t>".</w:t>
      </w:r>
    </w:p>
    <w:p w14:paraId="43055477" w14:textId="511319A6" w:rsidR="00725261" w:rsidRPr="00725261" w:rsidRDefault="001F1C18" w:rsidP="00EC1A66">
      <w:pPr>
        <w:spacing w:after="0"/>
        <w:rPr>
          <w:lang w:val="lt"/>
        </w:rPr>
      </w:pPr>
      <w:r>
        <w:rPr>
          <w:b/>
          <w:bCs/>
          <w:lang w:val="lt-LT"/>
        </w:rPr>
        <w:t>4</w:t>
      </w:r>
      <w:r w:rsidR="00725261" w:rsidRPr="00171DA3">
        <w:rPr>
          <w:b/>
          <w:bCs/>
          <w:lang w:val="lt-LT"/>
        </w:rPr>
        <w:t>.2.</w:t>
      </w:r>
      <w:r w:rsidR="00725261">
        <w:rPr>
          <w:lang w:val="lt-LT"/>
        </w:rPr>
        <w:t xml:space="preserve"> </w:t>
      </w:r>
      <w:r w:rsidR="00725261" w:rsidRPr="00725261">
        <w:rPr>
          <w:lang w:val="lt"/>
        </w:rPr>
        <w:t xml:space="preserve">Įstatymo 47 straipsnio 7 dalyje nurodyta, kad tiekėjo kvalifikacijos reikalavimai nustatomi pagal </w:t>
      </w:r>
      <w:hyperlink r:id="rId14">
        <w:r w:rsidR="00725261" w:rsidRPr="00725261">
          <w:rPr>
            <w:rStyle w:val="Hyperlink"/>
            <w:lang w:val="lt"/>
          </w:rPr>
          <w:t xml:space="preserve">Viešųjų pirkimų tarnybos patvirtintą tiekėjo kvalifikacijos reikalavimų nustatymo metodiką </w:t>
        </w:r>
      </w:hyperlink>
      <w:r w:rsidR="00725261" w:rsidRPr="00725261">
        <w:rPr>
          <w:lang w:val="lt"/>
        </w:rPr>
        <w:t xml:space="preserve"> (toliau – Metodika). Pažymėtina, jog Metodikoje prie kiekvieno kvalifikacijos reikalavimo yra nurodyta, kaip turi būti taikomas konkretus reikalavimas ūkio subjektų grupei, kitiems ūkio subjektams, kurių pajėgumais remiamasi, subtiekėjams.</w:t>
      </w:r>
    </w:p>
    <w:p w14:paraId="3E863D43" w14:textId="7D226811" w:rsidR="00725261" w:rsidRDefault="00725261" w:rsidP="00EC1A66">
      <w:pPr>
        <w:spacing w:after="0"/>
        <w:rPr>
          <w:lang w:val="lt"/>
        </w:rPr>
      </w:pPr>
      <w:r w:rsidRPr="00725261">
        <w:rPr>
          <w:lang w:val="lt"/>
        </w:rPr>
        <w:t>Šiuo atveju Kvalifikacijos reikalavim</w:t>
      </w:r>
      <w:r w:rsidR="00B52809">
        <w:rPr>
          <w:lang w:val="lt"/>
        </w:rPr>
        <w:t xml:space="preserve">ų skiltyje „Subjektas, kuris turi atitikti reikalavimą“ nurodyta informacija neatitinka </w:t>
      </w:r>
      <w:r w:rsidR="00171DA3">
        <w:rPr>
          <w:lang w:val="lt"/>
        </w:rPr>
        <w:t>Metodikos</w:t>
      </w:r>
      <w:r w:rsidRPr="00725261">
        <w:rPr>
          <w:lang w:val="lt"/>
        </w:rPr>
        <w:t>, kokie subjektai turi atitikti nustatytus reikalavimus. Atsižvelgiant į išdėstytą, Tarnyba rekomenduoja papildyti Pirkimo dokumentus prie kiekvieno kvalifikacinio reikalavimo nurodant jo taikymą, atsižvelgiant į Metodiką.</w:t>
      </w:r>
    </w:p>
    <w:p w14:paraId="3EFAE777" w14:textId="77777777" w:rsidR="00EC1A66" w:rsidRPr="00725261" w:rsidRDefault="00EC1A66" w:rsidP="00EC1A66">
      <w:pPr>
        <w:spacing w:after="0"/>
        <w:rPr>
          <w:lang w:val="lt"/>
        </w:rPr>
      </w:pPr>
    </w:p>
    <w:p w14:paraId="5B66F835" w14:textId="7CDD6324" w:rsidR="00693BE5" w:rsidRDefault="001F1C18" w:rsidP="002B6922">
      <w:pPr>
        <w:spacing w:after="0"/>
        <w:rPr>
          <w:lang w:val="lt-LT" w:bidi="lt-LT"/>
        </w:rPr>
      </w:pPr>
      <w:r>
        <w:rPr>
          <w:b/>
          <w:bCs/>
          <w:lang w:val="lt-LT"/>
        </w:rPr>
        <w:t>4</w:t>
      </w:r>
      <w:r w:rsidR="00530928" w:rsidRPr="00913FBF">
        <w:rPr>
          <w:b/>
          <w:bCs/>
          <w:lang w:val="lt-LT"/>
        </w:rPr>
        <w:t>.3.</w:t>
      </w:r>
      <w:r w:rsidR="00530928">
        <w:rPr>
          <w:lang w:val="lt-LT"/>
        </w:rPr>
        <w:t xml:space="preserve"> </w:t>
      </w:r>
      <w:r w:rsidR="007774AD">
        <w:rPr>
          <w:lang w:val="lt-LT"/>
        </w:rPr>
        <w:t xml:space="preserve">Kvalifikacijos  reikalavimų 2.1 punkte nustatytas </w:t>
      </w:r>
      <w:r w:rsidR="00DB4FA2" w:rsidRPr="00DB4FA2">
        <w:rPr>
          <w:lang w:val="lt-LT"/>
        </w:rPr>
        <w:t>finansinio ir ekonominio pajėgumo reikalavimas</w:t>
      </w:r>
      <w:r w:rsidR="002651B5">
        <w:rPr>
          <w:lang w:val="lt-LT"/>
        </w:rPr>
        <w:t>, kad</w:t>
      </w:r>
      <w:r w:rsidR="00DB4FA2" w:rsidRPr="00DB4FA2">
        <w:rPr>
          <w:lang w:val="lt-LT"/>
        </w:rPr>
        <w:t xml:space="preserve"> </w:t>
      </w:r>
      <w:r w:rsidR="00495929">
        <w:rPr>
          <w:lang w:val="lt-LT"/>
        </w:rPr>
        <w:t>„</w:t>
      </w:r>
      <w:r w:rsidR="00CD5170" w:rsidRPr="00CD5170">
        <w:rPr>
          <w:lang w:val="lt-LT" w:bidi="lt-LT"/>
        </w:rPr>
        <w:t>Tiekėjo vidutinės metinės pajamos iš statybos veiklos turi būti ne mažesnės kaip 629,35  tūkst. Eur su PVM</w:t>
      </w:r>
      <w:r w:rsidR="00CD5170">
        <w:rPr>
          <w:lang w:val="lt-LT" w:bidi="lt-LT"/>
        </w:rPr>
        <w:t xml:space="preserve">“ neatitinka Metodikos </w:t>
      </w:r>
      <w:r w:rsidR="00DB5CB0">
        <w:rPr>
          <w:lang w:val="lt-LT" w:bidi="lt-LT"/>
        </w:rPr>
        <w:t>12.</w:t>
      </w:r>
      <w:r w:rsidR="00EC3DEB">
        <w:rPr>
          <w:lang w:val="lt-LT" w:bidi="lt-LT"/>
        </w:rPr>
        <w:t>4</w:t>
      </w:r>
      <w:r w:rsidR="00DB5CB0">
        <w:rPr>
          <w:lang w:val="lt-LT" w:bidi="lt-LT"/>
        </w:rPr>
        <w:t xml:space="preserve"> punkto</w:t>
      </w:r>
      <w:r w:rsidR="001D162A">
        <w:rPr>
          <w:lang w:val="lt-LT" w:bidi="lt-LT"/>
        </w:rPr>
        <w:t>, kuris formuluojamas sekan</w:t>
      </w:r>
      <w:r w:rsidR="00EC0196">
        <w:rPr>
          <w:lang w:val="lt-LT" w:bidi="lt-LT"/>
        </w:rPr>
        <w:t xml:space="preserve">čiai: </w:t>
      </w:r>
      <w:r w:rsidR="00DB5CB0">
        <w:rPr>
          <w:lang w:val="lt-LT" w:bidi="lt-LT"/>
        </w:rPr>
        <w:t xml:space="preserve"> „</w:t>
      </w:r>
      <w:r w:rsidR="00EC3DEB" w:rsidRPr="00EC3DEB">
        <w:rPr>
          <w:lang w:val="lt-LT" w:bidi="lt-LT"/>
        </w:rPr>
        <w:t xml:space="preserve">Vidutinės metinės pajamos iš veiklos, su kuria susijęs atliekamas pirkimas, </w:t>
      </w:r>
      <w:r w:rsidR="00EC3DEB" w:rsidRPr="002B6922">
        <w:rPr>
          <w:b/>
          <w:bCs/>
          <w:lang w:val="lt-LT" w:bidi="lt-LT"/>
        </w:rPr>
        <w:t>paskutiniais [</w:t>
      </w:r>
      <w:r w:rsidR="00EC3DEB" w:rsidRPr="002B6922">
        <w:rPr>
          <w:b/>
          <w:bCs/>
          <w:i/>
          <w:iCs/>
          <w:lang w:val="lt-LT" w:bidi="lt-LT"/>
        </w:rPr>
        <w:t>nurodyti metų skaičių</w:t>
      </w:r>
      <w:r w:rsidR="00EC3DEB" w:rsidRPr="002B6922">
        <w:rPr>
          <w:b/>
          <w:bCs/>
          <w:lang w:val="lt-LT" w:bidi="lt-LT"/>
        </w:rPr>
        <w:t>] finansiniais metais</w:t>
      </w:r>
      <w:r w:rsidR="00A74EA3">
        <w:rPr>
          <w:b/>
          <w:bCs/>
          <w:lang w:val="lt-LT" w:bidi="lt-LT"/>
        </w:rPr>
        <w:t xml:space="preserve"> </w:t>
      </w:r>
      <w:r w:rsidR="001D162A">
        <w:rPr>
          <w:lang w:val="lt-LT" w:bidi="lt-LT"/>
        </w:rPr>
        <w:t>&lt;...&gt;“</w:t>
      </w:r>
      <w:r w:rsidR="00913FBF" w:rsidRPr="00DB5CB0">
        <w:rPr>
          <w:lang w:val="lt-LT" w:bidi="lt-LT"/>
        </w:rPr>
        <w:t>.</w:t>
      </w:r>
      <w:r w:rsidR="00913FBF">
        <w:rPr>
          <w:lang w:val="lt-LT" w:bidi="lt-LT"/>
        </w:rPr>
        <w:t xml:space="preserve"> </w:t>
      </w:r>
    </w:p>
    <w:p w14:paraId="19CA1B7F" w14:textId="6D1901FD" w:rsidR="00761AAA" w:rsidRDefault="003A51D6" w:rsidP="00761AAA">
      <w:pPr>
        <w:rPr>
          <w:lang w:val="lt-LT" w:bidi="lt-LT"/>
        </w:rPr>
      </w:pPr>
      <w:r>
        <w:rPr>
          <w:lang w:val="lt-LT" w:bidi="lt-LT"/>
        </w:rPr>
        <w:t>Taip pat a</w:t>
      </w:r>
      <w:r w:rsidR="00761AAA" w:rsidRPr="00761AAA">
        <w:rPr>
          <w:lang w:val="lt-LT" w:bidi="lt-LT"/>
        </w:rPr>
        <w:t xml:space="preserve">tkreiptinas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w:t>
      </w:r>
      <w:r w:rsidR="00761AAA" w:rsidRPr="00761AAA">
        <w:rPr>
          <w:b/>
          <w:bCs/>
          <w:lang w:val="lt-LT" w:bidi="lt-LT"/>
        </w:rPr>
        <w:t>šiuo reikalavimu siekiama dvejopo tikslo – nustatyti ūkio subjektų ekonominį ir finansinį pajėgumą bei padėti įrodyti jų techninius ir profesinius pajėgumus</w:t>
      </w:r>
      <w:r w:rsidR="00761AAA" w:rsidRPr="00761AAA">
        <w:rPr>
          <w:lang w:val="lt-LT" w:bidi="lt-LT"/>
        </w:rPr>
        <w:t>, todėl tiekėjas, teikdamas įrodymus, pagrindžiančius atitiktį tokiam kvalifikacijos reikalavimui, negali deklaruoti pajamų, kurios buvo gautos už kitų ūkio subjektų de facto atliktus darbus ar suteiktas paslaugas (Lietuvos Aukščiausiojo Teismo (toliau – LAT) 2024 m. gegužės 21 d. nutartis civilinėje byloje Nr. e3K-3-134-378/2024). Tarnyba rekomenduoja įsivertinti nustatyto reikalavimo tikslingumą ir pagrįstumą bei jo atitikties vertinimo aspektus, atsižvelgiant į LAT praktiką.</w:t>
      </w:r>
    </w:p>
    <w:p w14:paraId="2D44939C" w14:textId="0087C69B" w:rsidR="000A1FC1" w:rsidRDefault="007E5CA5" w:rsidP="00AC3E6F">
      <w:pPr>
        <w:spacing w:after="0"/>
        <w:rPr>
          <w:lang w:val="lt-LT" w:bidi="lt-LT"/>
        </w:rPr>
      </w:pPr>
      <w:r>
        <w:rPr>
          <w:b/>
          <w:bCs/>
          <w:lang w:val="lt-LT" w:bidi="lt-LT"/>
        </w:rPr>
        <w:t>4</w:t>
      </w:r>
      <w:r w:rsidR="000E038F" w:rsidRPr="00970DED">
        <w:rPr>
          <w:b/>
          <w:bCs/>
          <w:lang w:val="lt-LT" w:bidi="lt-LT"/>
        </w:rPr>
        <w:t>.4.</w:t>
      </w:r>
      <w:r w:rsidR="000E038F">
        <w:rPr>
          <w:lang w:val="lt-LT" w:bidi="lt-LT"/>
        </w:rPr>
        <w:t xml:space="preserve"> </w:t>
      </w:r>
      <w:r w:rsidR="00AB40D3">
        <w:rPr>
          <w:lang w:val="lt-LT" w:bidi="lt-LT"/>
        </w:rPr>
        <w:t xml:space="preserve">Vadovaujantis </w:t>
      </w:r>
      <w:r w:rsidR="00843CCF">
        <w:rPr>
          <w:lang w:val="lt-LT" w:bidi="lt-LT"/>
        </w:rPr>
        <w:t xml:space="preserve">Metodikos </w:t>
      </w:r>
      <w:r w:rsidR="00AC3E6F">
        <w:rPr>
          <w:lang w:val="lt-LT" w:bidi="lt-LT"/>
        </w:rPr>
        <w:t xml:space="preserve">11 </w:t>
      </w:r>
      <w:r w:rsidR="009A0F3D">
        <w:rPr>
          <w:lang w:val="lt-LT" w:bidi="lt-LT"/>
        </w:rPr>
        <w:t>punkt</w:t>
      </w:r>
      <w:r w:rsidR="00AB40D3">
        <w:rPr>
          <w:lang w:val="lt-LT" w:bidi="lt-LT"/>
        </w:rPr>
        <w:t xml:space="preserve">u, </w:t>
      </w:r>
      <w:r w:rsidR="00745B3B">
        <w:rPr>
          <w:lang w:val="lt-LT" w:bidi="lt-LT"/>
        </w:rPr>
        <w:t>n</w:t>
      </w:r>
      <w:r w:rsidR="000A1FC1" w:rsidRPr="000A1FC1">
        <w:rPr>
          <w:lang w:val="lt-LT" w:bidi="lt-LT"/>
        </w:rPr>
        <w:t>ustatant reikalavimus dėl tiekėjo finansinių ir ekonominių pajėgumų, gali būti atsižvelgiama į</w:t>
      </w:r>
      <w:bookmarkStart w:id="11" w:name="part_2956358b2f4a40528ff5f78f5a82e859"/>
      <w:bookmarkEnd w:id="11"/>
      <w:r w:rsidR="009A0F3D">
        <w:rPr>
          <w:lang w:val="lt-LT" w:bidi="lt-LT"/>
        </w:rPr>
        <w:t xml:space="preserve"> </w:t>
      </w:r>
      <w:r w:rsidR="000A1FC1" w:rsidRPr="000A1FC1">
        <w:rPr>
          <w:lang w:val="lt-LT" w:bidi="lt-LT"/>
        </w:rPr>
        <w:t xml:space="preserve">numatomą pirkimo sutarties trukmę ir </w:t>
      </w:r>
      <w:r w:rsidR="000A1FC1" w:rsidRPr="000A1FC1">
        <w:rPr>
          <w:b/>
          <w:bCs/>
          <w:lang w:val="lt-LT" w:bidi="lt-LT"/>
        </w:rPr>
        <w:t xml:space="preserve">vertę </w:t>
      </w:r>
      <w:r w:rsidR="000A1FC1" w:rsidRPr="000A1FC1">
        <w:rPr>
          <w:b/>
          <w:bCs/>
          <w:lang w:val="lt-LT" w:bidi="lt-LT"/>
        </w:rPr>
        <w:lastRenderedPageBreak/>
        <w:t>be PVM</w:t>
      </w:r>
      <w:r w:rsidR="00970DED">
        <w:rPr>
          <w:b/>
          <w:bCs/>
          <w:lang w:val="lt-LT" w:bidi="lt-LT"/>
        </w:rPr>
        <w:t xml:space="preserve">. </w:t>
      </w:r>
      <w:r w:rsidR="00970DED" w:rsidRPr="00970DED">
        <w:rPr>
          <w:lang w:val="lt-LT" w:bidi="lt-LT"/>
        </w:rPr>
        <w:t>Atsižvelgiant į tai,</w:t>
      </w:r>
      <w:r w:rsidR="00970DED">
        <w:rPr>
          <w:lang w:val="lt-LT" w:bidi="lt-LT"/>
        </w:rPr>
        <w:t xml:space="preserve"> </w:t>
      </w:r>
      <w:r w:rsidR="004443E7" w:rsidRPr="004443E7">
        <w:rPr>
          <w:lang w:val="lt-LT" w:bidi="lt-LT"/>
        </w:rPr>
        <w:t>rekomenduotina</w:t>
      </w:r>
      <w:r w:rsidR="004443E7">
        <w:rPr>
          <w:b/>
          <w:bCs/>
          <w:lang w:val="lt-LT" w:bidi="lt-LT"/>
        </w:rPr>
        <w:t xml:space="preserve"> </w:t>
      </w:r>
      <w:r w:rsidR="004443E7" w:rsidRPr="00DC5E45">
        <w:rPr>
          <w:lang w:val="lt-LT" w:bidi="lt-LT"/>
        </w:rPr>
        <w:t xml:space="preserve">koreguoti </w:t>
      </w:r>
      <w:r w:rsidR="00DC5E45" w:rsidRPr="00DC5E45">
        <w:rPr>
          <w:lang w:val="lt-LT" w:bidi="lt-LT"/>
        </w:rPr>
        <w:t>Kvalifikacijos reikalavimų 2.1 ir 3a.</w:t>
      </w:r>
      <w:r w:rsidR="00DC5E45">
        <w:rPr>
          <w:lang w:val="lt-LT" w:bidi="lt-LT"/>
        </w:rPr>
        <w:t xml:space="preserve"> punktuose nu</w:t>
      </w:r>
      <w:r w:rsidR="00AB40D3">
        <w:rPr>
          <w:lang w:val="lt-LT" w:bidi="lt-LT"/>
        </w:rPr>
        <w:t>rodytas vertes</w:t>
      </w:r>
      <w:r w:rsidR="009B5528">
        <w:rPr>
          <w:lang w:val="lt-LT" w:bidi="lt-LT"/>
        </w:rPr>
        <w:t>,</w:t>
      </w:r>
      <w:r w:rsidR="0069435B">
        <w:rPr>
          <w:lang w:val="lt-LT" w:bidi="lt-LT"/>
        </w:rPr>
        <w:t xml:space="preserve"> </w:t>
      </w:r>
      <w:r w:rsidR="009B5528">
        <w:rPr>
          <w:lang w:val="lt-LT" w:bidi="lt-LT"/>
        </w:rPr>
        <w:t xml:space="preserve">kurios </w:t>
      </w:r>
      <w:r w:rsidR="0069435B">
        <w:rPr>
          <w:lang w:val="lt-LT" w:bidi="lt-LT"/>
        </w:rPr>
        <w:t>turi būti skaičiuojamos be PVM</w:t>
      </w:r>
      <w:r w:rsidR="00637B99">
        <w:rPr>
          <w:lang w:val="lt-LT" w:bidi="lt-LT"/>
        </w:rPr>
        <w:t>.</w:t>
      </w:r>
      <w:r w:rsidR="00AB40D3">
        <w:rPr>
          <w:lang w:val="lt-LT" w:bidi="lt-LT"/>
        </w:rPr>
        <w:t xml:space="preserve"> </w:t>
      </w:r>
    </w:p>
    <w:p w14:paraId="003AB9FB" w14:textId="77777777" w:rsidR="001A7C0D" w:rsidRDefault="001A7C0D" w:rsidP="00AC3E6F">
      <w:pPr>
        <w:spacing w:after="0"/>
        <w:rPr>
          <w:lang w:val="lt-LT" w:bidi="lt-LT"/>
        </w:rPr>
      </w:pPr>
    </w:p>
    <w:p w14:paraId="28D4D39B" w14:textId="2F08F5DD" w:rsidR="001A7C0D" w:rsidRDefault="007E5CA5" w:rsidP="00AC3E6F">
      <w:pPr>
        <w:spacing w:after="0"/>
        <w:rPr>
          <w:lang w:val="lt-LT" w:bidi="lt-LT"/>
        </w:rPr>
      </w:pPr>
      <w:r>
        <w:rPr>
          <w:b/>
          <w:bCs/>
          <w:lang w:val="lt-LT" w:bidi="lt-LT"/>
        </w:rPr>
        <w:t>4</w:t>
      </w:r>
      <w:r w:rsidR="001A7C0D" w:rsidRPr="001A7C0D">
        <w:rPr>
          <w:b/>
          <w:bCs/>
          <w:lang w:val="lt-LT" w:bidi="lt-LT"/>
        </w:rPr>
        <w:t xml:space="preserve">.5. </w:t>
      </w:r>
      <w:r w:rsidR="000C7F17" w:rsidRPr="00EF756B">
        <w:rPr>
          <w:lang w:val="lt-LT" w:bidi="lt-LT"/>
        </w:rPr>
        <w:t xml:space="preserve">Kvalifikacijos </w:t>
      </w:r>
      <w:r w:rsidR="00EF756B" w:rsidRPr="00EF756B">
        <w:rPr>
          <w:lang w:val="lt-LT" w:bidi="lt-LT"/>
        </w:rPr>
        <w:t>reikalavimų</w:t>
      </w:r>
      <w:r w:rsidR="00EF756B">
        <w:rPr>
          <w:lang w:val="lt-LT" w:bidi="lt-LT"/>
        </w:rPr>
        <w:t xml:space="preserve"> 3a papunktyje </w:t>
      </w:r>
      <w:r w:rsidR="00B57413">
        <w:rPr>
          <w:lang w:val="lt-LT" w:bidi="lt-LT"/>
        </w:rPr>
        <w:t xml:space="preserve">„Atliktį reikalavimui įrodančių dokumentų“ skiltyje </w:t>
      </w:r>
      <w:r w:rsidR="00EE411D">
        <w:rPr>
          <w:lang w:val="lt-LT" w:bidi="lt-LT"/>
        </w:rPr>
        <w:t>prašoma</w:t>
      </w:r>
      <w:r w:rsidR="00C3287C">
        <w:rPr>
          <w:lang w:val="lt-LT" w:bidi="lt-LT"/>
        </w:rPr>
        <w:t>s</w:t>
      </w:r>
      <w:r w:rsidR="00EE411D">
        <w:rPr>
          <w:lang w:val="lt-LT" w:bidi="lt-LT"/>
        </w:rPr>
        <w:t xml:space="preserve"> pateikti „</w:t>
      </w:r>
      <w:r w:rsidR="00DE022C" w:rsidRPr="00DE022C">
        <w:rPr>
          <w:lang w:val="lt-LT" w:bidi="lt-LT"/>
        </w:rPr>
        <w:t xml:space="preserve">Per pastaruosius 5 metus atliktų darbų sąrašas kartu su užsakovų pažymomis, kuriose nurodoma, kad svarbiausių </w:t>
      </w:r>
      <w:r w:rsidR="00DE022C" w:rsidRPr="00DE022C">
        <w:rPr>
          <w:b/>
          <w:bCs/>
          <w:lang w:val="lt-LT" w:bidi="lt-LT"/>
        </w:rPr>
        <w:t>darbų atlikimas ir galutiniai rezultatai buvo tinkami</w:t>
      </w:r>
      <w:r w:rsidR="00DE022C">
        <w:rPr>
          <w:lang w:val="lt-LT" w:bidi="lt-LT"/>
        </w:rPr>
        <w:t>“</w:t>
      </w:r>
      <w:r w:rsidR="00DE022C" w:rsidRPr="00DE022C">
        <w:rPr>
          <w:lang w:val="lt-LT" w:bidi="lt-LT"/>
        </w:rPr>
        <w:t>.</w:t>
      </w:r>
    </w:p>
    <w:p w14:paraId="4907373C" w14:textId="0945F80D" w:rsidR="008048E1" w:rsidRDefault="00C34459" w:rsidP="008048E1">
      <w:pPr>
        <w:spacing w:after="0"/>
        <w:rPr>
          <w:lang w:val="lt-LT" w:bidi="lt-LT"/>
        </w:rPr>
      </w:pPr>
      <w:r>
        <w:rPr>
          <w:lang w:val="lt-LT" w:bidi="lt-LT"/>
        </w:rPr>
        <w:t xml:space="preserve">Tarnyba primena, jog </w:t>
      </w:r>
      <w:r w:rsidR="008048E1">
        <w:rPr>
          <w:lang w:val="lt-LT" w:bidi="lt-LT"/>
        </w:rPr>
        <w:t>a</w:t>
      </w:r>
      <w:r w:rsidR="008048E1" w:rsidRPr="008048E1">
        <w:rPr>
          <w:lang w:val="lt-LT" w:bidi="lt-LT"/>
        </w:rPr>
        <w:t>tliktų darbų sąraše pateikiama tik tokia informacija, kuri atitinka kvalifikacijos reikalavime nurodytus kriterijus, t. y. įvykdytos (-ų) sutarties (-</w:t>
      </w:r>
      <w:proofErr w:type="spellStart"/>
      <w:r w:rsidR="008048E1" w:rsidRPr="008048E1">
        <w:rPr>
          <w:lang w:val="lt-LT" w:bidi="lt-LT"/>
        </w:rPr>
        <w:t>čių</w:t>
      </w:r>
      <w:proofErr w:type="spellEnd"/>
      <w:r w:rsidR="008048E1" w:rsidRPr="008048E1">
        <w:rPr>
          <w:lang w:val="lt-LT" w:bidi="lt-LT"/>
        </w:rPr>
        <w:t>) laikotarpis, panašaus objekto aprašymas: statinio kategorijos ar</w:t>
      </w:r>
      <w:r w:rsidR="008048E1">
        <w:rPr>
          <w:lang w:val="lt-LT" w:bidi="lt-LT"/>
        </w:rPr>
        <w:t xml:space="preserve"> </w:t>
      </w:r>
      <w:r w:rsidR="008048E1" w:rsidRPr="008048E1">
        <w:rPr>
          <w:lang w:val="lt-LT" w:bidi="lt-LT"/>
        </w:rPr>
        <w:t>grupės, ar pogrupiai, ar statybos darbų rūšys, ar statybos darbų sritys, ar kiekis, ar techniniai parametrai, ar kt., atliktų nurodytų svarbiausių darbų dalis įvykdytoje (-</w:t>
      </w:r>
      <w:proofErr w:type="spellStart"/>
      <w:r w:rsidR="008048E1" w:rsidRPr="008048E1">
        <w:rPr>
          <w:lang w:val="lt-LT" w:bidi="lt-LT"/>
        </w:rPr>
        <w:t>ose</w:t>
      </w:r>
      <w:proofErr w:type="spellEnd"/>
      <w:r w:rsidR="008048E1" w:rsidRPr="008048E1">
        <w:rPr>
          <w:lang w:val="lt-LT" w:bidi="lt-LT"/>
        </w:rPr>
        <w:t>) / vykdomoje (-</w:t>
      </w:r>
      <w:proofErr w:type="spellStart"/>
      <w:r w:rsidR="008048E1" w:rsidRPr="008048E1">
        <w:rPr>
          <w:lang w:val="lt-LT" w:bidi="lt-LT"/>
        </w:rPr>
        <w:t>ose</w:t>
      </w:r>
      <w:proofErr w:type="spellEnd"/>
      <w:r w:rsidR="008048E1" w:rsidRPr="008048E1">
        <w:rPr>
          <w:lang w:val="lt-LT" w:bidi="lt-LT"/>
        </w:rPr>
        <w:t>) sutartyje (-</w:t>
      </w:r>
      <w:proofErr w:type="spellStart"/>
      <w:r w:rsidR="008048E1" w:rsidRPr="008048E1">
        <w:rPr>
          <w:lang w:val="lt-LT" w:bidi="lt-LT"/>
        </w:rPr>
        <w:t>yse</w:t>
      </w:r>
      <w:proofErr w:type="spellEnd"/>
      <w:r w:rsidR="008048E1" w:rsidRPr="008048E1">
        <w:rPr>
          <w:lang w:val="lt-LT" w:bidi="lt-LT"/>
        </w:rPr>
        <w:t xml:space="preserve">), paties tiekėjo atlikti darbai, jei sutartį vykdė ne vienas, o su kitais ūkio subjektais, užsakovo kontaktai ir t.t. </w:t>
      </w:r>
      <w:r w:rsidR="008048E1" w:rsidRPr="008048E1">
        <w:rPr>
          <w:b/>
          <w:bCs/>
          <w:lang w:val="lt-LT" w:bidi="lt-LT"/>
        </w:rPr>
        <w:t>Pateiktų dokumentų visuma turi įrodyti atitikimą kvalifikacijos reikalavimų parametrams</w:t>
      </w:r>
      <w:r w:rsidR="008048E1">
        <w:rPr>
          <w:b/>
          <w:bCs/>
          <w:lang w:val="lt-LT" w:bidi="lt-LT"/>
        </w:rPr>
        <w:t xml:space="preserve">. </w:t>
      </w:r>
      <w:r w:rsidR="008048E1" w:rsidRPr="008048E1">
        <w:rPr>
          <w:lang w:val="lt-LT" w:bidi="lt-LT"/>
        </w:rPr>
        <w:t>Šiuo atveju</w:t>
      </w:r>
      <w:r w:rsidR="008048E1">
        <w:rPr>
          <w:lang w:val="lt-LT" w:bidi="lt-LT"/>
        </w:rPr>
        <w:t xml:space="preserve"> </w:t>
      </w:r>
      <w:r w:rsidR="00C241D5">
        <w:rPr>
          <w:lang w:val="lt-LT" w:bidi="lt-LT"/>
        </w:rPr>
        <w:t xml:space="preserve">nėra aišku, kokia informacija turi būti pateikta </w:t>
      </w:r>
      <w:r w:rsidR="0062236B">
        <w:rPr>
          <w:lang w:val="lt-LT" w:bidi="lt-LT"/>
        </w:rPr>
        <w:t xml:space="preserve">užsakovų pažymose, </w:t>
      </w:r>
      <w:r w:rsidR="00FF2227">
        <w:rPr>
          <w:lang w:val="lt-LT" w:bidi="lt-LT"/>
        </w:rPr>
        <w:t>kuri įrodytų atitiktį nustatytam kvalifikacijos reikalavimui.</w:t>
      </w:r>
    </w:p>
    <w:p w14:paraId="33114DC8" w14:textId="3D12F081" w:rsidR="00FF2227" w:rsidRDefault="00E1671E" w:rsidP="008048E1">
      <w:pPr>
        <w:spacing w:after="0"/>
        <w:rPr>
          <w:lang w:val="lt-LT" w:bidi="lt-LT"/>
        </w:rPr>
      </w:pPr>
      <w:r>
        <w:rPr>
          <w:lang w:val="lt-LT" w:bidi="lt-LT"/>
        </w:rPr>
        <w:t xml:space="preserve">Taip pat atkreiptinas dėmesys, kad </w:t>
      </w:r>
      <w:r w:rsidR="00ED7CFE">
        <w:rPr>
          <w:lang w:val="lt-LT" w:bidi="lt-LT"/>
        </w:rPr>
        <w:t xml:space="preserve">pagrindžiamuosiuose dokumentuose </w:t>
      </w:r>
      <w:r w:rsidR="00DA1D80">
        <w:rPr>
          <w:lang w:val="lt-LT" w:bidi="lt-LT"/>
        </w:rPr>
        <w:t xml:space="preserve">(užsakovų pažymose) </w:t>
      </w:r>
      <w:r w:rsidR="003C2078">
        <w:rPr>
          <w:lang w:val="lt-LT" w:bidi="lt-LT"/>
        </w:rPr>
        <w:t>reikalaujama, kad būtų</w:t>
      </w:r>
      <w:r w:rsidR="00612295">
        <w:rPr>
          <w:lang w:val="lt-LT" w:bidi="lt-LT"/>
        </w:rPr>
        <w:t xml:space="preserve"> nurodyta</w:t>
      </w:r>
      <w:r w:rsidR="00ED7CFE">
        <w:rPr>
          <w:lang w:val="lt-LT" w:bidi="lt-LT"/>
        </w:rPr>
        <w:t xml:space="preserve">, jog darbų atlikimas </w:t>
      </w:r>
      <w:r w:rsidR="00FD14BC">
        <w:rPr>
          <w:lang w:val="lt-LT" w:bidi="lt-LT"/>
        </w:rPr>
        <w:t>ir galutiniai rezultatai buvo tinkami</w:t>
      </w:r>
      <w:r w:rsidR="00EB20F6">
        <w:rPr>
          <w:lang w:val="lt-LT" w:bidi="lt-LT"/>
        </w:rPr>
        <w:t>,</w:t>
      </w:r>
      <w:r w:rsidR="00FD14BC">
        <w:rPr>
          <w:lang w:val="lt-LT" w:bidi="lt-LT"/>
        </w:rPr>
        <w:t xml:space="preserve"> </w:t>
      </w:r>
      <w:r w:rsidR="00612295">
        <w:rPr>
          <w:lang w:val="lt-LT" w:bidi="lt-LT"/>
        </w:rPr>
        <w:t xml:space="preserve">tačiau </w:t>
      </w:r>
      <w:r w:rsidR="002C5089">
        <w:rPr>
          <w:lang w:val="lt-LT" w:bidi="lt-LT"/>
        </w:rPr>
        <w:t xml:space="preserve">pačiame </w:t>
      </w:r>
      <w:r w:rsidR="00FE4724">
        <w:rPr>
          <w:lang w:val="lt-LT" w:bidi="lt-LT"/>
        </w:rPr>
        <w:t xml:space="preserve">kvalifikacijos </w:t>
      </w:r>
      <w:r w:rsidR="002C5089">
        <w:rPr>
          <w:lang w:val="lt-LT" w:bidi="lt-LT"/>
        </w:rPr>
        <w:t>rei</w:t>
      </w:r>
      <w:r w:rsidR="00637B9D">
        <w:rPr>
          <w:lang w:val="lt-LT" w:bidi="lt-LT"/>
        </w:rPr>
        <w:t>kalavime to</w:t>
      </w:r>
      <w:r w:rsidR="00FE4724">
        <w:rPr>
          <w:lang w:val="lt-LT" w:bidi="lt-LT"/>
        </w:rPr>
        <w:t>kio reikalavimo nėra</w:t>
      </w:r>
      <w:r w:rsidR="00FD14BC">
        <w:rPr>
          <w:lang w:val="lt-LT" w:bidi="lt-LT"/>
        </w:rPr>
        <w:t>.</w:t>
      </w:r>
    </w:p>
    <w:p w14:paraId="5DC14BEC" w14:textId="603A063F" w:rsidR="00EB20F6" w:rsidRDefault="00EB20F6" w:rsidP="008048E1">
      <w:pPr>
        <w:spacing w:after="0"/>
        <w:rPr>
          <w:lang w:val="lt-LT" w:bidi="lt-LT"/>
        </w:rPr>
      </w:pPr>
      <w:r>
        <w:rPr>
          <w:lang w:val="lt-LT" w:bidi="lt-LT"/>
        </w:rPr>
        <w:t xml:space="preserve">Atsižvelgiant į nurodytą, Tarnyba rekomenduoja </w:t>
      </w:r>
      <w:r w:rsidR="00011414">
        <w:rPr>
          <w:lang w:val="lt-LT" w:bidi="lt-LT"/>
        </w:rPr>
        <w:t xml:space="preserve">pakartotinai peržiūrėti ir patikslinti kvalifikacijos reikalavimą bei </w:t>
      </w:r>
      <w:r w:rsidR="002F7A68">
        <w:rPr>
          <w:lang w:val="lt-LT" w:bidi="lt-LT"/>
        </w:rPr>
        <w:t>atitiktį įrodančius dokumentus.</w:t>
      </w:r>
    </w:p>
    <w:p w14:paraId="2363D775" w14:textId="07DFEF85" w:rsidR="00B56CE4" w:rsidRDefault="00B56CE4" w:rsidP="00B56CE4">
      <w:pPr>
        <w:spacing w:after="0"/>
        <w:rPr>
          <w:lang w:val="lt-LT" w:bidi="lt-LT"/>
        </w:rPr>
      </w:pPr>
      <w:r w:rsidRPr="00B56CE4">
        <w:rPr>
          <w:lang w:val="lt-LT" w:bidi="lt-LT"/>
        </w:rPr>
        <w:t xml:space="preserve">Formuluojant </w:t>
      </w:r>
      <w:r>
        <w:rPr>
          <w:lang w:val="lt-LT" w:bidi="lt-LT"/>
        </w:rPr>
        <w:t xml:space="preserve">kvalifikacijos reikalavimą ir </w:t>
      </w:r>
      <w:r w:rsidRPr="00B56CE4">
        <w:rPr>
          <w:lang w:val="lt-LT" w:bidi="lt-LT"/>
        </w:rPr>
        <w:t xml:space="preserve">atitiktį įrodančius dokumentus rekomenduojama susipažinti su </w:t>
      </w:r>
      <w:bookmarkStart w:id="12" w:name="_Hlk192832814"/>
      <w:r w:rsidRPr="00B56CE4">
        <w:rPr>
          <w:lang w:val="lt-LT" w:bidi="lt-LT"/>
        </w:rPr>
        <w:fldChar w:fldCharType="begin"/>
      </w:r>
      <w:r w:rsidRPr="00B56CE4">
        <w:rPr>
          <w:lang w:val="lt-LT" w:bidi="lt-LT"/>
        </w:rPr>
        <w:instrText>HYPERLINK "https://vpt.lrv.lt/uploads/vpt/documents/files/mp/Statybos_darbu_gaires_2023-07-31.pdf"</w:instrText>
      </w:r>
      <w:r w:rsidRPr="00B56CE4">
        <w:rPr>
          <w:lang w:val="lt-LT" w:bidi="lt-LT"/>
        </w:rPr>
      </w:r>
      <w:r w:rsidRPr="00B56CE4">
        <w:rPr>
          <w:lang w:val="lt-LT" w:bidi="lt-LT"/>
        </w:rPr>
        <w:fldChar w:fldCharType="separate"/>
      </w:r>
      <w:r w:rsidRPr="00B56CE4">
        <w:rPr>
          <w:rStyle w:val="Hyperlink"/>
          <w:lang w:val="lt-LT" w:bidi="lt-LT"/>
        </w:rPr>
        <w:t>Statybos darbų pirkimų gairėmis</w:t>
      </w:r>
      <w:r w:rsidRPr="00B56CE4">
        <w:rPr>
          <w:lang w:val="lt-LT" w:bidi="lt-LT"/>
        </w:rPr>
        <w:fldChar w:fldCharType="end"/>
      </w:r>
      <w:r w:rsidRPr="00B56CE4">
        <w:rPr>
          <w:lang w:val="lt-LT" w:bidi="lt-LT"/>
        </w:rPr>
        <w:t xml:space="preserve">.  </w:t>
      </w:r>
      <w:bookmarkEnd w:id="12"/>
    </w:p>
    <w:p w14:paraId="41BE6F8D" w14:textId="77777777" w:rsidR="00F933DA" w:rsidRDefault="00F933DA" w:rsidP="00B56CE4">
      <w:pPr>
        <w:spacing w:after="0"/>
        <w:rPr>
          <w:lang w:val="lt-LT" w:bidi="lt-LT"/>
        </w:rPr>
      </w:pPr>
    </w:p>
    <w:p w14:paraId="15C3DF4C" w14:textId="24360A06" w:rsidR="00E15E1A" w:rsidRPr="00E15E1A" w:rsidRDefault="007E5CA5" w:rsidP="00E15E1A">
      <w:pPr>
        <w:spacing w:after="0"/>
        <w:rPr>
          <w:lang w:val="lt-LT" w:bidi="lt-LT"/>
        </w:rPr>
      </w:pPr>
      <w:r>
        <w:rPr>
          <w:b/>
          <w:bCs/>
          <w:lang w:val="lt-LT" w:bidi="lt-LT"/>
        </w:rPr>
        <w:t>4</w:t>
      </w:r>
      <w:r w:rsidR="00F933DA" w:rsidRPr="00F933DA">
        <w:rPr>
          <w:b/>
          <w:bCs/>
          <w:lang w:val="lt-LT" w:bidi="lt-LT"/>
        </w:rPr>
        <w:t xml:space="preserve">.6. </w:t>
      </w:r>
      <w:r w:rsidR="00615177" w:rsidRPr="00615177">
        <w:rPr>
          <w:lang w:val="lt-LT" w:bidi="lt-LT"/>
        </w:rPr>
        <w:t>Kvalifikacijos reikalavimų 3b. papunktyje</w:t>
      </w:r>
      <w:r w:rsidR="00615177">
        <w:rPr>
          <w:lang w:val="lt-LT" w:bidi="lt-LT"/>
        </w:rPr>
        <w:t xml:space="preserve"> nustatytas reikalavimas </w:t>
      </w:r>
      <w:r w:rsidR="00BA5D1C">
        <w:rPr>
          <w:lang w:val="lt-LT" w:bidi="lt-LT"/>
        </w:rPr>
        <w:t xml:space="preserve">Tiekėjui turėti </w:t>
      </w:r>
      <w:r w:rsidR="00A925D3" w:rsidRPr="00A925D3">
        <w:rPr>
          <w:lang w:val="lt-LT" w:bidi="lt-LT"/>
        </w:rPr>
        <w:t>bent 1(vien</w:t>
      </w:r>
      <w:r w:rsidR="006D2264">
        <w:rPr>
          <w:lang w:val="lt-LT" w:bidi="lt-LT"/>
        </w:rPr>
        <w:t>ą</w:t>
      </w:r>
      <w:r w:rsidR="00A925D3" w:rsidRPr="00A925D3">
        <w:rPr>
          <w:lang w:val="lt-LT" w:bidi="lt-LT"/>
        </w:rPr>
        <w:t>) atestuot</w:t>
      </w:r>
      <w:r w:rsidR="006D2264">
        <w:rPr>
          <w:lang w:val="lt-LT" w:bidi="lt-LT"/>
        </w:rPr>
        <w:t>ą</w:t>
      </w:r>
      <w:r w:rsidR="00A925D3" w:rsidRPr="00A925D3">
        <w:rPr>
          <w:lang w:val="lt-LT" w:bidi="lt-LT"/>
        </w:rPr>
        <w:t xml:space="preserve"> ypatingo statinio statybos darbų vadov</w:t>
      </w:r>
      <w:r w:rsidR="00C45E09">
        <w:rPr>
          <w:lang w:val="lt-LT" w:bidi="lt-LT"/>
        </w:rPr>
        <w:t xml:space="preserve">ą/ </w:t>
      </w:r>
      <w:r w:rsidR="0004009F">
        <w:rPr>
          <w:lang w:val="lt-LT" w:bidi="lt-LT"/>
        </w:rPr>
        <w:t>specialiųjų statybos darbų vadovą</w:t>
      </w:r>
      <w:r w:rsidR="00A925D3" w:rsidRPr="00A925D3">
        <w:rPr>
          <w:lang w:val="lt-LT" w:bidi="lt-LT"/>
        </w:rPr>
        <w:t>, turint</w:t>
      </w:r>
      <w:r w:rsidR="006D2264">
        <w:rPr>
          <w:lang w:val="lt-LT" w:bidi="lt-LT"/>
        </w:rPr>
        <w:t>į</w:t>
      </w:r>
      <w:r w:rsidR="00A925D3" w:rsidRPr="00A925D3">
        <w:rPr>
          <w:lang w:val="lt-LT" w:bidi="lt-LT"/>
        </w:rPr>
        <w:t xml:space="preserve"> teisę eiti pareigas gyvenamųjų pastatų grupėje</w:t>
      </w:r>
      <w:r w:rsidR="00A925D3">
        <w:rPr>
          <w:lang w:val="lt-LT" w:bidi="lt-LT"/>
        </w:rPr>
        <w:t xml:space="preserve">. </w:t>
      </w:r>
      <w:r w:rsidR="00E15E1A" w:rsidRPr="00E15E1A">
        <w:rPr>
          <w:lang w:val="lt-LT" w:bidi="lt-LT"/>
        </w:rPr>
        <w:t>Atsižvelgiant į tai, kad gali būti nustatomi tik būtini tiekėjų kvalifikacijos reikalavimai, nustatant specialistų</w:t>
      </w:r>
    </w:p>
    <w:p w14:paraId="2ED81449" w14:textId="5940E5FA" w:rsidR="00761AAA" w:rsidRPr="00C2219A" w:rsidRDefault="00E15E1A" w:rsidP="00C2219A">
      <w:pPr>
        <w:spacing w:after="0"/>
        <w:rPr>
          <w:lang w:val="lt" w:bidi="lt-LT"/>
        </w:rPr>
      </w:pPr>
      <w:r w:rsidRPr="00E15E1A">
        <w:rPr>
          <w:lang w:val="lt-LT" w:bidi="lt-LT"/>
        </w:rPr>
        <w:t>kvalifikacijos reikalavimą dėl teisės eiti ypatingojo statinio statybos vadovo/specialiųjų</w:t>
      </w:r>
      <w:r>
        <w:rPr>
          <w:lang w:val="lt-LT" w:bidi="lt-LT"/>
        </w:rPr>
        <w:t xml:space="preserve"> </w:t>
      </w:r>
      <w:r w:rsidRPr="00E15E1A">
        <w:rPr>
          <w:lang w:val="lt-LT" w:bidi="lt-LT"/>
        </w:rPr>
        <w:t>statybos darbų vadovo pareigas, turi būti nurodoma ne tik statinio grupė, bet ir pirkimo objektą atitinkantis</w:t>
      </w:r>
      <w:r>
        <w:rPr>
          <w:lang w:val="lt-LT" w:bidi="lt-LT"/>
        </w:rPr>
        <w:t xml:space="preserve"> </w:t>
      </w:r>
      <w:r w:rsidRPr="00E15E1A">
        <w:rPr>
          <w:lang w:val="lt-LT" w:bidi="lt-LT"/>
        </w:rPr>
        <w:t>pogrupis. Kai nenurodomas pirkimo objektą atitinkantis statinio pogrupis, toks kvalifikacijos reikalavimas</w:t>
      </w:r>
      <w:r>
        <w:rPr>
          <w:lang w:val="lt-LT" w:bidi="lt-LT"/>
        </w:rPr>
        <w:t xml:space="preserve"> </w:t>
      </w:r>
      <w:r w:rsidRPr="00E15E1A">
        <w:rPr>
          <w:lang w:val="lt-LT" w:bidi="lt-LT"/>
        </w:rPr>
        <w:t>laikytinas nesusijusiu su pirkimo objektu, neproporcingu ir gali dirbtinai riboti konkurenciją</w:t>
      </w:r>
      <w:r w:rsidR="002A5D50">
        <w:rPr>
          <w:lang w:val="lt-LT" w:bidi="lt-LT"/>
        </w:rPr>
        <w:t xml:space="preserve">, </w:t>
      </w:r>
      <w:r w:rsidR="002A5D50" w:rsidRPr="002A5D50">
        <w:rPr>
          <w:lang w:val="lt" w:bidi="lt-LT"/>
        </w:rPr>
        <w:t>todėl rekomenduotina peržiūrėti ir papildyti kvalifikacijos reikalavimą</w:t>
      </w:r>
      <w:r w:rsidR="00A2684E">
        <w:rPr>
          <w:lang w:val="lt" w:bidi="lt-LT"/>
        </w:rPr>
        <w:t xml:space="preserve"> pirkimo objektą atitinkančiu pogrupiu</w:t>
      </w:r>
      <w:r w:rsidR="002A5D50" w:rsidRPr="002A5D50">
        <w:rPr>
          <w:lang w:val="lt" w:bidi="lt-LT"/>
        </w:rPr>
        <w:t xml:space="preserve">. </w:t>
      </w:r>
    </w:p>
    <w:p w14:paraId="65178C38" w14:textId="33F66B1F" w:rsidR="00200F4B" w:rsidRDefault="00200F4B" w:rsidP="00200F4B">
      <w:pPr>
        <w:rPr>
          <w:bCs/>
          <w:lang w:val="lt"/>
        </w:rPr>
      </w:pPr>
      <w:r w:rsidRPr="00200F4B">
        <w:rPr>
          <w:bCs/>
          <w:lang w:val="lt"/>
        </w:rPr>
        <w:t xml:space="preserve">Pastebėtina, kad pagal naują </w:t>
      </w:r>
      <w:hyperlink r:id="rId15">
        <w:r w:rsidRPr="00200F4B">
          <w:rPr>
            <w:rStyle w:val="Hyperlink"/>
            <w:bCs/>
            <w:lang w:val="lt"/>
          </w:rPr>
          <w:t>Statybos techninio reglamento STR 1.01.03:2017 „Statinių klasifikavimas</w:t>
        </w:r>
      </w:hyperlink>
      <w:r w:rsidRPr="00200F4B">
        <w:rPr>
          <w:bCs/>
          <w:lang w:val="lt"/>
        </w:rPr>
        <w:t xml:space="preserve">“ (toliau – STR Statinių klasifikavimas) redakciją, gyvenamųjų pastatų grupė nebeskirstoma į atitinkamus pogrupius. Visgi, įvertinus tai, kad galimai yra specialistų, kurių atestatai buvo išduoti galiojant ankstesniam teisiniam reglamentavimui, t. y. išduoti </w:t>
      </w:r>
      <w:r w:rsidRPr="00200F4B">
        <w:rPr>
          <w:bCs/>
          <w:lang w:val="lt"/>
        </w:rPr>
        <w:lastRenderedPageBreak/>
        <w:t>atestatai, suteikiantys</w:t>
      </w:r>
      <w:r w:rsidR="00552887">
        <w:rPr>
          <w:bCs/>
          <w:lang w:val="lt"/>
        </w:rPr>
        <w:t xml:space="preserve"> teisę</w:t>
      </w:r>
      <w:r w:rsidRPr="00200F4B">
        <w:rPr>
          <w:bCs/>
          <w:lang w:val="lt"/>
        </w:rPr>
        <w:t xml:space="preserve"> eiti atitinkamas pareigas atitinkamų gyvenamųjų pastatų pogrupyje, tačiau yra ir naujai išduotų atestatų, Tarnyba rekomenduoja kvalifikacijos reikalavimą papildyti pastaba „Jei kvalifikacijos dokumente yra nurodyta visa reikalaujama statinių grupė (neišskirti / nenurodyti pogrupiai) arba nurodytas konkretus pogrupis, atitinkantis nurodytą kvalifikacijos reikalavime, – tokie kvalifikacijos dokumentai yra tinkami“ bei „Taip pat bus tinkamu laikomas ir atestatas, kuriame nustatyta  „gyvenamieji ir negyvenamieji pastatai“.</w:t>
      </w:r>
    </w:p>
    <w:p w14:paraId="0C911F19" w14:textId="35D8C613" w:rsidR="005F2C1B" w:rsidRDefault="007E5CA5" w:rsidP="00200F4B">
      <w:pPr>
        <w:rPr>
          <w:lang w:val="lt-LT"/>
        </w:rPr>
      </w:pPr>
      <w:r>
        <w:rPr>
          <w:b/>
          <w:lang w:val="lt"/>
        </w:rPr>
        <w:t>4</w:t>
      </w:r>
      <w:r w:rsidR="00180C17" w:rsidRPr="00F76D76">
        <w:rPr>
          <w:b/>
          <w:lang w:val="lt"/>
        </w:rPr>
        <w:t>.7.</w:t>
      </w:r>
      <w:r w:rsidR="00180C17">
        <w:rPr>
          <w:bCs/>
          <w:lang w:val="lt"/>
        </w:rPr>
        <w:t xml:space="preserve"> </w:t>
      </w:r>
      <w:r w:rsidR="00356006">
        <w:rPr>
          <w:bCs/>
          <w:lang w:val="lt"/>
        </w:rPr>
        <w:t>Kvalifika</w:t>
      </w:r>
      <w:r w:rsidR="00EE4C57">
        <w:rPr>
          <w:bCs/>
          <w:lang w:val="lt"/>
        </w:rPr>
        <w:t xml:space="preserve">cijos reikalavimų 3b papunkčio skiltyje „Atitiktį reikalavimui įrodantys dokumentai“ nurodyta, jog </w:t>
      </w:r>
      <w:r w:rsidR="008546D1">
        <w:rPr>
          <w:bCs/>
          <w:lang w:val="lt"/>
        </w:rPr>
        <w:t>„</w:t>
      </w:r>
      <w:r w:rsidR="008546D1" w:rsidRPr="008546D1">
        <w:rPr>
          <w:bCs/>
          <w:lang w:val="lt-LT"/>
        </w:rPr>
        <w:t xml:space="preserve">Užsienio šalių specialistai iki Sutarties pasirašymo turi gauti Statybos įstatymo nustatyta tvarka išduotą teisės pripažinimo dokumentą, o su kvalifikacijos atitiktį įrodančiais dokumentais turi pateikti turimą kvalifikaciją kilmės šalyje įrodančio dokumento ir kreipimosi į </w:t>
      </w:r>
      <w:r w:rsidR="008546D1" w:rsidRPr="008546D1">
        <w:rPr>
          <w:b/>
          <w:lang w:val="lt-LT"/>
        </w:rPr>
        <w:t>SPSC</w:t>
      </w:r>
      <w:r w:rsidR="008546D1" w:rsidRPr="008546D1">
        <w:rPr>
          <w:bCs/>
          <w:lang w:val="lt-LT"/>
        </w:rPr>
        <w:t xml:space="preserve"> dėl teisės pripažinimo dokumento išdavimo kopijas</w:t>
      </w:r>
      <w:r w:rsidR="008546D1">
        <w:rPr>
          <w:bCs/>
          <w:lang w:val="lt-LT"/>
        </w:rPr>
        <w:t xml:space="preserve">“. </w:t>
      </w:r>
      <w:r w:rsidR="00797621">
        <w:rPr>
          <w:bCs/>
          <w:lang w:val="lt-LT"/>
        </w:rPr>
        <w:t xml:space="preserve">Atkreiptinas dėmesys, jog </w:t>
      </w:r>
      <w:r w:rsidR="00FC1705">
        <w:rPr>
          <w:bCs/>
          <w:lang w:val="lt-LT"/>
        </w:rPr>
        <w:t>Statybos produktų ser</w:t>
      </w:r>
      <w:r w:rsidR="00FF7AAE">
        <w:rPr>
          <w:bCs/>
          <w:lang w:val="lt-LT"/>
        </w:rPr>
        <w:t xml:space="preserve">tifikavimo centras (SPSC) </w:t>
      </w:r>
      <w:r w:rsidR="00257CB1">
        <w:rPr>
          <w:bCs/>
          <w:lang w:val="lt-LT"/>
        </w:rPr>
        <w:t>šią fu</w:t>
      </w:r>
      <w:r w:rsidR="007A0C96">
        <w:rPr>
          <w:bCs/>
          <w:lang w:val="lt-LT"/>
        </w:rPr>
        <w:t>nkciją atliko</w:t>
      </w:r>
      <w:r w:rsidR="00FF7AAE">
        <w:rPr>
          <w:bCs/>
          <w:lang w:val="lt-LT"/>
        </w:rPr>
        <w:t xml:space="preserve"> iki 2022-04-30, </w:t>
      </w:r>
      <w:r w:rsidR="005F1CA2">
        <w:rPr>
          <w:bCs/>
          <w:lang w:val="lt-LT"/>
        </w:rPr>
        <w:t>šiuo metu šią fun</w:t>
      </w:r>
      <w:r w:rsidR="00A54EF1">
        <w:rPr>
          <w:bCs/>
          <w:lang w:val="lt-LT"/>
        </w:rPr>
        <w:t>k</w:t>
      </w:r>
      <w:r w:rsidR="005F1CA2">
        <w:rPr>
          <w:bCs/>
          <w:lang w:val="lt-LT"/>
        </w:rPr>
        <w:t xml:space="preserve">ciją </w:t>
      </w:r>
      <w:r w:rsidR="005F1CA2" w:rsidRPr="00A54EF1">
        <w:rPr>
          <w:bCs/>
          <w:lang w:val="lt-LT"/>
        </w:rPr>
        <w:t xml:space="preserve">atlieka </w:t>
      </w:r>
      <w:r w:rsidR="00A54EF1" w:rsidRPr="00A54EF1">
        <w:rPr>
          <w:b/>
          <w:bCs/>
          <w:lang w:val="lt-LT"/>
        </w:rPr>
        <w:t>Statybos sektoriaus vystymo agentūra</w:t>
      </w:r>
      <w:r w:rsidR="00A54EF1" w:rsidRPr="00F80799">
        <w:rPr>
          <w:b/>
          <w:bCs/>
          <w:lang w:val="lt-LT"/>
        </w:rPr>
        <w:t xml:space="preserve"> (SSVA).</w:t>
      </w:r>
      <w:r w:rsidR="007A0C96" w:rsidRPr="00F80799">
        <w:rPr>
          <w:b/>
          <w:bCs/>
          <w:lang w:val="lt-LT"/>
        </w:rPr>
        <w:t xml:space="preserve"> </w:t>
      </w:r>
      <w:r w:rsidR="007A0C96" w:rsidRPr="00E838F3">
        <w:rPr>
          <w:lang w:val="lt-LT"/>
        </w:rPr>
        <w:t>Atsižvelgiant į nurodytą, rekomenduotina</w:t>
      </w:r>
      <w:r w:rsidR="00E838F3" w:rsidRPr="00E838F3">
        <w:rPr>
          <w:lang w:val="lt-LT"/>
        </w:rPr>
        <w:t xml:space="preserve"> </w:t>
      </w:r>
      <w:r w:rsidR="003D5E11">
        <w:rPr>
          <w:lang w:val="lt-LT"/>
        </w:rPr>
        <w:t>nustatant kvalifikaciją pagrindžiančius dokumentus vadovautis aktualia informaciją.</w:t>
      </w:r>
    </w:p>
    <w:p w14:paraId="05407097" w14:textId="4CB49245" w:rsidR="005F2C1B" w:rsidRDefault="007E5CA5" w:rsidP="00200F4B">
      <w:pPr>
        <w:rPr>
          <w:lang w:val="lt-LT"/>
        </w:rPr>
      </w:pPr>
      <w:r>
        <w:rPr>
          <w:b/>
          <w:bCs/>
          <w:lang w:val="lt-LT"/>
        </w:rPr>
        <w:t>4</w:t>
      </w:r>
      <w:r w:rsidR="005F2C1B" w:rsidRPr="00423EEE">
        <w:rPr>
          <w:b/>
          <w:bCs/>
          <w:lang w:val="lt-LT"/>
        </w:rPr>
        <w:t>.8.</w:t>
      </w:r>
      <w:r w:rsidR="005F2C1B">
        <w:rPr>
          <w:lang w:val="lt-LT"/>
        </w:rPr>
        <w:t xml:space="preserve"> </w:t>
      </w:r>
      <w:r w:rsidR="00D66FE2">
        <w:rPr>
          <w:lang w:val="lt-LT"/>
        </w:rPr>
        <w:t xml:space="preserve">Kvalifikacijos reikalavimų </w:t>
      </w:r>
      <w:r w:rsidR="008A64F5">
        <w:rPr>
          <w:lang w:val="lt-LT"/>
        </w:rPr>
        <w:t>3.2.1.</w:t>
      </w:r>
      <w:r w:rsidR="00423EEE">
        <w:rPr>
          <w:lang w:val="lt-LT"/>
        </w:rPr>
        <w:t xml:space="preserve"> papunktyje</w:t>
      </w:r>
      <w:r w:rsidR="008A64F5">
        <w:rPr>
          <w:lang w:val="lt-LT"/>
        </w:rPr>
        <w:t xml:space="preserve"> keliamas kvalifikacinis reikalavimas</w:t>
      </w:r>
      <w:r w:rsidR="00C04898">
        <w:rPr>
          <w:lang w:val="lt-LT"/>
        </w:rPr>
        <w:t xml:space="preserve"> vadovaujantis Metodikos 22 punktu</w:t>
      </w:r>
      <w:r w:rsidR="008A64F5">
        <w:rPr>
          <w:lang w:val="lt-LT"/>
        </w:rPr>
        <w:t xml:space="preserve"> </w:t>
      </w:r>
      <w:r w:rsidR="003E3620">
        <w:rPr>
          <w:lang w:val="lt-LT"/>
        </w:rPr>
        <w:t xml:space="preserve">Tiekėjui </w:t>
      </w:r>
      <w:r w:rsidR="00F1237A">
        <w:rPr>
          <w:lang w:val="lt-LT"/>
        </w:rPr>
        <w:t xml:space="preserve">sutarties vykdymo laikotarpiu taikyti </w:t>
      </w:r>
      <w:r w:rsidR="00282BCD">
        <w:rPr>
          <w:lang w:val="lt-LT"/>
        </w:rPr>
        <w:t xml:space="preserve">konkrečias </w:t>
      </w:r>
      <w:r w:rsidR="00F1237A">
        <w:rPr>
          <w:lang w:val="lt-LT"/>
        </w:rPr>
        <w:t>aplinkos apsa</w:t>
      </w:r>
      <w:r w:rsidR="00423EEE">
        <w:rPr>
          <w:lang w:val="lt-LT"/>
        </w:rPr>
        <w:t>ugos vadybos priemones</w:t>
      </w:r>
      <w:r w:rsidR="003D3A61">
        <w:rPr>
          <w:lang w:val="lt-LT"/>
        </w:rPr>
        <w:t xml:space="preserve">. </w:t>
      </w:r>
      <w:r w:rsidR="00E316A4">
        <w:rPr>
          <w:lang w:val="lt-LT"/>
        </w:rPr>
        <w:t>Kaip atitiktį įrodančių doku</w:t>
      </w:r>
      <w:r w:rsidR="00F749A1">
        <w:rPr>
          <w:lang w:val="lt-LT"/>
        </w:rPr>
        <w:t>me</w:t>
      </w:r>
      <w:r w:rsidR="00E316A4">
        <w:rPr>
          <w:lang w:val="lt-LT"/>
        </w:rPr>
        <w:t>ntų prašoma pateikti „</w:t>
      </w:r>
      <w:r w:rsidR="00F749A1" w:rsidRPr="00F749A1">
        <w:rPr>
          <w:lang w:val="lt-LT"/>
        </w:rPr>
        <w:t xml:space="preserve">Aplinkos apsaugos vadybos priemonių, kurias tiekėjas galės taikyti vykdydamas sutartį, apibūdinimas, įrodantis, kad tiekėjas, sutarties vykdymo metu galės taikyti nustatytas aplinkos apsaugos priemones (šių </w:t>
      </w:r>
      <w:r w:rsidR="00F749A1" w:rsidRPr="00D650EE">
        <w:rPr>
          <w:b/>
          <w:bCs/>
          <w:lang w:val="lt-LT"/>
        </w:rPr>
        <w:t>vadybos priemonių taikymo aprašymas, arba nepriklausomų įstaigų išduoti sertifikatai, patvirtinantys, kad tiekėjas laikosi reikalaujamų aplinkos apsaugos priemonių</w:t>
      </w:r>
      <w:r w:rsidR="00F749A1" w:rsidRPr="00F749A1">
        <w:rPr>
          <w:lang w:val="lt-LT"/>
        </w:rPr>
        <w:t xml:space="preserve"> ir pan.)</w:t>
      </w:r>
      <w:r w:rsidR="00F749A1">
        <w:rPr>
          <w:lang w:val="lt-LT"/>
        </w:rPr>
        <w:t>“</w:t>
      </w:r>
      <w:r w:rsidR="00F749A1" w:rsidRPr="00F749A1">
        <w:rPr>
          <w:lang w:val="lt-LT"/>
        </w:rPr>
        <w:t>.</w:t>
      </w:r>
    </w:p>
    <w:p w14:paraId="3072D6C0" w14:textId="47B799B6" w:rsidR="00F16EC8" w:rsidRDefault="00F749A1" w:rsidP="00F16EC8">
      <w:pPr>
        <w:rPr>
          <w:b/>
          <w:bCs/>
          <w:lang w:val="lt"/>
        </w:rPr>
      </w:pPr>
      <w:r>
        <w:rPr>
          <w:lang w:val="lt-LT"/>
        </w:rPr>
        <w:t xml:space="preserve">Atkreiptinas dėmesys, jog </w:t>
      </w:r>
      <w:r w:rsidR="001E6506">
        <w:rPr>
          <w:lang w:val="lt-LT"/>
        </w:rPr>
        <w:t>Kvalifikacijos reikalavimų lentelės „</w:t>
      </w:r>
      <w:r w:rsidR="00F16EC8" w:rsidRPr="00F16EC8">
        <w:rPr>
          <w:lang w:val="lt-LT"/>
        </w:rPr>
        <w:t>Tiekėjams keliami reikalavimai dėl kokybės vadybos sistemos ir (ar) aplinkos apsaugos vadybos sistemos standartų reikalavimai</w:t>
      </w:r>
      <w:r w:rsidR="00F16EC8">
        <w:rPr>
          <w:lang w:val="lt-LT"/>
        </w:rPr>
        <w:t xml:space="preserve">“ 2.1 punkte </w:t>
      </w:r>
      <w:r w:rsidR="00B40650">
        <w:rPr>
          <w:lang w:val="lt-LT"/>
        </w:rPr>
        <w:t>jau yra nu</w:t>
      </w:r>
      <w:r w:rsidR="00963E3F">
        <w:rPr>
          <w:lang w:val="lt-LT"/>
        </w:rPr>
        <w:t>statyta</w:t>
      </w:r>
      <w:r w:rsidR="002F51DD">
        <w:rPr>
          <w:lang w:val="lt-LT"/>
        </w:rPr>
        <w:t>, jog „</w:t>
      </w:r>
      <w:r w:rsidR="000C2592" w:rsidRPr="0023079A">
        <w:rPr>
          <w:b/>
          <w:bCs/>
          <w:lang w:val="lt-LT"/>
        </w:rPr>
        <w:t xml:space="preserve">Perkamiems darbams tiekėjas taiko Europos Sąjungos aplinkos apsaugos vadybos ir audito sistemą (angl. </w:t>
      </w:r>
      <w:proofErr w:type="spellStart"/>
      <w:r w:rsidR="000C2592" w:rsidRPr="0023079A">
        <w:rPr>
          <w:b/>
          <w:bCs/>
          <w:lang w:val="lt-LT"/>
        </w:rPr>
        <w:t>Eco</w:t>
      </w:r>
      <w:proofErr w:type="spellEnd"/>
      <w:r w:rsidR="000C2592" w:rsidRPr="0023079A">
        <w:rPr>
          <w:b/>
          <w:bCs/>
          <w:lang w:val="lt-LT"/>
        </w:rPr>
        <w:t>–</w:t>
      </w:r>
      <w:proofErr w:type="spellStart"/>
      <w:r w:rsidR="000C2592" w:rsidRPr="0023079A">
        <w:rPr>
          <w:b/>
          <w:bCs/>
          <w:lang w:val="lt-LT"/>
        </w:rPr>
        <w:t>Management</w:t>
      </w:r>
      <w:proofErr w:type="spellEnd"/>
      <w:r w:rsidR="000C2592" w:rsidRPr="0023079A">
        <w:rPr>
          <w:b/>
          <w:bCs/>
          <w:lang w:val="lt-LT"/>
        </w:rPr>
        <w:t xml:space="preserve"> </w:t>
      </w:r>
      <w:proofErr w:type="spellStart"/>
      <w:r w:rsidR="000C2592" w:rsidRPr="0023079A">
        <w:rPr>
          <w:b/>
          <w:bCs/>
          <w:lang w:val="lt-LT"/>
        </w:rPr>
        <w:t>and</w:t>
      </w:r>
      <w:proofErr w:type="spellEnd"/>
      <w:r w:rsidR="000C2592" w:rsidRPr="0023079A">
        <w:rPr>
          <w:b/>
          <w:bCs/>
          <w:lang w:val="lt-LT"/>
        </w:rPr>
        <w:t xml:space="preserve"> </w:t>
      </w:r>
      <w:proofErr w:type="spellStart"/>
      <w:r w:rsidR="000C2592" w:rsidRPr="0023079A">
        <w:rPr>
          <w:b/>
          <w:bCs/>
          <w:lang w:val="lt-LT"/>
        </w:rPr>
        <w:t>Audit</w:t>
      </w:r>
      <w:proofErr w:type="spellEnd"/>
      <w:r w:rsidR="000C2592" w:rsidRPr="0023079A">
        <w:rPr>
          <w:b/>
          <w:bCs/>
          <w:lang w:val="lt-LT"/>
        </w:rPr>
        <w:t xml:space="preserve"> </w:t>
      </w:r>
      <w:proofErr w:type="spellStart"/>
      <w:r w:rsidR="000C2592" w:rsidRPr="0023079A">
        <w:rPr>
          <w:b/>
          <w:bCs/>
          <w:lang w:val="lt-LT"/>
        </w:rPr>
        <w:t>Scheme</w:t>
      </w:r>
      <w:proofErr w:type="spellEnd"/>
      <w:r w:rsidR="000C2592" w:rsidRPr="0023079A">
        <w:rPr>
          <w:b/>
          <w:bCs/>
          <w:lang w:val="lt-LT"/>
        </w:rPr>
        <w:t>, EMAS) arba kitas aplinkos apsaugos vadybos sistemas</w:t>
      </w:r>
      <w:r w:rsidR="0043289C">
        <w:rPr>
          <w:b/>
          <w:bCs/>
          <w:lang w:val="lt-LT"/>
        </w:rPr>
        <w:t xml:space="preserve"> </w:t>
      </w:r>
      <w:r w:rsidR="000C2592">
        <w:rPr>
          <w:lang w:val="lt-LT"/>
        </w:rPr>
        <w:t xml:space="preserve">&lt;...&gt;“ ir </w:t>
      </w:r>
      <w:r w:rsidR="00FA68E5">
        <w:rPr>
          <w:lang w:val="lt-LT"/>
        </w:rPr>
        <w:t>Tiekėjo prašoma pateikti</w:t>
      </w:r>
      <w:r w:rsidR="000C2592">
        <w:rPr>
          <w:lang w:val="lt-LT"/>
        </w:rPr>
        <w:t xml:space="preserve"> „</w:t>
      </w:r>
      <w:r w:rsidR="00CA44DC" w:rsidRPr="00CA44DC">
        <w:rPr>
          <w:lang w:val="lt-LT"/>
        </w:rPr>
        <w:t xml:space="preserve">Nepriklausomos įstaigos išduoto </w:t>
      </w:r>
      <w:r w:rsidR="00CA44DC" w:rsidRPr="00CA44DC">
        <w:rPr>
          <w:u w:val="single"/>
          <w:lang w:val="lt-LT"/>
        </w:rPr>
        <w:t>galiojančio</w:t>
      </w:r>
      <w:r w:rsidR="00CA44DC" w:rsidRPr="00CA44DC">
        <w:rPr>
          <w:lang w:val="lt-LT"/>
        </w:rPr>
        <w:t xml:space="preserve"> sertifikato</w:t>
      </w:r>
      <w:r w:rsidR="0043289C">
        <w:rPr>
          <w:lang w:val="lt-LT"/>
        </w:rPr>
        <w:t xml:space="preserve"> </w:t>
      </w:r>
      <w:r w:rsidR="00CA44DC">
        <w:rPr>
          <w:lang w:val="lt-LT"/>
        </w:rPr>
        <w:t>&lt;...&gt;</w:t>
      </w:r>
      <w:r w:rsidR="00854CA0" w:rsidRPr="00854CA0">
        <w:rPr>
          <w:rFonts w:eastAsiaTheme="minorEastAsia"/>
          <w:color w:val="000000"/>
          <w:kern w:val="0"/>
          <w:lang w:val="lt-LT" w:eastAsia="lt-LT"/>
          <w14:ligatures w14:val="none"/>
        </w:rPr>
        <w:t xml:space="preserve"> </w:t>
      </w:r>
      <w:r w:rsidR="00854CA0" w:rsidRPr="00854CA0">
        <w:rPr>
          <w:lang w:val="lt-LT"/>
        </w:rPr>
        <w:t>pripažįsta lygiaverčius sertifikatus</w:t>
      </w:r>
      <w:r w:rsidR="0043289C">
        <w:rPr>
          <w:lang w:val="lt-LT"/>
        </w:rPr>
        <w:t xml:space="preserve"> </w:t>
      </w:r>
      <w:r w:rsidR="00854CA0" w:rsidRPr="002A303A">
        <w:rPr>
          <w:lang w:val="lt-LT"/>
        </w:rPr>
        <w:t>&lt;...&gt;</w:t>
      </w:r>
      <w:r w:rsidR="002A303A" w:rsidRPr="002A303A">
        <w:rPr>
          <w:rFonts w:eastAsiaTheme="minorEastAsia"/>
          <w:color w:val="000000"/>
          <w:kern w:val="0"/>
          <w:lang w:val="lt-LT" w:eastAsia="lt-LT"/>
          <w14:ligatures w14:val="none"/>
        </w:rPr>
        <w:t xml:space="preserve"> </w:t>
      </w:r>
      <w:r w:rsidR="002A303A" w:rsidRPr="002A303A">
        <w:rPr>
          <w:lang w:val="lt-LT"/>
        </w:rPr>
        <w:t>Taip pat priima ir kitus lygiaverčius aplinkosaugos vadybos priemonių įrodymus</w:t>
      </w:r>
      <w:r w:rsidR="0043289C">
        <w:rPr>
          <w:lang w:val="lt-LT"/>
        </w:rPr>
        <w:t xml:space="preserve"> </w:t>
      </w:r>
      <w:r w:rsidR="002A303A">
        <w:rPr>
          <w:lang w:val="lt-LT"/>
        </w:rPr>
        <w:t>&lt;...&gt;</w:t>
      </w:r>
      <w:r w:rsidR="00282BCD" w:rsidRPr="00282BCD">
        <w:rPr>
          <w:rFonts w:eastAsiaTheme="minorEastAsia"/>
          <w:kern w:val="0"/>
          <w:lang w:val="lt-LT" w:eastAsia="lt-LT"/>
          <w14:ligatures w14:val="none"/>
        </w:rPr>
        <w:t xml:space="preserve"> </w:t>
      </w:r>
      <w:r w:rsidR="00282BCD" w:rsidRPr="00282BCD">
        <w:rPr>
          <w:lang w:val="lt-LT"/>
        </w:rPr>
        <w:t xml:space="preserve">Perkančioji organizacija priima ir kitus tiekėjo lygiaverčių </w:t>
      </w:r>
      <w:r w:rsidR="00282BCD" w:rsidRPr="0023079A">
        <w:rPr>
          <w:b/>
          <w:bCs/>
          <w:lang w:val="lt-LT"/>
        </w:rPr>
        <w:t>aplinkos apsaugos vadybos užtikrinimo priemonių įrodymus</w:t>
      </w:r>
      <w:r w:rsidR="00282BCD" w:rsidRPr="00282BCD">
        <w:rPr>
          <w:lang w:val="lt-LT"/>
        </w:rPr>
        <w:t>, kurie patvirtintų, kad jo siūlomos aplinkos apsaugos vadybos užtikrinimo priemonės atitinka reikalaujamus aplinkos apsaugos vadybos sistemos standartus</w:t>
      </w:r>
      <w:r w:rsidR="00282BCD">
        <w:rPr>
          <w:lang w:val="lt-LT"/>
        </w:rPr>
        <w:t>“</w:t>
      </w:r>
      <w:r w:rsidR="006765B7">
        <w:rPr>
          <w:lang w:val="lt-LT"/>
        </w:rPr>
        <w:t xml:space="preserve">, t. y. </w:t>
      </w:r>
      <w:r w:rsidR="006765B7" w:rsidRPr="006765B7">
        <w:rPr>
          <w:lang w:val="lt"/>
        </w:rPr>
        <w:t xml:space="preserve">aplinkos apsaugos </w:t>
      </w:r>
      <w:r w:rsidR="006765B7" w:rsidRPr="006765B7">
        <w:rPr>
          <w:lang w:val="lt"/>
        </w:rPr>
        <w:lastRenderedPageBreak/>
        <w:t xml:space="preserve">vadybos sistemos reikalavimai </w:t>
      </w:r>
      <w:r w:rsidR="00963E3F">
        <w:rPr>
          <w:lang w:val="lt"/>
        </w:rPr>
        <w:t xml:space="preserve">jau </w:t>
      </w:r>
      <w:r w:rsidR="006765B7" w:rsidRPr="006765B7">
        <w:rPr>
          <w:lang w:val="lt"/>
        </w:rPr>
        <w:t xml:space="preserve">taikomi </w:t>
      </w:r>
      <w:r w:rsidR="006765B7" w:rsidRPr="006765B7">
        <w:rPr>
          <w:b/>
          <w:bCs/>
          <w:lang w:val="lt"/>
        </w:rPr>
        <w:t>visa apimtimi</w:t>
      </w:r>
      <w:r w:rsidR="00FE5448">
        <w:rPr>
          <w:b/>
          <w:bCs/>
          <w:lang w:val="lt"/>
        </w:rPr>
        <w:t xml:space="preserve"> </w:t>
      </w:r>
      <w:r w:rsidR="00FE5448" w:rsidRPr="00D31F28">
        <w:rPr>
          <w:lang w:val="lt"/>
        </w:rPr>
        <w:t xml:space="preserve">ir </w:t>
      </w:r>
      <w:r w:rsidR="008A602F" w:rsidRPr="00D31F28">
        <w:rPr>
          <w:lang w:val="lt"/>
        </w:rPr>
        <w:t xml:space="preserve">dubliuoja Kvalifikacijos reikalavime numatytas priemones bei </w:t>
      </w:r>
      <w:r w:rsidR="00DE5853">
        <w:rPr>
          <w:lang w:val="lt"/>
        </w:rPr>
        <w:t>atitiktį reikalavimui įrodančius dokum</w:t>
      </w:r>
      <w:r w:rsidR="001B1D5E">
        <w:rPr>
          <w:lang w:val="lt"/>
        </w:rPr>
        <w:t>e</w:t>
      </w:r>
      <w:r w:rsidR="00DE5853">
        <w:rPr>
          <w:lang w:val="lt"/>
        </w:rPr>
        <w:t>ntus</w:t>
      </w:r>
      <w:r w:rsidR="006765B7" w:rsidRPr="00D31F28">
        <w:rPr>
          <w:lang w:val="lt"/>
        </w:rPr>
        <w:t>.</w:t>
      </w:r>
    </w:p>
    <w:p w14:paraId="05048BFD" w14:textId="4B4D294A" w:rsidR="00CF53C2" w:rsidRDefault="003A191A" w:rsidP="00F16EC8">
      <w:pPr>
        <w:rPr>
          <w:lang w:val="lt-LT"/>
        </w:rPr>
      </w:pPr>
      <w:r w:rsidRPr="00060247">
        <w:rPr>
          <w:lang w:val="lt"/>
        </w:rPr>
        <w:t xml:space="preserve">Atsižvelgiant į nurodytą, </w:t>
      </w:r>
      <w:r w:rsidR="00F92167" w:rsidRPr="00060247">
        <w:rPr>
          <w:lang w:val="lt"/>
        </w:rPr>
        <w:t xml:space="preserve">Tarnyba rekomenduoja </w:t>
      </w:r>
      <w:r w:rsidR="00BC670A" w:rsidRPr="00060247">
        <w:rPr>
          <w:lang w:val="lt"/>
        </w:rPr>
        <w:t xml:space="preserve">atsisakyti </w:t>
      </w:r>
      <w:r w:rsidR="005A6E10" w:rsidRPr="00060247">
        <w:rPr>
          <w:lang w:val="lt"/>
        </w:rPr>
        <w:t>Kvalifikacinio</w:t>
      </w:r>
      <w:r w:rsidR="00F92167" w:rsidRPr="00060247">
        <w:rPr>
          <w:lang w:val="lt"/>
        </w:rPr>
        <w:t xml:space="preserve"> reikalavim</w:t>
      </w:r>
      <w:r w:rsidR="00060247" w:rsidRPr="00060247">
        <w:rPr>
          <w:lang w:val="lt"/>
        </w:rPr>
        <w:t>o</w:t>
      </w:r>
      <w:r w:rsidR="00F92167" w:rsidRPr="00060247">
        <w:rPr>
          <w:lang w:val="lt"/>
        </w:rPr>
        <w:t xml:space="preserve"> dėl konkrečių aplinkos apsaugos vadybos priemonių taikymo</w:t>
      </w:r>
      <w:r w:rsidR="00A550F7" w:rsidRPr="00060247">
        <w:rPr>
          <w:lang w:val="lt"/>
        </w:rPr>
        <w:t xml:space="preserve">, kadangi </w:t>
      </w:r>
      <w:r w:rsidR="00762567" w:rsidRPr="00060247">
        <w:rPr>
          <w:lang w:val="lt"/>
        </w:rPr>
        <w:t>jau yra numatyti aplinkos apsaugos vadybos sistemos reikalavimai</w:t>
      </w:r>
      <w:r w:rsidR="00762567" w:rsidRPr="00762567">
        <w:rPr>
          <w:b/>
          <w:bCs/>
          <w:lang w:val="lt"/>
        </w:rPr>
        <w:t xml:space="preserve"> visai perkamų darbų apimčiai</w:t>
      </w:r>
      <w:r w:rsidR="00BE27C6" w:rsidRPr="00060247">
        <w:rPr>
          <w:lang w:val="lt"/>
        </w:rPr>
        <w:t xml:space="preserve">, o </w:t>
      </w:r>
      <w:r w:rsidR="00060247">
        <w:rPr>
          <w:lang w:val="lt"/>
        </w:rPr>
        <w:t>tokias priemon</w:t>
      </w:r>
      <w:r w:rsidR="00F320D8">
        <w:rPr>
          <w:lang w:val="lt"/>
        </w:rPr>
        <w:t>ė</w:t>
      </w:r>
      <w:r w:rsidR="00060247">
        <w:rPr>
          <w:lang w:val="lt"/>
        </w:rPr>
        <w:t>s kaip</w:t>
      </w:r>
      <w:r w:rsidR="003875C6">
        <w:rPr>
          <w:lang w:val="lt"/>
        </w:rPr>
        <w:t>:</w:t>
      </w:r>
      <w:r w:rsidR="00BE27C6" w:rsidRPr="00060247">
        <w:rPr>
          <w:lang w:val="lt"/>
        </w:rPr>
        <w:t xml:space="preserve"> „</w:t>
      </w:r>
      <w:r w:rsidR="00902C90" w:rsidRPr="00060247">
        <w:rPr>
          <w:lang w:val="lt-LT"/>
        </w:rPr>
        <w:t>paskirti kvalifikuotą asmenį, atsakingą už aplinkos apsaugos priemonių įgyvendinimą,  periodiškai teikti informaciją užsakovui apie  objekto ekologinę būklę ir įgyvendinamas aplinkos apsaugos priemones</w:t>
      </w:r>
      <w:r w:rsidR="004966B0" w:rsidRPr="00060247">
        <w:rPr>
          <w:lang w:val="lt-LT"/>
        </w:rPr>
        <w:t xml:space="preserve">“ </w:t>
      </w:r>
      <w:r w:rsidR="00F605B8">
        <w:rPr>
          <w:lang w:val="lt-LT"/>
        </w:rPr>
        <w:t>nusimatyti</w:t>
      </w:r>
      <w:r w:rsidR="004966B0" w:rsidRPr="00060247">
        <w:rPr>
          <w:lang w:val="lt-LT"/>
        </w:rPr>
        <w:t xml:space="preserve">, kaip sutarties </w:t>
      </w:r>
      <w:r w:rsidR="00EA1F76" w:rsidRPr="00060247">
        <w:rPr>
          <w:lang w:val="lt-LT"/>
        </w:rPr>
        <w:t xml:space="preserve">vykdymo sąlyga, t. y. </w:t>
      </w:r>
      <w:r w:rsidR="000E6AA2" w:rsidRPr="000E6AA2">
        <w:rPr>
          <w:lang w:val="lt-LT"/>
        </w:rPr>
        <w:t xml:space="preserve">pirkimo vykdytojas sutarties vykdymo metu turi prižiūrėti kaip tiekėjas laikosi pirkimo dokumentuose nustatytų reikalavimų. Tam pirkimo vykdytojas sutartyje turi nustatyti aplinkos apsaugos vadybos sistemos standartų reikalavimų </w:t>
      </w:r>
      <w:r w:rsidR="0071641A">
        <w:rPr>
          <w:lang w:val="lt-LT"/>
        </w:rPr>
        <w:t xml:space="preserve">ar </w:t>
      </w:r>
      <w:r w:rsidR="00AF78CC">
        <w:rPr>
          <w:lang w:val="lt-LT"/>
        </w:rPr>
        <w:t xml:space="preserve">tiekėjo pasiūlyme nurodytų </w:t>
      </w:r>
      <w:r w:rsidR="0071641A" w:rsidRPr="00282BCD">
        <w:rPr>
          <w:lang w:val="lt-LT"/>
        </w:rPr>
        <w:t xml:space="preserve">lygiaverčių </w:t>
      </w:r>
      <w:r w:rsidR="0071641A" w:rsidRPr="004A1485">
        <w:rPr>
          <w:lang w:val="lt-LT"/>
        </w:rPr>
        <w:t xml:space="preserve">aplinkos apsaugos vadybos užtikrinimo priemonių </w:t>
      </w:r>
      <w:r w:rsidR="000E6AA2" w:rsidRPr="000E6AA2">
        <w:rPr>
          <w:lang w:val="lt-LT"/>
        </w:rPr>
        <w:t xml:space="preserve">įgyvendinimo priežiūros ir kontrolės </w:t>
      </w:r>
      <w:r w:rsidR="008D614A">
        <w:rPr>
          <w:lang w:val="lt-LT"/>
        </w:rPr>
        <w:t xml:space="preserve">mechanizmus </w:t>
      </w:r>
      <w:r w:rsidR="00C74E75">
        <w:rPr>
          <w:lang w:val="lt-LT"/>
        </w:rPr>
        <w:t>bei</w:t>
      </w:r>
      <w:r w:rsidR="008D614A" w:rsidRPr="008D614A">
        <w:rPr>
          <w:lang w:val="lt-LT"/>
        </w:rPr>
        <w:t xml:space="preserve"> sankcijų mechanizm</w:t>
      </w:r>
      <w:r w:rsidR="00C74E75">
        <w:rPr>
          <w:lang w:val="lt-LT"/>
        </w:rPr>
        <w:t>ą</w:t>
      </w:r>
      <w:r w:rsidR="008D614A" w:rsidRPr="008D614A">
        <w:rPr>
          <w:lang w:val="lt-LT"/>
        </w:rPr>
        <w:t>, jeigu tiekėjas šios pareigos nevykdys</w:t>
      </w:r>
      <w:r w:rsidR="000E6AA2" w:rsidRPr="000E6AA2">
        <w:rPr>
          <w:lang w:val="lt-LT"/>
        </w:rPr>
        <w:t xml:space="preserve">. </w:t>
      </w:r>
    </w:p>
    <w:p w14:paraId="6774CA9E" w14:textId="02DC83C4" w:rsidR="00E73400" w:rsidRDefault="000E6AA2" w:rsidP="00F16EC8">
      <w:pPr>
        <w:rPr>
          <w:lang w:val="lt-LT"/>
        </w:rPr>
      </w:pPr>
      <w:r w:rsidRPr="000E6AA2">
        <w:rPr>
          <w:lang w:val="lt-LT"/>
        </w:rPr>
        <w:t xml:space="preserve">Tarnybos rekomendacijas dėl aplinkos apsaugos vadybos sistemos standartų reikalavimų laikymosi patikros sutarties vykdymo metu galite rasti Tarnybos pranešime </w:t>
      </w:r>
      <w:hyperlink r:id="rId16" w:history="1">
        <w:r w:rsidRPr="00740A26">
          <w:rPr>
            <w:rStyle w:val="Hyperlink"/>
            <w:lang w:val="lt-LT"/>
          </w:rPr>
          <w:t>Aplinkos apsaugos vadybos sistemos</w:t>
        </w:r>
      </w:hyperlink>
      <w:r w:rsidRPr="000E6AA2">
        <w:rPr>
          <w:lang w:val="lt-LT"/>
        </w:rPr>
        <w:t xml:space="preserve"> (žr. 18-19 psl.)</w:t>
      </w:r>
    </w:p>
    <w:p w14:paraId="11B1A75D" w14:textId="088CB81D" w:rsidR="00E73400" w:rsidRDefault="007E5CA5" w:rsidP="00ED0795">
      <w:pPr>
        <w:spacing w:after="0"/>
        <w:rPr>
          <w:lang w:val="lt-LT" w:bidi="lt-LT"/>
        </w:rPr>
      </w:pPr>
      <w:r>
        <w:rPr>
          <w:b/>
          <w:bCs/>
          <w:lang w:val="lt-LT"/>
        </w:rPr>
        <w:t>4</w:t>
      </w:r>
      <w:r w:rsidR="00E73400" w:rsidRPr="00EF28D3">
        <w:rPr>
          <w:b/>
          <w:bCs/>
          <w:lang w:val="lt-LT"/>
        </w:rPr>
        <w:t>.9.</w:t>
      </w:r>
      <w:r w:rsidR="00E73400">
        <w:rPr>
          <w:lang w:val="lt-LT"/>
        </w:rPr>
        <w:t xml:space="preserve"> </w:t>
      </w:r>
      <w:r w:rsidR="00E73400" w:rsidRPr="00E73400">
        <w:rPr>
          <w:lang w:val="lt-LT"/>
        </w:rPr>
        <w:t xml:space="preserve">Kvalifikacijos reikalavimų lentelės „Tiekėjams keliami reikalavimai dėl kokybės vadybos sistemos ir (ar) aplinkos apsaugos vadybos sistemos standartų reikalavimai“ </w:t>
      </w:r>
      <w:r w:rsidR="00E73400">
        <w:rPr>
          <w:lang w:val="lt-LT"/>
        </w:rPr>
        <w:t>1</w:t>
      </w:r>
      <w:r w:rsidR="00E73400" w:rsidRPr="00E73400">
        <w:rPr>
          <w:lang w:val="lt-LT"/>
        </w:rPr>
        <w:t xml:space="preserve">.1 punkte </w:t>
      </w:r>
      <w:r w:rsidR="0085567B">
        <w:rPr>
          <w:lang w:val="lt-LT"/>
        </w:rPr>
        <w:t>nustatytas reikalavimas: „</w:t>
      </w:r>
      <w:r w:rsidR="00EF28D3" w:rsidRPr="00EF28D3">
        <w:rPr>
          <w:lang w:val="lt-LT" w:bidi="lt-LT"/>
        </w:rPr>
        <w:t xml:space="preserve">Tiekėjas turi užtikrinti kokybės vadybos sistemos standartų laikymąsi įmonėje, </w:t>
      </w:r>
      <w:r w:rsidR="00EF28D3" w:rsidRPr="00EF28D3">
        <w:rPr>
          <w:b/>
          <w:bCs/>
          <w:lang w:val="lt-LT" w:bidi="lt-LT"/>
        </w:rPr>
        <w:t>turi būti įsidiegęs kokybės vadybos sistemą</w:t>
      </w:r>
      <w:r w:rsidR="00EF28D3" w:rsidRPr="00EF28D3">
        <w:rPr>
          <w:lang w:val="lt-LT" w:bidi="lt-LT"/>
        </w:rPr>
        <w:t>, atitinkančią ISO 9001 (LST EN ISO 9001) arba lygiavertę</w:t>
      </w:r>
      <w:r w:rsidR="00EF28D3">
        <w:rPr>
          <w:lang w:val="lt-LT" w:bidi="lt-LT"/>
        </w:rPr>
        <w:t xml:space="preserve">“. </w:t>
      </w:r>
    </w:p>
    <w:p w14:paraId="3DDAF458" w14:textId="7F575C81" w:rsidR="005C0CBE" w:rsidRDefault="00211752" w:rsidP="00B12D1E">
      <w:pPr>
        <w:spacing w:after="0"/>
        <w:rPr>
          <w:lang w:val="lt-LT"/>
        </w:rPr>
      </w:pPr>
      <w:r w:rsidRPr="00211752">
        <w:rPr>
          <w:lang w:val="lt-LT" w:bidi="lt-LT"/>
        </w:rPr>
        <w:t>Prašome paaiškinti ir pagrįsti reikalavimo dėl kokybės vadybos sistemos ISO 9001 būtinumą ir proporcingumą Pirkimo objektui, t. y. nurodyti kodėl šie reikalavimai nustatyti (būtini) ir kaip jie susiję su Pirkimo objektu ir tiekėjo prievolėms įvykdyti sutartinius įsipareigojimus? Ar Perkančioji organizacija įsivertinto, jog nustatyti reikalavimai neriboja konkurencijos?</w:t>
      </w:r>
    </w:p>
    <w:p w14:paraId="6142D718" w14:textId="77777777" w:rsidR="00B12D1E" w:rsidRPr="005C0CBE" w:rsidRDefault="00B12D1E" w:rsidP="00B12D1E">
      <w:pPr>
        <w:spacing w:after="0"/>
        <w:rPr>
          <w:lang w:val="lt-LT"/>
        </w:rPr>
      </w:pPr>
    </w:p>
    <w:p w14:paraId="13DCAD70" w14:textId="77777777" w:rsidR="005C0CBE" w:rsidRDefault="005C0CBE" w:rsidP="005C0CBE">
      <w:pPr>
        <w:numPr>
          <w:ilvl w:val="0"/>
          <w:numId w:val="1"/>
        </w:numPr>
        <w:rPr>
          <w:b/>
          <w:bCs/>
          <w:lang w:val="lt-LT"/>
        </w:rPr>
      </w:pPr>
      <w:r w:rsidRPr="005C0CBE">
        <w:rPr>
          <w:b/>
          <w:bCs/>
          <w:lang w:val="lt-LT"/>
        </w:rPr>
        <w:t>Dėl Sutarties projekto nuostatų</w:t>
      </w:r>
    </w:p>
    <w:p w14:paraId="284623CA" w14:textId="462683A2" w:rsidR="007A6D94" w:rsidRPr="00A95734" w:rsidRDefault="007432BB" w:rsidP="00BA2C70">
      <w:pPr>
        <w:rPr>
          <w:lang w:val="lt-LT"/>
        </w:rPr>
      </w:pPr>
      <w:r w:rsidRPr="007432BB">
        <w:rPr>
          <w:b/>
          <w:bCs/>
          <w:lang w:val="lt-LT"/>
        </w:rPr>
        <w:t>5.1.</w:t>
      </w:r>
      <w:r>
        <w:rPr>
          <w:lang w:val="lt-LT"/>
        </w:rPr>
        <w:t xml:space="preserve"> </w:t>
      </w:r>
      <w:bookmarkStart w:id="13" w:name="_Toc126333948"/>
      <w:bookmarkStart w:id="14" w:name="_Toc202794144"/>
      <w:r w:rsidRPr="007432BB">
        <w:rPr>
          <w:lang w:val="lt-LT"/>
        </w:rPr>
        <w:t>Pirkimo sąlygų 10 pried</w:t>
      </w:r>
      <w:r>
        <w:rPr>
          <w:lang w:val="lt-LT"/>
        </w:rPr>
        <w:t>o</w:t>
      </w:r>
      <w:r w:rsidRPr="007432BB">
        <w:rPr>
          <w:lang w:val="lt-LT"/>
        </w:rPr>
        <w:t xml:space="preserve"> „Preliminarios sutarties projektas“</w:t>
      </w:r>
      <w:bookmarkEnd w:id="13"/>
      <w:bookmarkEnd w:id="14"/>
      <w:r w:rsidR="00D73156" w:rsidRPr="007432BB">
        <w:rPr>
          <w:lang w:val="lt-LT"/>
        </w:rPr>
        <w:t xml:space="preserve"> 7.1. punkte nustatyta, jog „Rangovas įsipareigoja: kiekvienai rangos darbų (pagrindinei) sutarčiai per 5 dienas nuo jos pasirašymo pateikti jos įvykdymo užtikrinimą – </w:t>
      </w:r>
      <w:r w:rsidR="00D73156" w:rsidRPr="00EA6B5B">
        <w:rPr>
          <w:b/>
          <w:bCs/>
          <w:lang w:val="lt-LT"/>
        </w:rPr>
        <w:t>Lietuvos Respublikoje ar užsienyje registruoto banko garantiją arba draudimo bendrovės laidavimą</w:t>
      </w:r>
      <w:r w:rsidR="00D73156" w:rsidRPr="007432BB">
        <w:rPr>
          <w:lang w:val="lt-LT"/>
        </w:rPr>
        <w:t>.</w:t>
      </w:r>
      <w:r w:rsidR="009D22EF">
        <w:rPr>
          <w:lang w:val="lt-LT"/>
        </w:rPr>
        <w:t xml:space="preserve"> Atkreiptinas dėmesys, jog </w:t>
      </w:r>
      <w:r w:rsidR="005C06BD">
        <w:rPr>
          <w:lang w:val="lt-LT"/>
        </w:rPr>
        <w:t>P</w:t>
      </w:r>
      <w:r w:rsidR="009D22EF">
        <w:rPr>
          <w:lang w:val="lt-LT"/>
        </w:rPr>
        <w:t>agrindinės sutarties specialiųjų sąlygų 14.1 papunktyje pažymėta</w:t>
      </w:r>
      <w:r w:rsidR="005C06BD">
        <w:rPr>
          <w:lang w:val="lt-LT"/>
        </w:rPr>
        <w:t xml:space="preserve">, </w:t>
      </w:r>
      <w:r w:rsidR="00717EFA">
        <w:rPr>
          <w:lang w:val="lt-LT"/>
        </w:rPr>
        <w:t>k</w:t>
      </w:r>
      <w:r w:rsidR="005C06BD">
        <w:rPr>
          <w:lang w:val="lt-LT"/>
        </w:rPr>
        <w:t xml:space="preserve">ad </w:t>
      </w:r>
      <w:r w:rsidR="00C36AC7">
        <w:rPr>
          <w:lang w:val="lt-LT"/>
        </w:rPr>
        <w:t xml:space="preserve">kaip </w:t>
      </w:r>
      <w:r w:rsidR="00717EFA">
        <w:rPr>
          <w:lang w:val="lt-LT"/>
        </w:rPr>
        <w:t xml:space="preserve">Sutarties įvykdymo užtikrinimas </w:t>
      </w:r>
      <w:r w:rsidR="00C36AC7">
        <w:rPr>
          <w:lang w:val="lt-LT"/>
        </w:rPr>
        <w:t>galimas tik</w:t>
      </w:r>
      <w:r w:rsidR="00717EFA">
        <w:rPr>
          <w:lang w:val="lt-LT"/>
        </w:rPr>
        <w:t xml:space="preserve"> </w:t>
      </w:r>
      <w:r w:rsidR="00712442">
        <w:rPr>
          <w:lang w:val="lt-LT"/>
        </w:rPr>
        <w:t>draudimo bendrovės laidavimo draudimo liudijim</w:t>
      </w:r>
      <w:r w:rsidR="00934088">
        <w:rPr>
          <w:lang w:val="lt-LT"/>
        </w:rPr>
        <w:t xml:space="preserve">as. </w:t>
      </w:r>
      <w:r w:rsidR="00A95734" w:rsidRPr="00A95734">
        <w:rPr>
          <w:lang w:val="lt"/>
        </w:rPr>
        <w:t xml:space="preserve">Atsižvelgiant į tai, kad Pirkimo dokumentai turi būti </w:t>
      </w:r>
      <w:r w:rsidR="00061747" w:rsidRPr="00061747">
        <w:rPr>
          <w:lang w:val="lt-LT"/>
        </w:rPr>
        <w:t>tikslūs, aiškūs, be dviprasmybių</w:t>
      </w:r>
      <w:r w:rsidR="00061747" w:rsidRPr="00061747">
        <w:rPr>
          <w:lang w:val="lt"/>
        </w:rPr>
        <w:t xml:space="preserve"> </w:t>
      </w:r>
      <w:r w:rsidR="00A95734" w:rsidRPr="00A95734">
        <w:rPr>
          <w:lang w:val="lt"/>
        </w:rPr>
        <w:lastRenderedPageBreak/>
        <w:t xml:space="preserve">(Įstatymo 35 straipsnio 4 dalis), Tarnyba rekomenduoja tikslinti </w:t>
      </w:r>
      <w:r w:rsidR="00A95734">
        <w:rPr>
          <w:lang w:val="lt"/>
        </w:rPr>
        <w:t>Pagrindinės s</w:t>
      </w:r>
      <w:r w:rsidR="00A95734" w:rsidRPr="00A95734">
        <w:rPr>
          <w:lang w:val="lt"/>
        </w:rPr>
        <w:t xml:space="preserve">utarties projekto nuostatas, pateikiant </w:t>
      </w:r>
      <w:r w:rsidR="00A95734">
        <w:rPr>
          <w:lang w:val="lt"/>
        </w:rPr>
        <w:t>vienodą</w:t>
      </w:r>
      <w:r w:rsidR="00A95734" w:rsidRPr="00A95734">
        <w:rPr>
          <w:lang w:val="lt"/>
        </w:rPr>
        <w:t xml:space="preserve"> informaciją</w:t>
      </w:r>
      <w:r w:rsidR="00A95734">
        <w:rPr>
          <w:lang w:val="lt"/>
        </w:rPr>
        <w:t>.</w:t>
      </w:r>
    </w:p>
    <w:p w14:paraId="0BA12262" w14:textId="12B19966" w:rsidR="00A37FEA" w:rsidRDefault="00C472EF" w:rsidP="00A37FEA">
      <w:pPr>
        <w:ind w:left="720"/>
        <w:rPr>
          <w:b/>
          <w:lang w:val="lt"/>
        </w:rPr>
      </w:pPr>
      <w:r w:rsidRPr="00A37FEA">
        <w:rPr>
          <w:b/>
          <w:lang w:val="lt-LT"/>
        </w:rPr>
        <w:t xml:space="preserve">6. </w:t>
      </w:r>
      <w:r w:rsidR="00A37FEA">
        <w:rPr>
          <w:b/>
          <w:lang w:val="lt-LT"/>
        </w:rPr>
        <w:t xml:space="preserve"> </w:t>
      </w:r>
      <w:r w:rsidR="00A37FEA" w:rsidRPr="00A37FEA">
        <w:rPr>
          <w:b/>
          <w:lang w:val="lt"/>
        </w:rPr>
        <w:t>Dėl kitų Pirkimo sąlygų</w:t>
      </w:r>
    </w:p>
    <w:p w14:paraId="0C92F1AB" w14:textId="4BA4D7BC" w:rsidR="00A37FEA" w:rsidRDefault="00FC18E2" w:rsidP="00FC18E2">
      <w:pPr>
        <w:spacing w:after="0"/>
        <w:rPr>
          <w:bCs/>
          <w:iCs/>
          <w:lang w:val="lt-LT"/>
        </w:rPr>
      </w:pPr>
      <w:r w:rsidRPr="00FC18E2">
        <w:rPr>
          <w:b/>
          <w:lang w:val="lt"/>
        </w:rPr>
        <w:t>6.1.</w:t>
      </w:r>
      <w:r>
        <w:rPr>
          <w:bCs/>
          <w:lang w:val="lt"/>
        </w:rPr>
        <w:t xml:space="preserve"> Pirkimo specialiųjų</w:t>
      </w:r>
      <w:r w:rsidR="00404F8C" w:rsidRPr="00404F8C">
        <w:rPr>
          <w:bCs/>
          <w:lang w:val="lt"/>
        </w:rPr>
        <w:t xml:space="preserve"> sąlygų </w:t>
      </w:r>
      <w:r w:rsidR="004972CA">
        <w:rPr>
          <w:bCs/>
          <w:lang w:val="lt"/>
        </w:rPr>
        <w:t>5 dalyje „</w:t>
      </w:r>
      <w:r w:rsidR="00935770" w:rsidRPr="00935770">
        <w:rPr>
          <w:bCs/>
          <w:lang w:val="lt-LT"/>
        </w:rPr>
        <w:t>Reikalavimai, susiję su nacionaliniu saugumu</w:t>
      </w:r>
      <w:r w:rsidR="00935770">
        <w:rPr>
          <w:bCs/>
          <w:lang w:val="lt-LT"/>
        </w:rPr>
        <w:t>“ nurodyta, jog „</w:t>
      </w:r>
      <w:r w:rsidR="00E84F00" w:rsidRPr="00E84F00">
        <w:rPr>
          <w:bCs/>
          <w:iCs/>
          <w:lang w:val="lt-LT"/>
        </w:rPr>
        <w:t xml:space="preserve">Šio skyriaus </w:t>
      </w:r>
      <w:r w:rsidR="00E84F00" w:rsidRPr="003C0EE8">
        <w:rPr>
          <w:b/>
          <w:iCs/>
          <w:lang w:val="lt-LT"/>
        </w:rPr>
        <w:t>5.3 – 5.4 punktų nuostatos</w:t>
      </w:r>
      <w:r w:rsidR="00E84F00" w:rsidRPr="00E84F00">
        <w:rPr>
          <w:bCs/>
          <w:iCs/>
          <w:lang w:val="lt-LT"/>
        </w:rPr>
        <w:t xml:space="preserve"> taikomos tik mobilizacijos, karo, nepaprastosios padėties atveju&lt;...&gt;“</w:t>
      </w:r>
      <w:r w:rsidR="00E84F00">
        <w:rPr>
          <w:bCs/>
          <w:iCs/>
          <w:lang w:val="lt-LT"/>
        </w:rPr>
        <w:t xml:space="preserve">. </w:t>
      </w:r>
      <w:r w:rsidR="000C789A">
        <w:rPr>
          <w:bCs/>
          <w:iCs/>
          <w:lang w:val="lt-LT"/>
        </w:rPr>
        <w:t>Atkreipiame dėmesį</w:t>
      </w:r>
      <w:r w:rsidR="00E84F00">
        <w:rPr>
          <w:bCs/>
          <w:iCs/>
          <w:lang w:val="lt-LT"/>
        </w:rPr>
        <w:t xml:space="preserve">, jog </w:t>
      </w:r>
      <w:r w:rsidR="00A70897">
        <w:rPr>
          <w:bCs/>
          <w:iCs/>
          <w:lang w:val="lt-LT"/>
        </w:rPr>
        <w:t xml:space="preserve">Pirkimo sąlygose </w:t>
      </w:r>
      <w:r w:rsidR="00E33C53">
        <w:rPr>
          <w:bCs/>
          <w:iCs/>
          <w:lang w:val="lt-LT"/>
        </w:rPr>
        <w:t>šių punktų nėra, todėl neaišku</w:t>
      </w:r>
      <w:r w:rsidR="000C789A">
        <w:rPr>
          <w:bCs/>
          <w:iCs/>
          <w:lang w:val="lt-LT"/>
        </w:rPr>
        <w:t xml:space="preserve">, kokios </w:t>
      </w:r>
      <w:r w:rsidR="005F3B94">
        <w:rPr>
          <w:bCs/>
          <w:iCs/>
          <w:lang w:val="lt-LT"/>
        </w:rPr>
        <w:t xml:space="preserve">tai </w:t>
      </w:r>
      <w:r w:rsidR="000C789A">
        <w:rPr>
          <w:bCs/>
          <w:iCs/>
          <w:lang w:val="lt-LT"/>
        </w:rPr>
        <w:t xml:space="preserve"> nuostatos. </w:t>
      </w:r>
    </w:p>
    <w:p w14:paraId="0DDDE07F" w14:textId="69A86E0D" w:rsidR="005F3B94" w:rsidRDefault="005F3B94" w:rsidP="00FC18E2">
      <w:pPr>
        <w:spacing w:after="0"/>
        <w:rPr>
          <w:bCs/>
          <w:iCs/>
          <w:lang w:val="lt-LT"/>
        </w:rPr>
      </w:pPr>
      <w:r>
        <w:rPr>
          <w:bCs/>
          <w:iCs/>
          <w:lang w:val="lt-LT"/>
        </w:rPr>
        <w:t xml:space="preserve">Pastebėtina, jog </w:t>
      </w:r>
      <w:r w:rsidR="0045394B">
        <w:rPr>
          <w:bCs/>
          <w:iCs/>
          <w:lang w:val="lt-LT"/>
        </w:rPr>
        <w:t xml:space="preserve">ši </w:t>
      </w:r>
      <w:r w:rsidR="00E177AD">
        <w:rPr>
          <w:bCs/>
          <w:iCs/>
          <w:lang w:val="lt-LT"/>
        </w:rPr>
        <w:t>informacija</w:t>
      </w:r>
      <w:r w:rsidR="00162E39">
        <w:rPr>
          <w:bCs/>
          <w:iCs/>
          <w:lang w:val="lt-LT"/>
        </w:rPr>
        <w:t xml:space="preserve"> </w:t>
      </w:r>
      <w:r w:rsidR="005A2E71">
        <w:rPr>
          <w:bCs/>
          <w:iCs/>
          <w:lang w:val="lt-LT"/>
        </w:rPr>
        <w:t xml:space="preserve">yra </w:t>
      </w:r>
      <w:r w:rsidR="0045394B">
        <w:rPr>
          <w:bCs/>
          <w:iCs/>
          <w:lang w:val="lt-LT"/>
        </w:rPr>
        <w:t xml:space="preserve">nurodyta </w:t>
      </w:r>
      <w:r w:rsidR="0096382C">
        <w:rPr>
          <w:bCs/>
          <w:iCs/>
          <w:lang w:val="lt-LT"/>
        </w:rPr>
        <w:t xml:space="preserve">Tarnybos </w:t>
      </w:r>
      <w:r w:rsidR="0045394B">
        <w:rPr>
          <w:bCs/>
          <w:iCs/>
          <w:lang w:val="lt-LT"/>
        </w:rPr>
        <w:t xml:space="preserve">parengtose </w:t>
      </w:r>
      <w:r w:rsidR="00926375">
        <w:rPr>
          <w:bCs/>
          <w:iCs/>
          <w:lang w:val="lt-LT"/>
        </w:rPr>
        <w:t>pavyzdin</w:t>
      </w:r>
      <w:r w:rsidR="0045394B">
        <w:rPr>
          <w:bCs/>
          <w:iCs/>
          <w:lang w:val="lt-LT"/>
        </w:rPr>
        <w:t>ėse</w:t>
      </w:r>
      <w:r w:rsidR="00944760">
        <w:rPr>
          <w:bCs/>
          <w:iCs/>
          <w:lang w:val="lt-LT"/>
        </w:rPr>
        <w:t xml:space="preserve"> </w:t>
      </w:r>
      <w:hyperlink r:id="rId17" w:history="1">
        <w:r w:rsidR="00A0270C" w:rsidRPr="00926375">
          <w:rPr>
            <w:rStyle w:val="Hyperlink"/>
            <w:bCs/>
            <w:iCs/>
            <w:lang w:val="lt-LT"/>
          </w:rPr>
          <w:t xml:space="preserve">Atviro konkurso </w:t>
        </w:r>
        <w:r w:rsidR="00944760" w:rsidRPr="00926375">
          <w:rPr>
            <w:rStyle w:val="Hyperlink"/>
            <w:bCs/>
            <w:iCs/>
            <w:lang w:val="lt-LT"/>
          </w:rPr>
          <w:t>sąlyg</w:t>
        </w:r>
      </w:hyperlink>
      <w:r w:rsidR="0045394B" w:rsidRPr="004A1485">
        <w:rPr>
          <w:lang w:val="lt-LT"/>
        </w:rPr>
        <w:t>os</w:t>
      </w:r>
      <w:r w:rsidR="0045394B">
        <w:rPr>
          <w:lang w:val="lt-LT"/>
        </w:rPr>
        <w:t>e</w:t>
      </w:r>
      <w:r w:rsidR="00926375">
        <w:rPr>
          <w:bCs/>
          <w:iCs/>
          <w:lang w:val="lt-LT"/>
        </w:rPr>
        <w:t>, kuri</w:t>
      </w:r>
      <w:r w:rsidR="00556285">
        <w:rPr>
          <w:bCs/>
          <w:iCs/>
          <w:lang w:val="lt-LT"/>
        </w:rPr>
        <w:t>ose nurodyta</w:t>
      </w:r>
      <w:r w:rsidR="008C6062">
        <w:rPr>
          <w:bCs/>
          <w:iCs/>
          <w:lang w:val="lt-LT"/>
        </w:rPr>
        <w:t xml:space="preserve">, jog </w:t>
      </w:r>
      <w:r w:rsidR="00556285">
        <w:rPr>
          <w:bCs/>
          <w:iCs/>
          <w:lang w:val="lt-LT"/>
        </w:rPr>
        <w:t xml:space="preserve">informacija </w:t>
      </w:r>
      <w:r w:rsidR="00F42862">
        <w:rPr>
          <w:bCs/>
          <w:iCs/>
          <w:lang w:val="lt-LT"/>
        </w:rPr>
        <w:t xml:space="preserve">pažymėta </w:t>
      </w:r>
      <w:r w:rsidR="008C6062">
        <w:rPr>
          <w:bCs/>
          <w:iCs/>
          <w:lang w:val="lt-LT"/>
        </w:rPr>
        <w:t xml:space="preserve">violetine spalva </w:t>
      </w:r>
      <w:r w:rsidR="001108D4">
        <w:rPr>
          <w:bCs/>
          <w:iCs/>
          <w:lang w:val="lt-LT"/>
        </w:rPr>
        <w:t>turi būti ištrinama, nes tai tik paaiškinimai Perkan</w:t>
      </w:r>
      <w:r w:rsidR="00B82C14">
        <w:rPr>
          <w:bCs/>
          <w:iCs/>
          <w:lang w:val="lt-LT"/>
        </w:rPr>
        <w:t>čiajai organizacijai, kuri rengia pirkimo sąlygas</w:t>
      </w:r>
      <w:r w:rsidR="00440022">
        <w:rPr>
          <w:bCs/>
          <w:iCs/>
          <w:lang w:val="lt-LT"/>
        </w:rPr>
        <w:t xml:space="preserve">. Atsižvelgiant į nurodytą, rekomenduotina, atsisakyti perteklinės ir neaktualios </w:t>
      </w:r>
      <w:r w:rsidR="00FC18E2">
        <w:rPr>
          <w:bCs/>
          <w:iCs/>
          <w:lang w:val="lt-LT"/>
        </w:rPr>
        <w:t>informacijos.</w:t>
      </w:r>
    </w:p>
    <w:p w14:paraId="4768489C" w14:textId="77777777" w:rsidR="00FC18E2" w:rsidRDefault="00FC18E2" w:rsidP="00FC18E2">
      <w:pPr>
        <w:spacing w:after="0"/>
        <w:rPr>
          <w:bCs/>
          <w:iCs/>
          <w:lang w:val="lt-LT"/>
        </w:rPr>
      </w:pPr>
    </w:p>
    <w:p w14:paraId="7F785DBB" w14:textId="45761A22" w:rsidR="00BA2C70" w:rsidRDefault="00FC18E2" w:rsidP="00354A64">
      <w:pPr>
        <w:spacing w:after="0"/>
        <w:rPr>
          <w:bCs/>
          <w:lang w:val="lt"/>
        </w:rPr>
      </w:pPr>
      <w:r w:rsidRPr="00B9362B">
        <w:rPr>
          <w:b/>
          <w:iCs/>
          <w:lang w:val="lt-LT"/>
        </w:rPr>
        <w:t>6.2.</w:t>
      </w:r>
      <w:r>
        <w:rPr>
          <w:bCs/>
          <w:iCs/>
          <w:lang w:val="lt-LT"/>
        </w:rPr>
        <w:t xml:space="preserve"> </w:t>
      </w:r>
      <w:r w:rsidR="00700265">
        <w:rPr>
          <w:bCs/>
          <w:iCs/>
          <w:lang w:val="lt"/>
        </w:rPr>
        <w:t xml:space="preserve">Prie Pirkimo specialiųjų sąlygų pridėti </w:t>
      </w:r>
      <w:r w:rsidR="00B9362B">
        <w:rPr>
          <w:bCs/>
          <w:iCs/>
          <w:lang w:val="lt"/>
        </w:rPr>
        <w:t xml:space="preserve">8 ir 9 priedai </w:t>
      </w:r>
      <w:r w:rsidR="00BC1952" w:rsidRPr="00BC1952">
        <w:rPr>
          <w:bCs/>
          <w:iCs/>
          <w:lang w:val="lt-LT"/>
        </w:rPr>
        <w:t xml:space="preserve">Tiekėjo deklaracija dėl atitikties </w:t>
      </w:r>
      <w:r w:rsidR="004C6228" w:rsidRPr="004C6228">
        <w:rPr>
          <w:bCs/>
          <w:iCs/>
          <w:lang w:val="lt-LT"/>
        </w:rPr>
        <w:t>Tarybos reglamento (ES)</w:t>
      </w:r>
      <w:r w:rsidR="004C6228" w:rsidRPr="004C6228">
        <w:rPr>
          <w:rFonts w:ascii="Arial" w:hAnsi="Arial" w:cs="Arial"/>
          <w:bCs/>
          <w:iCs/>
          <w:lang w:val="lt-LT"/>
        </w:rPr>
        <w:t> </w:t>
      </w:r>
      <w:r w:rsidR="004C6228" w:rsidRPr="004C6228">
        <w:rPr>
          <w:bCs/>
          <w:iCs/>
          <w:lang w:val="lt-LT"/>
        </w:rPr>
        <w:t>2022/576 2022</w:t>
      </w:r>
      <w:r w:rsidR="004C6228" w:rsidRPr="004C6228">
        <w:rPr>
          <w:rFonts w:ascii="Arial" w:hAnsi="Arial" w:cs="Arial"/>
          <w:bCs/>
          <w:iCs/>
          <w:lang w:val="lt-LT"/>
        </w:rPr>
        <w:t> </w:t>
      </w:r>
      <w:r w:rsidR="004C6228" w:rsidRPr="004C6228">
        <w:rPr>
          <w:bCs/>
          <w:iCs/>
          <w:lang w:val="lt-LT"/>
        </w:rPr>
        <w:t>m. baland</w:t>
      </w:r>
      <w:r w:rsidR="004C6228" w:rsidRPr="004C6228">
        <w:rPr>
          <w:rFonts w:ascii="Aptos" w:hAnsi="Aptos" w:cs="Aptos"/>
          <w:bCs/>
          <w:iCs/>
          <w:lang w:val="lt-LT"/>
        </w:rPr>
        <w:t>ž</w:t>
      </w:r>
      <w:r w:rsidR="004C6228" w:rsidRPr="004C6228">
        <w:rPr>
          <w:bCs/>
          <w:iCs/>
          <w:lang w:val="lt-LT"/>
        </w:rPr>
        <w:t>io</w:t>
      </w:r>
      <w:r w:rsidR="004C6228" w:rsidRPr="004C6228">
        <w:rPr>
          <w:rFonts w:ascii="Arial" w:hAnsi="Arial" w:cs="Arial"/>
          <w:bCs/>
          <w:iCs/>
          <w:lang w:val="lt-LT"/>
        </w:rPr>
        <w:t> </w:t>
      </w:r>
      <w:r w:rsidR="004C6228" w:rsidRPr="004C6228">
        <w:rPr>
          <w:bCs/>
          <w:iCs/>
          <w:lang w:val="lt-LT"/>
        </w:rPr>
        <w:t>8</w:t>
      </w:r>
      <w:r w:rsidR="004C6228" w:rsidRPr="004C6228">
        <w:rPr>
          <w:rFonts w:ascii="Arial" w:hAnsi="Arial" w:cs="Arial"/>
          <w:bCs/>
          <w:iCs/>
          <w:lang w:val="lt-LT"/>
        </w:rPr>
        <w:t> </w:t>
      </w:r>
      <w:r w:rsidR="004C6228" w:rsidRPr="004C6228">
        <w:rPr>
          <w:bCs/>
          <w:iCs/>
          <w:lang w:val="lt-LT"/>
        </w:rPr>
        <w:t>d. kuriuo i</w:t>
      </w:r>
      <w:r w:rsidR="004C6228" w:rsidRPr="004C6228">
        <w:rPr>
          <w:rFonts w:ascii="Aptos" w:hAnsi="Aptos" w:cs="Aptos"/>
          <w:bCs/>
          <w:iCs/>
          <w:lang w:val="lt-LT"/>
        </w:rPr>
        <w:t>š</w:t>
      </w:r>
      <w:r w:rsidR="004C6228" w:rsidRPr="004C6228">
        <w:rPr>
          <w:bCs/>
          <w:iCs/>
          <w:lang w:val="lt-LT"/>
        </w:rPr>
        <w:t xml:space="preserve"> dalies kei</w:t>
      </w:r>
      <w:r w:rsidR="004C6228" w:rsidRPr="004C6228">
        <w:rPr>
          <w:rFonts w:ascii="Aptos" w:hAnsi="Aptos" w:cs="Aptos"/>
          <w:bCs/>
          <w:iCs/>
          <w:lang w:val="lt-LT"/>
        </w:rPr>
        <w:t>č</w:t>
      </w:r>
      <w:r w:rsidR="004C6228" w:rsidRPr="004C6228">
        <w:rPr>
          <w:bCs/>
          <w:iCs/>
          <w:lang w:val="lt-LT"/>
        </w:rPr>
        <w:t>iamas Reglamentas (ES) Nr.</w:t>
      </w:r>
      <w:r w:rsidR="004C6228" w:rsidRPr="004C6228">
        <w:rPr>
          <w:rFonts w:ascii="Arial" w:hAnsi="Arial" w:cs="Arial"/>
          <w:bCs/>
          <w:iCs/>
          <w:lang w:val="lt-LT"/>
        </w:rPr>
        <w:t> </w:t>
      </w:r>
      <w:r w:rsidR="004C6228" w:rsidRPr="004C6228">
        <w:rPr>
          <w:bCs/>
          <w:iCs/>
          <w:lang w:val="lt-LT"/>
        </w:rPr>
        <w:t>833/2014 d</w:t>
      </w:r>
      <w:r w:rsidR="004C6228" w:rsidRPr="004C6228">
        <w:rPr>
          <w:rFonts w:ascii="Aptos" w:hAnsi="Aptos" w:cs="Aptos"/>
          <w:bCs/>
          <w:iCs/>
          <w:lang w:val="lt-LT"/>
        </w:rPr>
        <w:t>ė</w:t>
      </w:r>
      <w:r w:rsidR="004C6228" w:rsidRPr="004C6228">
        <w:rPr>
          <w:bCs/>
          <w:iCs/>
          <w:lang w:val="lt-LT"/>
        </w:rPr>
        <w:t>l ribojam</w:t>
      </w:r>
      <w:r w:rsidR="004C6228" w:rsidRPr="004C6228">
        <w:rPr>
          <w:rFonts w:ascii="Aptos" w:hAnsi="Aptos" w:cs="Aptos"/>
          <w:bCs/>
          <w:iCs/>
          <w:lang w:val="lt-LT"/>
        </w:rPr>
        <w:t>ų</w:t>
      </w:r>
      <w:r w:rsidR="004C6228" w:rsidRPr="004C6228">
        <w:rPr>
          <w:bCs/>
          <w:iCs/>
          <w:lang w:val="lt-LT"/>
        </w:rPr>
        <w:t>j</w:t>
      </w:r>
      <w:r w:rsidR="004C6228" w:rsidRPr="004C6228">
        <w:rPr>
          <w:rFonts w:ascii="Aptos" w:hAnsi="Aptos" w:cs="Aptos"/>
          <w:bCs/>
          <w:iCs/>
          <w:lang w:val="lt-LT"/>
        </w:rPr>
        <w:t>ų</w:t>
      </w:r>
      <w:r w:rsidR="004C6228" w:rsidRPr="004C6228">
        <w:rPr>
          <w:bCs/>
          <w:iCs/>
          <w:lang w:val="lt-LT"/>
        </w:rPr>
        <w:t xml:space="preserve"> priemoni</w:t>
      </w:r>
      <w:r w:rsidR="004C6228" w:rsidRPr="004C6228">
        <w:rPr>
          <w:rFonts w:ascii="Aptos" w:hAnsi="Aptos" w:cs="Aptos"/>
          <w:bCs/>
          <w:iCs/>
          <w:lang w:val="lt-LT"/>
        </w:rPr>
        <w:t>ų</w:t>
      </w:r>
      <w:r w:rsidR="004C6228" w:rsidRPr="004C6228">
        <w:rPr>
          <w:bCs/>
          <w:iCs/>
          <w:lang w:val="lt-LT"/>
        </w:rPr>
        <w:t xml:space="preserve"> atsi</w:t>
      </w:r>
      <w:r w:rsidR="004C6228" w:rsidRPr="004C6228">
        <w:rPr>
          <w:rFonts w:ascii="Aptos" w:hAnsi="Aptos" w:cs="Aptos"/>
          <w:bCs/>
          <w:iCs/>
          <w:lang w:val="lt-LT"/>
        </w:rPr>
        <w:t>ž</w:t>
      </w:r>
      <w:r w:rsidR="004C6228" w:rsidRPr="004C6228">
        <w:rPr>
          <w:bCs/>
          <w:iCs/>
          <w:lang w:val="lt-LT"/>
        </w:rPr>
        <w:t xml:space="preserve">velgiant </w:t>
      </w:r>
      <w:r w:rsidR="004C6228" w:rsidRPr="004C6228">
        <w:rPr>
          <w:rFonts w:ascii="Aptos" w:hAnsi="Aptos" w:cs="Aptos"/>
          <w:bCs/>
          <w:iCs/>
          <w:lang w:val="lt-LT"/>
        </w:rPr>
        <w:t>į</w:t>
      </w:r>
      <w:r w:rsidR="004C6228" w:rsidRPr="004C6228">
        <w:rPr>
          <w:bCs/>
          <w:iCs/>
          <w:lang w:val="lt-LT"/>
        </w:rPr>
        <w:t xml:space="preserve"> Rusijos veiksmus, kuriais destabilizuojama pad</w:t>
      </w:r>
      <w:r w:rsidR="004C6228" w:rsidRPr="004C6228">
        <w:rPr>
          <w:rFonts w:ascii="Aptos" w:hAnsi="Aptos" w:cs="Aptos"/>
          <w:bCs/>
          <w:iCs/>
          <w:lang w:val="lt-LT"/>
        </w:rPr>
        <w:t>ė</w:t>
      </w:r>
      <w:r w:rsidR="004C6228" w:rsidRPr="004C6228">
        <w:rPr>
          <w:bCs/>
          <w:iCs/>
          <w:lang w:val="lt-LT"/>
        </w:rPr>
        <w:t>tis Ukrainoje</w:t>
      </w:r>
      <w:r w:rsidR="004C6228">
        <w:rPr>
          <w:bCs/>
          <w:iCs/>
          <w:lang w:val="lt-LT"/>
        </w:rPr>
        <w:t xml:space="preserve"> (toliau – </w:t>
      </w:r>
      <w:r w:rsidR="00BC1952" w:rsidRPr="00BC1952">
        <w:rPr>
          <w:bCs/>
          <w:iCs/>
          <w:lang w:val="lt-LT"/>
        </w:rPr>
        <w:t>Reglament</w:t>
      </w:r>
      <w:r w:rsidR="004C6228">
        <w:rPr>
          <w:bCs/>
          <w:iCs/>
          <w:lang w:val="lt-LT"/>
        </w:rPr>
        <w:t>as)</w:t>
      </w:r>
      <w:r w:rsidR="00BC1952" w:rsidRPr="00BC1952">
        <w:rPr>
          <w:bCs/>
          <w:iCs/>
          <w:lang w:val="lt-LT"/>
        </w:rPr>
        <w:t xml:space="preserve"> nuostatoms juridiniam</w:t>
      </w:r>
      <w:r w:rsidR="00BC1952">
        <w:rPr>
          <w:bCs/>
          <w:iCs/>
          <w:lang w:val="lt-LT"/>
        </w:rPr>
        <w:t>/</w:t>
      </w:r>
      <w:r w:rsidR="003B0B6A">
        <w:rPr>
          <w:bCs/>
          <w:iCs/>
          <w:lang w:val="lt-LT"/>
        </w:rPr>
        <w:t>fiziniam</w:t>
      </w:r>
      <w:r w:rsidR="00BC1952" w:rsidRPr="00BC1952">
        <w:rPr>
          <w:bCs/>
          <w:iCs/>
          <w:lang w:val="lt-LT"/>
        </w:rPr>
        <w:t xml:space="preserve"> asmeniui</w:t>
      </w:r>
      <w:r w:rsidR="003B0B6A">
        <w:rPr>
          <w:bCs/>
          <w:iCs/>
          <w:lang w:val="lt-LT"/>
        </w:rPr>
        <w:t>.</w:t>
      </w:r>
    </w:p>
    <w:p w14:paraId="0E22D304" w14:textId="1333BE52" w:rsidR="00354A64" w:rsidRDefault="004C6228" w:rsidP="00354A64">
      <w:pPr>
        <w:spacing w:after="0"/>
        <w:rPr>
          <w:bCs/>
          <w:lang w:val="lt"/>
        </w:rPr>
      </w:pPr>
      <w:r>
        <w:rPr>
          <w:bCs/>
          <w:lang w:val="lt"/>
        </w:rPr>
        <w:t xml:space="preserve">Atkreiptinas dėmesys, kad </w:t>
      </w:r>
      <w:r w:rsidR="009150E9" w:rsidRPr="009150E9">
        <w:rPr>
          <w:bCs/>
          <w:lang w:val="lt"/>
        </w:rPr>
        <w:t>Reglament</w:t>
      </w:r>
      <w:r w:rsidR="00B876D4">
        <w:rPr>
          <w:bCs/>
          <w:lang w:val="lt"/>
        </w:rPr>
        <w:t>u</w:t>
      </w:r>
      <w:r w:rsidR="009150E9" w:rsidRPr="009150E9">
        <w:rPr>
          <w:bCs/>
          <w:lang w:val="lt"/>
        </w:rPr>
        <w:t xml:space="preserve"> nustatyti draudimai taikomi tik tiems pirkimams, kuriems taikomos Reglamente nurodytos direktyvos, t. y., tik tarptautinės vertės pirkimams, tai reiškia, kad Reglamente nustatyti apribojimai nėra taikomi supaprastintuose (įskaitant mažos vertės) pirkimuose (</w:t>
      </w:r>
      <w:hyperlink r:id="rId18" w:history="1">
        <w:r w:rsidR="009150E9" w:rsidRPr="0006361C">
          <w:rPr>
            <w:rStyle w:val="Hyperlink"/>
            <w:bCs/>
            <w:lang w:val="lt"/>
          </w:rPr>
          <w:t>platesnė informacija nurodyta Tarnybos parengtame pranešime dėl Reglamento taikymo viešuosiuose pirkimuose</w:t>
        </w:r>
      </w:hyperlink>
      <w:r w:rsidR="009150E9" w:rsidRPr="009150E9">
        <w:rPr>
          <w:bCs/>
          <w:lang w:val="lt"/>
        </w:rPr>
        <w:t>). Atsižvelgiant į tai, Tarnyba rekomenduoja vykdant supaprastintus pirkimus, atsisakyti nuostatų, susijusių su Reglamento taikymu.</w:t>
      </w:r>
    </w:p>
    <w:p w14:paraId="6CD4A95B" w14:textId="77777777" w:rsidR="0006361C" w:rsidRPr="00354A64" w:rsidRDefault="0006361C" w:rsidP="00354A64">
      <w:pPr>
        <w:spacing w:after="0"/>
        <w:rPr>
          <w:bCs/>
          <w:lang w:val="lt"/>
        </w:rPr>
      </w:pPr>
    </w:p>
    <w:p w14:paraId="739013B8" w14:textId="77777777" w:rsidR="005C0CBE" w:rsidRPr="005C0CBE" w:rsidRDefault="005C0CBE" w:rsidP="005C0CBE">
      <w:pPr>
        <w:rPr>
          <w:lang w:val="lt"/>
        </w:rPr>
      </w:pPr>
      <w:r w:rsidRPr="005C0CBE">
        <w:rPr>
          <w:lang w:val="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42209A02" w14:textId="77777777" w:rsidR="005C0CBE" w:rsidRPr="005C0CBE" w:rsidRDefault="005C0CBE" w:rsidP="005C0CBE">
      <w:pPr>
        <w:rPr>
          <w:lang w:val="lt"/>
        </w:rPr>
      </w:pPr>
    </w:p>
    <w:p w14:paraId="2C9FF72D" w14:textId="77777777" w:rsidR="000E4878" w:rsidRPr="00F80799" w:rsidRDefault="000E4878">
      <w:pPr>
        <w:rPr>
          <w:lang w:val="pt-BR"/>
        </w:rPr>
      </w:pPr>
    </w:p>
    <w:sectPr w:rsidR="000E4878" w:rsidRPr="00F80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F03" w14:textId="77777777" w:rsidR="0078442F" w:rsidRDefault="0078442F" w:rsidP="00761AAA">
      <w:pPr>
        <w:spacing w:after="0" w:line="240" w:lineRule="auto"/>
      </w:pPr>
      <w:r>
        <w:separator/>
      </w:r>
    </w:p>
  </w:endnote>
  <w:endnote w:type="continuationSeparator" w:id="0">
    <w:p w14:paraId="042206BB" w14:textId="77777777" w:rsidR="0078442F" w:rsidRDefault="0078442F" w:rsidP="0076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8DF5" w14:textId="77777777" w:rsidR="0078442F" w:rsidRDefault="0078442F" w:rsidP="00761AAA">
      <w:pPr>
        <w:spacing w:after="0" w:line="240" w:lineRule="auto"/>
      </w:pPr>
      <w:r>
        <w:separator/>
      </w:r>
    </w:p>
  </w:footnote>
  <w:footnote w:type="continuationSeparator" w:id="0">
    <w:p w14:paraId="0F0EA828" w14:textId="77777777" w:rsidR="0078442F" w:rsidRDefault="0078442F" w:rsidP="00761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8051"/>
    <w:multiLevelType w:val="hybridMultilevel"/>
    <w:tmpl w:val="4F784458"/>
    <w:lvl w:ilvl="0" w:tplc="78E43B9A">
      <w:start w:val="1"/>
      <w:numFmt w:val="decimal"/>
      <w:lvlText w:val="%1."/>
      <w:lvlJc w:val="left"/>
      <w:pPr>
        <w:ind w:left="720" w:hanging="360"/>
      </w:pPr>
    </w:lvl>
    <w:lvl w:ilvl="1" w:tplc="0C1E3F08">
      <w:start w:val="1"/>
      <w:numFmt w:val="lowerLetter"/>
      <w:lvlText w:val="%2."/>
      <w:lvlJc w:val="left"/>
      <w:pPr>
        <w:ind w:left="1440" w:hanging="360"/>
      </w:pPr>
    </w:lvl>
    <w:lvl w:ilvl="2" w:tplc="A79CA0BA">
      <w:start w:val="1"/>
      <w:numFmt w:val="lowerRoman"/>
      <w:lvlText w:val="%3."/>
      <w:lvlJc w:val="right"/>
      <w:pPr>
        <w:ind w:left="2160" w:hanging="180"/>
      </w:pPr>
    </w:lvl>
    <w:lvl w:ilvl="3" w:tplc="86BC605A">
      <w:start w:val="1"/>
      <w:numFmt w:val="decimal"/>
      <w:lvlText w:val="%4."/>
      <w:lvlJc w:val="left"/>
      <w:pPr>
        <w:ind w:left="2880" w:hanging="360"/>
      </w:pPr>
    </w:lvl>
    <w:lvl w:ilvl="4" w:tplc="BA0E5F46">
      <w:start w:val="1"/>
      <w:numFmt w:val="lowerLetter"/>
      <w:lvlText w:val="%5."/>
      <w:lvlJc w:val="left"/>
      <w:pPr>
        <w:ind w:left="3600" w:hanging="360"/>
      </w:pPr>
    </w:lvl>
    <w:lvl w:ilvl="5" w:tplc="8528F922">
      <w:start w:val="1"/>
      <w:numFmt w:val="lowerRoman"/>
      <w:lvlText w:val="%6."/>
      <w:lvlJc w:val="right"/>
      <w:pPr>
        <w:ind w:left="4320" w:hanging="180"/>
      </w:pPr>
    </w:lvl>
    <w:lvl w:ilvl="6" w:tplc="479C9D3C">
      <w:start w:val="1"/>
      <w:numFmt w:val="decimal"/>
      <w:lvlText w:val="%7."/>
      <w:lvlJc w:val="left"/>
      <w:pPr>
        <w:ind w:left="5040" w:hanging="360"/>
      </w:pPr>
    </w:lvl>
    <w:lvl w:ilvl="7" w:tplc="99FCD8F0">
      <w:start w:val="1"/>
      <w:numFmt w:val="lowerLetter"/>
      <w:lvlText w:val="%8."/>
      <w:lvlJc w:val="left"/>
      <w:pPr>
        <w:ind w:left="5760" w:hanging="360"/>
      </w:pPr>
    </w:lvl>
    <w:lvl w:ilvl="8" w:tplc="0B82DC5A">
      <w:start w:val="1"/>
      <w:numFmt w:val="lowerRoman"/>
      <w:lvlText w:val="%9."/>
      <w:lvlJc w:val="right"/>
      <w:pPr>
        <w:ind w:left="6480" w:hanging="180"/>
      </w:pPr>
    </w:lvl>
  </w:abstractNum>
  <w:abstractNum w:abstractNumId="1" w15:restartNumberingAfterBreak="0">
    <w:nsid w:val="13AF44FF"/>
    <w:multiLevelType w:val="multilevel"/>
    <w:tmpl w:val="355C5DD0"/>
    <w:lvl w:ilvl="0">
      <w:start w:val="1"/>
      <w:numFmt w:val="decimal"/>
      <w:lvlText w:val="%1."/>
      <w:lvlJc w:val="left"/>
      <w:pPr>
        <w:ind w:left="994" w:hanging="360"/>
      </w:pPr>
    </w:lvl>
    <w:lvl w:ilvl="1">
      <w:start w:val="1"/>
      <w:numFmt w:val="decimal"/>
      <w:lvlText w:val="%1.%2."/>
      <w:lvlJc w:val="left"/>
      <w:pPr>
        <w:ind w:left="1636" w:hanging="360"/>
      </w:pPr>
    </w:lvl>
    <w:lvl w:ilvl="2">
      <w:start w:val="1"/>
      <w:numFmt w:val="decimal"/>
      <w:lvlText w:val="%1.%2.%3."/>
      <w:lvlJc w:val="left"/>
      <w:pPr>
        <w:ind w:left="1354" w:hanging="720"/>
      </w:pPr>
    </w:lvl>
    <w:lvl w:ilvl="3">
      <w:start w:val="1"/>
      <w:numFmt w:val="decimal"/>
      <w:lvlText w:val="%1.%2.%3.%4."/>
      <w:lvlJc w:val="left"/>
      <w:pPr>
        <w:ind w:left="1354" w:hanging="720"/>
      </w:pPr>
    </w:lvl>
    <w:lvl w:ilvl="4">
      <w:start w:val="1"/>
      <w:numFmt w:val="decimal"/>
      <w:lvlText w:val="%1.%2.%3.%4.%5."/>
      <w:lvlJc w:val="left"/>
      <w:pPr>
        <w:ind w:left="1714" w:hanging="1080"/>
      </w:pPr>
    </w:lvl>
    <w:lvl w:ilvl="5">
      <w:start w:val="1"/>
      <w:numFmt w:val="decimal"/>
      <w:lvlText w:val="%1.%2.%3.%4.%5.%6."/>
      <w:lvlJc w:val="left"/>
      <w:pPr>
        <w:ind w:left="1714" w:hanging="1080"/>
      </w:pPr>
    </w:lvl>
    <w:lvl w:ilvl="6">
      <w:start w:val="1"/>
      <w:numFmt w:val="decimal"/>
      <w:lvlText w:val="%1.%2.%3.%4.%5.%6.%7."/>
      <w:lvlJc w:val="left"/>
      <w:pPr>
        <w:ind w:left="2074" w:hanging="1440"/>
      </w:pPr>
    </w:lvl>
    <w:lvl w:ilvl="7">
      <w:start w:val="1"/>
      <w:numFmt w:val="decimal"/>
      <w:lvlText w:val="%1.%2.%3.%4.%5.%6.%7.%8."/>
      <w:lvlJc w:val="left"/>
      <w:pPr>
        <w:ind w:left="2074" w:hanging="1440"/>
      </w:pPr>
    </w:lvl>
    <w:lvl w:ilvl="8">
      <w:start w:val="1"/>
      <w:numFmt w:val="decimal"/>
      <w:lvlText w:val="%1.%2.%3.%4.%5.%6.%7.%8.%9."/>
      <w:lvlJc w:val="left"/>
      <w:pPr>
        <w:ind w:left="2434" w:hanging="1800"/>
      </w:pPr>
    </w:lvl>
  </w:abstractNum>
  <w:abstractNum w:abstractNumId="2" w15:restartNumberingAfterBreak="0">
    <w:nsid w:val="425D2B3C"/>
    <w:multiLevelType w:val="multilevel"/>
    <w:tmpl w:val="B6404F52"/>
    <w:lvl w:ilvl="0">
      <w:start w:val="1"/>
      <w:numFmt w:val="decimal"/>
      <w:lvlText w:val="%1."/>
      <w:lvlJc w:val="left"/>
      <w:pPr>
        <w:ind w:left="786"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D42CA9"/>
    <w:multiLevelType w:val="multilevel"/>
    <w:tmpl w:val="0472C2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F247ED"/>
    <w:multiLevelType w:val="hybridMultilevel"/>
    <w:tmpl w:val="3C30498C"/>
    <w:lvl w:ilvl="0" w:tplc="EC32D13A">
      <w:start w:val="1"/>
      <w:numFmt w:val="decimal"/>
      <w:lvlText w:val="%1."/>
      <w:lvlJc w:val="left"/>
      <w:pPr>
        <w:ind w:left="1020" w:hanging="360"/>
      </w:pPr>
    </w:lvl>
    <w:lvl w:ilvl="1" w:tplc="30023D30">
      <w:start w:val="1"/>
      <w:numFmt w:val="decimal"/>
      <w:lvlText w:val="%2."/>
      <w:lvlJc w:val="left"/>
      <w:pPr>
        <w:ind w:left="1020" w:hanging="360"/>
      </w:pPr>
    </w:lvl>
    <w:lvl w:ilvl="2" w:tplc="E6143984">
      <w:start w:val="1"/>
      <w:numFmt w:val="decimal"/>
      <w:lvlText w:val="%3."/>
      <w:lvlJc w:val="left"/>
      <w:pPr>
        <w:ind w:left="1020" w:hanging="360"/>
      </w:pPr>
    </w:lvl>
    <w:lvl w:ilvl="3" w:tplc="024098F8">
      <w:start w:val="1"/>
      <w:numFmt w:val="decimal"/>
      <w:lvlText w:val="%4."/>
      <w:lvlJc w:val="left"/>
      <w:pPr>
        <w:ind w:left="1020" w:hanging="360"/>
      </w:pPr>
    </w:lvl>
    <w:lvl w:ilvl="4" w:tplc="FC12DDDC">
      <w:start w:val="1"/>
      <w:numFmt w:val="decimal"/>
      <w:lvlText w:val="%5."/>
      <w:lvlJc w:val="left"/>
      <w:pPr>
        <w:ind w:left="1020" w:hanging="360"/>
      </w:pPr>
    </w:lvl>
    <w:lvl w:ilvl="5" w:tplc="E3B06A26">
      <w:start w:val="1"/>
      <w:numFmt w:val="decimal"/>
      <w:lvlText w:val="%6."/>
      <w:lvlJc w:val="left"/>
      <w:pPr>
        <w:ind w:left="1020" w:hanging="360"/>
      </w:pPr>
    </w:lvl>
    <w:lvl w:ilvl="6" w:tplc="AEEC351C">
      <w:start w:val="1"/>
      <w:numFmt w:val="decimal"/>
      <w:lvlText w:val="%7."/>
      <w:lvlJc w:val="left"/>
      <w:pPr>
        <w:ind w:left="1020" w:hanging="360"/>
      </w:pPr>
    </w:lvl>
    <w:lvl w:ilvl="7" w:tplc="F686FDCE">
      <w:start w:val="1"/>
      <w:numFmt w:val="decimal"/>
      <w:lvlText w:val="%8."/>
      <w:lvlJc w:val="left"/>
      <w:pPr>
        <w:ind w:left="1020" w:hanging="360"/>
      </w:pPr>
    </w:lvl>
    <w:lvl w:ilvl="8" w:tplc="4F246D38">
      <w:start w:val="1"/>
      <w:numFmt w:val="decimal"/>
      <w:lvlText w:val="%9."/>
      <w:lvlJc w:val="left"/>
      <w:pPr>
        <w:ind w:left="1020" w:hanging="360"/>
      </w:pPr>
    </w:lvl>
  </w:abstractNum>
  <w:abstractNum w:abstractNumId="6" w15:restartNumberingAfterBreak="0">
    <w:nsid w:val="7C337E56"/>
    <w:multiLevelType w:val="multilevel"/>
    <w:tmpl w:val="27E4D18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953708717">
    <w:abstractNumId w:val="2"/>
  </w:num>
  <w:num w:numId="2" w16cid:durableId="1894386315">
    <w:abstractNumId w:val="6"/>
  </w:num>
  <w:num w:numId="3" w16cid:durableId="1962033026">
    <w:abstractNumId w:val="4"/>
  </w:num>
  <w:num w:numId="4" w16cid:durableId="1345085720">
    <w:abstractNumId w:val="5"/>
  </w:num>
  <w:num w:numId="5" w16cid:durableId="2147238868">
    <w:abstractNumId w:val="3"/>
  </w:num>
  <w:num w:numId="6" w16cid:durableId="887304270">
    <w:abstractNumId w:val="0"/>
  </w:num>
  <w:num w:numId="7" w16cid:durableId="2140486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23"/>
    <w:rsid w:val="0000095D"/>
    <w:rsid w:val="00006973"/>
    <w:rsid w:val="000106A2"/>
    <w:rsid w:val="00011414"/>
    <w:rsid w:val="00013618"/>
    <w:rsid w:val="00013FC2"/>
    <w:rsid w:val="00017721"/>
    <w:rsid w:val="000275DA"/>
    <w:rsid w:val="00030248"/>
    <w:rsid w:val="00032AAD"/>
    <w:rsid w:val="00036AD8"/>
    <w:rsid w:val="0004009F"/>
    <w:rsid w:val="0004055C"/>
    <w:rsid w:val="0004062D"/>
    <w:rsid w:val="000512FC"/>
    <w:rsid w:val="00060247"/>
    <w:rsid w:val="000615EF"/>
    <w:rsid w:val="00061747"/>
    <w:rsid w:val="0006361C"/>
    <w:rsid w:val="0009119C"/>
    <w:rsid w:val="000A185A"/>
    <w:rsid w:val="000A1FC1"/>
    <w:rsid w:val="000A6756"/>
    <w:rsid w:val="000A6979"/>
    <w:rsid w:val="000C2592"/>
    <w:rsid w:val="000C4F76"/>
    <w:rsid w:val="000C789A"/>
    <w:rsid w:val="000C7F17"/>
    <w:rsid w:val="000E038F"/>
    <w:rsid w:val="000E4878"/>
    <w:rsid w:val="000E6AA2"/>
    <w:rsid w:val="00101DBF"/>
    <w:rsid w:val="001106FD"/>
    <w:rsid w:val="001108D4"/>
    <w:rsid w:val="00111170"/>
    <w:rsid w:val="001123BA"/>
    <w:rsid w:val="00115AB6"/>
    <w:rsid w:val="001214E1"/>
    <w:rsid w:val="00122CB7"/>
    <w:rsid w:val="00131940"/>
    <w:rsid w:val="001379BE"/>
    <w:rsid w:val="00143ED4"/>
    <w:rsid w:val="00150D4D"/>
    <w:rsid w:val="0015114F"/>
    <w:rsid w:val="00162E39"/>
    <w:rsid w:val="00165E2F"/>
    <w:rsid w:val="00171DA3"/>
    <w:rsid w:val="00180C17"/>
    <w:rsid w:val="00191845"/>
    <w:rsid w:val="001A7C0D"/>
    <w:rsid w:val="001B1D5E"/>
    <w:rsid w:val="001C63A8"/>
    <w:rsid w:val="001C68A8"/>
    <w:rsid w:val="001D162A"/>
    <w:rsid w:val="001E6506"/>
    <w:rsid w:val="001F1C18"/>
    <w:rsid w:val="001F2BA1"/>
    <w:rsid w:val="00200F4B"/>
    <w:rsid w:val="00210828"/>
    <w:rsid w:val="002109B9"/>
    <w:rsid w:val="00211752"/>
    <w:rsid w:val="00212113"/>
    <w:rsid w:val="0021421F"/>
    <w:rsid w:val="00217D40"/>
    <w:rsid w:val="002266DB"/>
    <w:rsid w:val="0023079A"/>
    <w:rsid w:val="00236490"/>
    <w:rsid w:val="002456B5"/>
    <w:rsid w:val="00247562"/>
    <w:rsid w:val="00257CB1"/>
    <w:rsid w:val="002651B5"/>
    <w:rsid w:val="00272718"/>
    <w:rsid w:val="002772A1"/>
    <w:rsid w:val="00282BCD"/>
    <w:rsid w:val="00296155"/>
    <w:rsid w:val="002A303A"/>
    <w:rsid w:val="002A3533"/>
    <w:rsid w:val="002A49B6"/>
    <w:rsid w:val="002A5D50"/>
    <w:rsid w:val="002A6C12"/>
    <w:rsid w:val="002B195A"/>
    <w:rsid w:val="002B39A8"/>
    <w:rsid w:val="002B6922"/>
    <w:rsid w:val="002C115E"/>
    <w:rsid w:val="002C1245"/>
    <w:rsid w:val="002C2051"/>
    <w:rsid w:val="002C5089"/>
    <w:rsid w:val="002F51DD"/>
    <w:rsid w:val="002F681E"/>
    <w:rsid w:val="002F6D8B"/>
    <w:rsid w:val="002F7A68"/>
    <w:rsid w:val="0030229E"/>
    <w:rsid w:val="00323B27"/>
    <w:rsid w:val="00351600"/>
    <w:rsid w:val="00354A64"/>
    <w:rsid w:val="003556FA"/>
    <w:rsid w:val="00356006"/>
    <w:rsid w:val="00356453"/>
    <w:rsid w:val="00370ACE"/>
    <w:rsid w:val="0037170A"/>
    <w:rsid w:val="00375B3A"/>
    <w:rsid w:val="003777EA"/>
    <w:rsid w:val="003875C6"/>
    <w:rsid w:val="00394862"/>
    <w:rsid w:val="003A191A"/>
    <w:rsid w:val="003A349C"/>
    <w:rsid w:val="003A51D6"/>
    <w:rsid w:val="003B0B6A"/>
    <w:rsid w:val="003C0EE8"/>
    <w:rsid w:val="003C2078"/>
    <w:rsid w:val="003D3A61"/>
    <w:rsid w:val="003D5E11"/>
    <w:rsid w:val="003E3620"/>
    <w:rsid w:val="003F08B9"/>
    <w:rsid w:val="003F3107"/>
    <w:rsid w:val="003F7DD0"/>
    <w:rsid w:val="0040488C"/>
    <w:rsid w:val="00404F8C"/>
    <w:rsid w:val="00405989"/>
    <w:rsid w:val="00405D6D"/>
    <w:rsid w:val="00423EEE"/>
    <w:rsid w:val="00426EB2"/>
    <w:rsid w:val="0043289C"/>
    <w:rsid w:val="00440022"/>
    <w:rsid w:val="004443E7"/>
    <w:rsid w:val="00451668"/>
    <w:rsid w:val="004523B7"/>
    <w:rsid w:val="004528F9"/>
    <w:rsid w:val="0045394B"/>
    <w:rsid w:val="0045394C"/>
    <w:rsid w:val="0046383B"/>
    <w:rsid w:val="00467B86"/>
    <w:rsid w:val="00481357"/>
    <w:rsid w:val="00495929"/>
    <w:rsid w:val="004966B0"/>
    <w:rsid w:val="004972CA"/>
    <w:rsid w:val="004A1485"/>
    <w:rsid w:val="004C565F"/>
    <w:rsid w:val="004C6228"/>
    <w:rsid w:val="004D315C"/>
    <w:rsid w:val="004F4231"/>
    <w:rsid w:val="00502A25"/>
    <w:rsid w:val="0050459E"/>
    <w:rsid w:val="0050546F"/>
    <w:rsid w:val="005122BA"/>
    <w:rsid w:val="00513CED"/>
    <w:rsid w:val="00515A59"/>
    <w:rsid w:val="00530928"/>
    <w:rsid w:val="00533DA7"/>
    <w:rsid w:val="00552887"/>
    <w:rsid w:val="00556285"/>
    <w:rsid w:val="0056521F"/>
    <w:rsid w:val="00566FBE"/>
    <w:rsid w:val="005815E6"/>
    <w:rsid w:val="005820A9"/>
    <w:rsid w:val="0058680C"/>
    <w:rsid w:val="005A2E71"/>
    <w:rsid w:val="005A6E10"/>
    <w:rsid w:val="005B7E12"/>
    <w:rsid w:val="005C06BD"/>
    <w:rsid w:val="005C0CBE"/>
    <w:rsid w:val="005D36E4"/>
    <w:rsid w:val="005D7DD6"/>
    <w:rsid w:val="005F1CA2"/>
    <w:rsid w:val="005F2C1B"/>
    <w:rsid w:val="005F3B94"/>
    <w:rsid w:val="005F5F0D"/>
    <w:rsid w:val="006017B2"/>
    <w:rsid w:val="00612295"/>
    <w:rsid w:val="00615177"/>
    <w:rsid w:val="0061621B"/>
    <w:rsid w:val="0062236B"/>
    <w:rsid w:val="00623249"/>
    <w:rsid w:val="006351B2"/>
    <w:rsid w:val="00637B99"/>
    <w:rsid w:val="00637B9D"/>
    <w:rsid w:val="00660BD8"/>
    <w:rsid w:val="00666BED"/>
    <w:rsid w:val="00674D34"/>
    <w:rsid w:val="006765B7"/>
    <w:rsid w:val="006907A3"/>
    <w:rsid w:val="00691E47"/>
    <w:rsid w:val="00693BE5"/>
    <w:rsid w:val="0069435B"/>
    <w:rsid w:val="006A064B"/>
    <w:rsid w:val="006B60F6"/>
    <w:rsid w:val="006C4B97"/>
    <w:rsid w:val="006C6657"/>
    <w:rsid w:val="006D2264"/>
    <w:rsid w:val="006D6FE0"/>
    <w:rsid w:val="006F06C3"/>
    <w:rsid w:val="006F549E"/>
    <w:rsid w:val="00700265"/>
    <w:rsid w:val="00705236"/>
    <w:rsid w:val="0070558A"/>
    <w:rsid w:val="00706249"/>
    <w:rsid w:val="00707170"/>
    <w:rsid w:val="00712442"/>
    <w:rsid w:val="00715B74"/>
    <w:rsid w:val="0071641A"/>
    <w:rsid w:val="00717EFA"/>
    <w:rsid w:val="00724FFD"/>
    <w:rsid w:val="00725261"/>
    <w:rsid w:val="00734127"/>
    <w:rsid w:val="00737313"/>
    <w:rsid w:val="00737AEC"/>
    <w:rsid w:val="00740A26"/>
    <w:rsid w:val="007432BB"/>
    <w:rsid w:val="00745B3B"/>
    <w:rsid w:val="00751AE1"/>
    <w:rsid w:val="00756C17"/>
    <w:rsid w:val="00761AAA"/>
    <w:rsid w:val="00762567"/>
    <w:rsid w:val="00765779"/>
    <w:rsid w:val="007719D4"/>
    <w:rsid w:val="007774AD"/>
    <w:rsid w:val="007816CD"/>
    <w:rsid w:val="00783FE4"/>
    <w:rsid w:val="0078442F"/>
    <w:rsid w:val="0078770E"/>
    <w:rsid w:val="00797621"/>
    <w:rsid w:val="007A0C96"/>
    <w:rsid w:val="007A6D94"/>
    <w:rsid w:val="007D6D34"/>
    <w:rsid w:val="007E2A8A"/>
    <w:rsid w:val="007E5CA5"/>
    <w:rsid w:val="008048E1"/>
    <w:rsid w:val="00805A92"/>
    <w:rsid w:val="008117E2"/>
    <w:rsid w:val="0081447B"/>
    <w:rsid w:val="00817EE4"/>
    <w:rsid w:val="0082799B"/>
    <w:rsid w:val="00830503"/>
    <w:rsid w:val="00842ED0"/>
    <w:rsid w:val="00843CCF"/>
    <w:rsid w:val="00852CBD"/>
    <w:rsid w:val="008546D1"/>
    <w:rsid w:val="00854864"/>
    <w:rsid w:val="00854CA0"/>
    <w:rsid w:val="0085567B"/>
    <w:rsid w:val="0086317D"/>
    <w:rsid w:val="00876950"/>
    <w:rsid w:val="008822C1"/>
    <w:rsid w:val="00891023"/>
    <w:rsid w:val="008A2A06"/>
    <w:rsid w:val="008A3E37"/>
    <w:rsid w:val="008A602F"/>
    <w:rsid w:val="008A64F5"/>
    <w:rsid w:val="008B0E29"/>
    <w:rsid w:val="008C2A7F"/>
    <w:rsid w:val="008C6062"/>
    <w:rsid w:val="008D614A"/>
    <w:rsid w:val="00902C90"/>
    <w:rsid w:val="00904BD4"/>
    <w:rsid w:val="00913FBF"/>
    <w:rsid w:val="009141EC"/>
    <w:rsid w:val="009150E9"/>
    <w:rsid w:val="00926375"/>
    <w:rsid w:val="00934088"/>
    <w:rsid w:val="00935770"/>
    <w:rsid w:val="00944760"/>
    <w:rsid w:val="00944B9B"/>
    <w:rsid w:val="0096382C"/>
    <w:rsid w:val="00963E3F"/>
    <w:rsid w:val="00970DED"/>
    <w:rsid w:val="0097777E"/>
    <w:rsid w:val="0099250A"/>
    <w:rsid w:val="009A0F3D"/>
    <w:rsid w:val="009B0298"/>
    <w:rsid w:val="009B5528"/>
    <w:rsid w:val="009B5CBB"/>
    <w:rsid w:val="009C7416"/>
    <w:rsid w:val="009C7587"/>
    <w:rsid w:val="009C77F2"/>
    <w:rsid w:val="009D22EF"/>
    <w:rsid w:val="009F7E34"/>
    <w:rsid w:val="00A003FC"/>
    <w:rsid w:val="00A0270C"/>
    <w:rsid w:val="00A05219"/>
    <w:rsid w:val="00A12F3C"/>
    <w:rsid w:val="00A1620F"/>
    <w:rsid w:val="00A2684E"/>
    <w:rsid w:val="00A324FE"/>
    <w:rsid w:val="00A37FEA"/>
    <w:rsid w:val="00A54EF1"/>
    <w:rsid w:val="00A550F7"/>
    <w:rsid w:val="00A65BBC"/>
    <w:rsid w:val="00A70649"/>
    <w:rsid w:val="00A70897"/>
    <w:rsid w:val="00A70FBF"/>
    <w:rsid w:val="00A7135E"/>
    <w:rsid w:val="00A74EA3"/>
    <w:rsid w:val="00A925D3"/>
    <w:rsid w:val="00A95734"/>
    <w:rsid w:val="00A97C9E"/>
    <w:rsid w:val="00AA0FB0"/>
    <w:rsid w:val="00AA3D59"/>
    <w:rsid w:val="00AA5314"/>
    <w:rsid w:val="00AB40D3"/>
    <w:rsid w:val="00AC3E6F"/>
    <w:rsid w:val="00AD3D95"/>
    <w:rsid w:val="00AF78CC"/>
    <w:rsid w:val="00B04DDD"/>
    <w:rsid w:val="00B12D1E"/>
    <w:rsid w:val="00B15EE3"/>
    <w:rsid w:val="00B17296"/>
    <w:rsid w:val="00B2544B"/>
    <w:rsid w:val="00B26614"/>
    <w:rsid w:val="00B40650"/>
    <w:rsid w:val="00B406C3"/>
    <w:rsid w:val="00B45034"/>
    <w:rsid w:val="00B52809"/>
    <w:rsid w:val="00B56CE4"/>
    <w:rsid w:val="00B57413"/>
    <w:rsid w:val="00B64465"/>
    <w:rsid w:val="00B71816"/>
    <w:rsid w:val="00B74E08"/>
    <w:rsid w:val="00B82C14"/>
    <w:rsid w:val="00B839FF"/>
    <w:rsid w:val="00B876D4"/>
    <w:rsid w:val="00B92552"/>
    <w:rsid w:val="00B9362B"/>
    <w:rsid w:val="00BA2C70"/>
    <w:rsid w:val="00BA5D1C"/>
    <w:rsid w:val="00BC1952"/>
    <w:rsid w:val="00BC670A"/>
    <w:rsid w:val="00BE064F"/>
    <w:rsid w:val="00BE27C6"/>
    <w:rsid w:val="00BF0441"/>
    <w:rsid w:val="00C04898"/>
    <w:rsid w:val="00C110B3"/>
    <w:rsid w:val="00C11DD6"/>
    <w:rsid w:val="00C17D2D"/>
    <w:rsid w:val="00C2219A"/>
    <w:rsid w:val="00C241D5"/>
    <w:rsid w:val="00C258EE"/>
    <w:rsid w:val="00C31F5D"/>
    <w:rsid w:val="00C3287C"/>
    <w:rsid w:val="00C32DE1"/>
    <w:rsid w:val="00C34459"/>
    <w:rsid w:val="00C36AC7"/>
    <w:rsid w:val="00C45E09"/>
    <w:rsid w:val="00C4656E"/>
    <w:rsid w:val="00C472EF"/>
    <w:rsid w:val="00C56559"/>
    <w:rsid w:val="00C62E49"/>
    <w:rsid w:val="00C66595"/>
    <w:rsid w:val="00C7387E"/>
    <w:rsid w:val="00C74E75"/>
    <w:rsid w:val="00C8420B"/>
    <w:rsid w:val="00C86944"/>
    <w:rsid w:val="00C92AAE"/>
    <w:rsid w:val="00CA44DC"/>
    <w:rsid w:val="00CD5170"/>
    <w:rsid w:val="00CD5491"/>
    <w:rsid w:val="00CD6015"/>
    <w:rsid w:val="00CE7679"/>
    <w:rsid w:val="00CF53C2"/>
    <w:rsid w:val="00CF7C7C"/>
    <w:rsid w:val="00D02383"/>
    <w:rsid w:val="00D21854"/>
    <w:rsid w:val="00D21C7C"/>
    <w:rsid w:val="00D31F28"/>
    <w:rsid w:val="00D3405E"/>
    <w:rsid w:val="00D60B86"/>
    <w:rsid w:val="00D63625"/>
    <w:rsid w:val="00D650EE"/>
    <w:rsid w:val="00D66FE2"/>
    <w:rsid w:val="00D7039D"/>
    <w:rsid w:val="00D71D75"/>
    <w:rsid w:val="00D72AA1"/>
    <w:rsid w:val="00D73156"/>
    <w:rsid w:val="00D73C18"/>
    <w:rsid w:val="00D7456F"/>
    <w:rsid w:val="00D75D81"/>
    <w:rsid w:val="00D931BE"/>
    <w:rsid w:val="00D94812"/>
    <w:rsid w:val="00DA1D80"/>
    <w:rsid w:val="00DA4423"/>
    <w:rsid w:val="00DA4CB9"/>
    <w:rsid w:val="00DB403A"/>
    <w:rsid w:val="00DB4FA2"/>
    <w:rsid w:val="00DB5CB0"/>
    <w:rsid w:val="00DB7384"/>
    <w:rsid w:val="00DC5E45"/>
    <w:rsid w:val="00DD7B4F"/>
    <w:rsid w:val="00DE022C"/>
    <w:rsid w:val="00DE5853"/>
    <w:rsid w:val="00DF658B"/>
    <w:rsid w:val="00E15E1A"/>
    <w:rsid w:val="00E1671E"/>
    <w:rsid w:val="00E177AD"/>
    <w:rsid w:val="00E216C0"/>
    <w:rsid w:val="00E316A4"/>
    <w:rsid w:val="00E33C53"/>
    <w:rsid w:val="00E37927"/>
    <w:rsid w:val="00E5225F"/>
    <w:rsid w:val="00E65D01"/>
    <w:rsid w:val="00E73400"/>
    <w:rsid w:val="00E838F3"/>
    <w:rsid w:val="00E84F00"/>
    <w:rsid w:val="00E85CCA"/>
    <w:rsid w:val="00E86CBE"/>
    <w:rsid w:val="00E87080"/>
    <w:rsid w:val="00EA1F76"/>
    <w:rsid w:val="00EA6B5B"/>
    <w:rsid w:val="00EB15C6"/>
    <w:rsid w:val="00EB20F6"/>
    <w:rsid w:val="00EB71CB"/>
    <w:rsid w:val="00EC0196"/>
    <w:rsid w:val="00EC1A66"/>
    <w:rsid w:val="00EC3DEB"/>
    <w:rsid w:val="00EC5A3B"/>
    <w:rsid w:val="00EC7BAF"/>
    <w:rsid w:val="00ED0795"/>
    <w:rsid w:val="00ED23ED"/>
    <w:rsid w:val="00ED6918"/>
    <w:rsid w:val="00ED7CFE"/>
    <w:rsid w:val="00EE411D"/>
    <w:rsid w:val="00EE4C57"/>
    <w:rsid w:val="00EF28D3"/>
    <w:rsid w:val="00EF756B"/>
    <w:rsid w:val="00F01716"/>
    <w:rsid w:val="00F1237A"/>
    <w:rsid w:val="00F16EC8"/>
    <w:rsid w:val="00F21233"/>
    <w:rsid w:val="00F320D8"/>
    <w:rsid w:val="00F40256"/>
    <w:rsid w:val="00F40E29"/>
    <w:rsid w:val="00F42862"/>
    <w:rsid w:val="00F54E63"/>
    <w:rsid w:val="00F605B8"/>
    <w:rsid w:val="00F72B9F"/>
    <w:rsid w:val="00F749A1"/>
    <w:rsid w:val="00F76D76"/>
    <w:rsid w:val="00F80799"/>
    <w:rsid w:val="00F83942"/>
    <w:rsid w:val="00F86891"/>
    <w:rsid w:val="00F90767"/>
    <w:rsid w:val="00F92167"/>
    <w:rsid w:val="00F933DA"/>
    <w:rsid w:val="00FA573A"/>
    <w:rsid w:val="00FA68E5"/>
    <w:rsid w:val="00FB1968"/>
    <w:rsid w:val="00FB2363"/>
    <w:rsid w:val="00FC1705"/>
    <w:rsid w:val="00FC18E2"/>
    <w:rsid w:val="00FD14BC"/>
    <w:rsid w:val="00FE4724"/>
    <w:rsid w:val="00FE5448"/>
    <w:rsid w:val="00FE5831"/>
    <w:rsid w:val="00FF2227"/>
    <w:rsid w:val="00FF6280"/>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C13A"/>
  <w15:chartTrackingRefBased/>
  <w15:docId w15:val="{FC37980A-DBE8-46DF-B31B-08695563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1F"/>
  </w:style>
  <w:style w:type="paragraph" w:styleId="Heading1">
    <w:name w:val="heading 1"/>
    <w:basedOn w:val="Normal"/>
    <w:next w:val="Normal"/>
    <w:link w:val="Heading1Char"/>
    <w:uiPriority w:val="9"/>
    <w:qFormat/>
    <w:rsid w:val="00DA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423"/>
    <w:rPr>
      <w:rFonts w:eastAsiaTheme="majorEastAsia" w:cstheme="majorBidi"/>
      <w:color w:val="272727" w:themeColor="text1" w:themeTint="D8"/>
    </w:rPr>
  </w:style>
  <w:style w:type="paragraph" w:styleId="Title">
    <w:name w:val="Title"/>
    <w:basedOn w:val="Normal"/>
    <w:next w:val="Normal"/>
    <w:link w:val="TitleChar"/>
    <w:uiPriority w:val="10"/>
    <w:qFormat/>
    <w:rsid w:val="00DA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423"/>
    <w:pPr>
      <w:spacing w:before="160"/>
      <w:jc w:val="center"/>
    </w:pPr>
    <w:rPr>
      <w:i/>
      <w:iCs/>
      <w:color w:val="404040" w:themeColor="text1" w:themeTint="BF"/>
    </w:rPr>
  </w:style>
  <w:style w:type="character" w:customStyle="1" w:styleId="QuoteChar">
    <w:name w:val="Quote Char"/>
    <w:basedOn w:val="DefaultParagraphFont"/>
    <w:link w:val="Quote"/>
    <w:uiPriority w:val="29"/>
    <w:rsid w:val="00DA442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99"/>
    <w:qFormat/>
    <w:rsid w:val="00DA4423"/>
    <w:pPr>
      <w:ind w:left="720"/>
      <w:contextualSpacing/>
    </w:pPr>
  </w:style>
  <w:style w:type="character" w:styleId="IntenseEmphasis">
    <w:name w:val="Intense Emphasis"/>
    <w:basedOn w:val="DefaultParagraphFont"/>
    <w:uiPriority w:val="21"/>
    <w:qFormat/>
    <w:rsid w:val="00DA4423"/>
    <w:rPr>
      <w:i/>
      <w:iCs/>
      <w:color w:val="0F4761" w:themeColor="accent1" w:themeShade="BF"/>
    </w:rPr>
  </w:style>
  <w:style w:type="paragraph" w:styleId="IntenseQuote">
    <w:name w:val="Intense Quote"/>
    <w:basedOn w:val="Normal"/>
    <w:next w:val="Normal"/>
    <w:link w:val="IntenseQuoteChar"/>
    <w:uiPriority w:val="30"/>
    <w:qFormat/>
    <w:rsid w:val="00DA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423"/>
    <w:rPr>
      <w:i/>
      <w:iCs/>
      <w:color w:val="0F4761" w:themeColor="accent1" w:themeShade="BF"/>
    </w:rPr>
  </w:style>
  <w:style w:type="character" w:styleId="IntenseReference">
    <w:name w:val="Intense Reference"/>
    <w:basedOn w:val="DefaultParagraphFont"/>
    <w:uiPriority w:val="32"/>
    <w:qFormat/>
    <w:rsid w:val="00DA4423"/>
    <w:rPr>
      <w:b/>
      <w:bCs/>
      <w:smallCaps/>
      <w:color w:val="0F4761" w:themeColor="accent1" w:themeShade="BF"/>
      <w:spacing w:val="5"/>
    </w:rPr>
  </w:style>
  <w:style w:type="character" w:styleId="Hyperlink">
    <w:name w:val="Hyperlink"/>
    <w:basedOn w:val="DefaultParagraphFont"/>
    <w:uiPriority w:val="99"/>
    <w:unhideWhenUsed/>
    <w:rsid w:val="005C0CBE"/>
    <w:rPr>
      <w:color w:val="467886" w:themeColor="hyperlink"/>
      <w:u w:val="single"/>
    </w:rPr>
  </w:style>
  <w:style w:type="character" w:styleId="UnresolvedMention">
    <w:name w:val="Unresolved Mention"/>
    <w:basedOn w:val="DefaultParagraphFont"/>
    <w:uiPriority w:val="99"/>
    <w:semiHidden/>
    <w:unhideWhenUsed/>
    <w:rsid w:val="005C0CBE"/>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05D6D"/>
  </w:style>
  <w:style w:type="character" w:styleId="FollowedHyperlink">
    <w:name w:val="FollowedHyperlink"/>
    <w:basedOn w:val="DefaultParagraphFont"/>
    <w:uiPriority w:val="99"/>
    <w:semiHidden/>
    <w:unhideWhenUsed/>
    <w:rsid w:val="00DF658B"/>
    <w:rPr>
      <w:color w:val="96607D" w:themeColor="followedHyperlink"/>
      <w:u w:val="single"/>
    </w:rPr>
  </w:style>
  <w:style w:type="paragraph" w:styleId="CommentText">
    <w:name w:val="annotation text"/>
    <w:basedOn w:val="Normal"/>
    <w:link w:val="CommentTextChar"/>
    <w:uiPriority w:val="99"/>
    <w:unhideWhenUsed/>
    <w:rsid w:val="00913FBF"/>
    <w:pPr>
      <w:spacing w:line="240" w:lineRule="auto"/>
    </w:pPr>
    <w:rPr>
      <w:sz w:val="20"/>
      <w:szCs w:val="20"/>
    </w:rPr>
  </w:style>
  <w:style w:type="character" w:customStyle="1" w:styleId="CommentTextChar">
    <w:name w:val="Comment Text Char"/>
    <w:basedOn w:val="DefaultParagraphFont"/>
    <w:link w:val="CommentText"/>
    <w:uiPriority w:val="99"/>
    <w:rsid w:val="00913FBF"/>
    <w:rPr>
      <w:sz w:val="20"/>
      <w:szCs w:val="20"/>
    </w:rPr>
  </w:style>
  <w:style w:type="character" w:styleId="CommentReference">
    <w:name w:val="annotation reference"/>
    <w:basedOn w:val="DefaultParagraphFont"/>
    <w:uiPriority w:val="99"/>
    <w:unhideWhenUsed/>
    <w:rsid w:val="00913FBF"/>
    <w:rPr>
      <w:sz w:val="16"/>
      <w:szCs w:val="16"/>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61AAA"/>
    <w:rPr>
      <w:vertAlign w:val="superscript"/>
    </w:rPr>
  </w:style>
  <w:style w:type="paragraph" w:styleId="Revision">
    <w:name w:val="Revision"/>
    <w:hidden/>
    <w:uiPriority w:val="99"/>
    <w:semiHidden/>
    <w:rsid w:val="00F80799"/>
    <w:pPr>
      <w:spacing w:after="0" w:line="240" w:lineRule="auto"/>
    </w:pPr>
  </w:style>
  <w:style w:type="paragraph" w:styleId="CommentSubject">
    <w:name w:val="annotation subject"/>
    <w:basedOn w:val="CommentText"/>
    <w:next w:val="CommentText"/>
    <w:link w:val="CommentSubjectChar"/>
    <w:uiPriority w:val="99"/>
    <w:semiHidden/>
    <w:unhideWhenUsed/>
    <w:rsid w:val="00B17296"/>
    <w:rPr>
      <w:b/>
      <w:bCs/>
    </w:rPr>
  </w:style>
  <w:style w:type="character" w:customStyle="1" w:styleId="CommentSubjectChar">
    <w:name w:val="Comment Subject Char"/>
    <w:basedOn w:val="CommentTextChar"/>
    <w:link w:val="CommentSubject"/>
    <w:uiPriority w:val="99"/>
    <w:semiHidden/>
    <w:rsid w:val="00B172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303">
      <w:bodyDiv w:val="1"/>
      <w:marLeft w:val="0"/>
      <w:marRight w:val="0"/>
      <w:marTop w:val="0"/>
      <w:marBottom w:val="0"/>
      <w:divBdr>
        <w:top w:val="none" w:sz="0" w:space="0" w:color="auto"/>
        <w:left w:val="none" w:sz="0" w:space="0" w:color="auto"/>
        <w:bottom w:val="none" w:sz="0" w:space="0" w:color="auto"/>
        <w:right w:val="none" w:sz="0" w:space="0" w:color="auto"/>
      </w:divBdr>
      <w:divsChild>
        <w:div w:id="842550427">
          <w:marLeft w:val="0"/>
          <w:marRight w:val="0"/>
          <w:marTop w:val="0"/>
          <w:marBottom w:val="0"/>
          <w:divBdr>
            <w:top w:val="none" w:sz="0" w:space="0" w:color="auto"/>
            <w:left w:val="none" w:sz="0" w:space="0" w:color="auto"/>
            <w:bottom w:val="none" w:sz="0" w:space="0" w:color="auto"/>
            <w:right w:val="none" w:sz="0" w:space="0" w:color="auto"/>
          </w:divBdr>
          <w:divsChild>
            <w:div w:id="1747415526">
              <w:marLeft w:val="0"/>
              <w:marRight w:val="0"/>
              <w:marTop w:val="0"/>
              <w:marBottom w:val="0"/>
              <w:divBdr>
                <w:top w:val="none" w:sz="0" w:space="0" w:color="auto"/>
                <w:left w:val="none" w:sz="0" w:space="0" w:color="auto"/>
                <w:bottom w:val="none" w:sz="0" w:space="0" w:color="auto"/>
                <w:right w:val="none" w:sz="0" w:space="0" w:color="auto"/>
              </w:divBdr>
              <w:divsChild>
                <w:div w:id="1509833438">
                  <w:marLeft w:val="0"/>
                  <w:marRight w:val="0"/>
                  <w:marTop w:val="0"/>
                  <w:marBottom w:val="0"/>
                  <w:divBdr>
                    <w:top w:val="none" w:sz="0" w:space="0" w:color="auto"/>
                    <w:left w:val="none" w:sz="0" w:space="0" w:color="auto"/>
                    <w:bottom w:val="none" w:sz="0" w:space="0" w:color="auto"/>
                    <w:right w:val="none" w:sz="0" w:space="0" w:color="auto"/>
                  </w:divBdr>
                  <w:divsChild>
                    <w:div w:id="1983345114">
                      <w:marLeft w:val="0"/>
                      <w:marRight w:val="0"/>
                      <w:marTop w:val="0"/>
                      <w:marBottom w:val="0"/>
                      <w:divBdr>
                        <w:top w:val="none" w:sz="0" w:space="0" w:color="auto"/>
                        <w:left w:val="none" w:sz="0" w:space="0" w:color="auto"/>
                        <w:bottom w:val="none" w:sz="0" w:space="0" w:color="auto"/>
                        <w:right w:val="none" w:sz="0" w:space="0" w:color="auto"/>
                      </w:divBdr>
                    </w:div>
                    <w:div w:id="115201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2459">
      <w:bodyDiv w:val="1"/>
      <w:marLeft w:val="0"/>
      <w:marRight w:val="0"/>
      <w:marTop w:val="0"/>
      <w:marBottom w:val="0"/>
      <w:divBdr>
        <w:top w:val="none" w:sz="0" w:space="0" w:color="auto"/>
        <w:left w:val="none" w:sz="0" w:space="0" w:color="auto"/>
        <w:bottom w:val="none" w:sz="0" w:space="0" w:color="auto"/>
        <w:right w:val="none" w:sz="0" w:space="0" w:color="auto"/>
      </w:divBdr>
    </w:div>
    <w:div w:id="777262589">
      <w:bodyDiv w:val="1"/>
      <w:marLeft w:val="0"/>
      <w:marRight w:val="0"/>
      <w:marTop w:val="0"/>
      <w:marBottom w:val="0"/>
      <w:divBdr>
        <w:top w:val="none" w:sz="0" w:space="0" w:color="auto"/>
        <w:left w:val="none" w:sz="0" w:space="0" w:color="auto"/>
        <w:bottom w:val="none" w:sz="0" w:space="0" w:color="auto"/>
        <w:right w:val="none" w:sz="0" w:space="0" w:color="auto"/>
      </w:divBdr>
    </w:div>
    <w:div w:id="1135829882">
      <w:bodyDiv w:val="1"/>
      <w:marLeft w:val="0"/>
      <w:marRight w:val="0"/>
      <w:marTop w:val="0"/>
      <w:marBottom w:val="0"/>
      <w:divBdr>
        <w:top w:val="none" w:sz="0" w:space="0" w:color="auto"/>
        <w:left w:val="none" w:sz="0" w:space="0" w:color="auto"/>
        <w:bottom w:val="none" w:sz="0" w:space="0" w:color="auto"/>
        <w:right w:val="none" w:sz="0" w:space="0" w:color="auto"/>
      </w:divBdr>
    </w:div>
    <w:div w:id="1202858658">
      <w:bodyDiv w:val="1"/>
      <w:marLeft w:val="0"/>
      <w:marRight w:val="0"/>
      <w:marTop w:val="0"/>
      <w:marBottom w:val="0"/>
      <w:divBdr>
        <w:top w:val="none" w:sz="0" w:space="0" w:color="auto"/>
        <w:left w:val="none" w:sz="0" w:space="0" w:color="auto"/>
        <w:bottom w:val="none" w:sz="0" w:space="0" w:color="auto"/>
        <w:right w:val="none" w:sz="0" w:space="0" w:color="auto"/>
      </w:divBdr>
    </w:div>
    <w:div w:id="1430354217">
      <w:bodyDiv w:val="1"/>
      <w:marLeft w:val="0"/>
      <w:marRight w:val="0"/>
      <w:marTop w:val="0"/>
      <w:marBottom w:val="0"/>
      <w:divBdr>
        <w:top w:val="none" w:sz="0" w:space="0" w:color="auto"/>
        <w:left w:val="none" w:sz="0" w:space="0" w:color="auto"/>
        <w:bottom w:val="none" w:sz="0" w:space="0" w:color="auto"/>
        <w:right w:val="none" w:sz="0" w:space="0" w:color="auto"/>
      </w:divBdr>
    </w:div>
    <w:div w:id="1655915771">
      <w:bodyDiv w:val="1"/>
      <w:marLeft w:val="0"/>
      <w:marRight w:val="0"/>
      <w:marTop w:val="0"/>
      <w:marBottom w:val="0"/>
      <w:divBdr>
        <w:top w:val="none" w:sz="0" w:space="0" w:color="auto"/>
        <w:left w:val="none" w:sz="0" w:space="0" w:color="auto"/>
        <w:bottom w:val="none" w:sz="0" w:space="0" w:color="auto"/>
        <w:right w:val="none" w:sz="0" w:space="0" w:color="auto"/>
      </w:divBdr>
      <w:divsChild>
        <w:div w:id="1176767915">
          <w:marLeft w:val="0"/>
          <w:marRight w:val="0"/>
          <w:marTop w:val="0"/>
          <w:marBottom w:val="0"/>
          <w:divBdr>
            <w:top w:val="none" w:sz="0" w:space="0" w:color="auto"/>
            <w:left w:val="none" w:sz="0" w:space="0" w:color="auto"/>
            <w:bottom w:val="none" w:sz="0" w:space="0" w:color="auto"/>
            <w:right w:val="none" w:sz="0" w:space="0" w:color="auto"/>
          </w:divBdr>
          <w:divsChild>
            <w:div w:id="1081759839">
              <w:marLeft w:val="0"/>
              <w:marRight w:val="0"/>
              <w:marTop w:val="0"/>
              <w:marBottom w:val="0"/>
              <w:divBdr>
                <w:top w:val="none" w:sz="0" w:space="0" w:color="auto"/>
                <w:left w:val="none" w:sz="0" w:space="0" w:color="auto"/>
                <w:bottom w:val="none" w:sz="0" w:space="0" w:color="auto"/>
                <w:right w:val="none" w:sz="0" w:space="0" w:color="auto"/>
              </w:divBdr>
              <w:divsChild>
                <w:div w:id="1472987778">
                  <w:marLeft w:val="0"/>
                  <w:marRight w:val="0"/>
                  <w:marTop w:val="0"/>
                  <w:marBottom w:val="0"/>
                  <w:divBdr>
                    <w:top w:val="none" w:sz="0" w:space="0" w:color="auto"/>
                    <w:left w:val="none" w:sz="0" w:space="0" w:color="auto"/>
                    <w:bottom w:val="none" w:sz="0" w:space="0" w:color="auto"/>
                    <w:right w:val="none" w:sz="0" w:space="0" w:color="auto"/>
                  </w:divBdr>
                  <w:divsChild>
                    <w:div w:id="1013801694">
                      <w:marLeft w:val="0"/>
                      <w:marRight w:val="0"/>
                      <w:marTop w:val="0"/>
                      <w:marBottom w:val="0"/>
                      <w:divBdr>
                        <w:top w:val="none" w:sz="0" w:space="0" w:color="auto"/>
                        <w:left w:val="none" w:sz="0" w:space="0" w:color="auto"/>
                        <w:bottom w:val="none" w:sz="0" w:space="0" w:color="auto"/>
                        <w:right w:val="none" w:sz="0" w:space="0" w:color="auto"/>
                      </w:divBdr>
                    </w:div>
                    <w:div w:id="111602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6246">
      <w:bodyDiv w:val="1"/>
      <w:marLeft w:val="0"/>
      <w:marRight w:val="0"/>
      <w:marTop w:val="0"/>
      <w:marBottom w:val="0"/>
      <w:divBdr>
        <w:top w:val="none" w:sz="0" w:space="0" w:color="auto"/>
        <w:left w:val="none" w:sz="0" w:space="0" w:color="auto"/>
        <w:bottom w:val="none" w:sz="0" w:space="0" w:color="auto"/>
        <w:right w:val="none" w:sz="0" w:space="0" w:color="auto"/>
      </w:divBdr>
    </w:div>
    <w:div w:id="1800222768">
      <w:bodyDiv w:val="1"/>
      <w:marLeft w:val="0"/>
      <w:marRight w:val="0"/>
      <w:marTop w:val="0"/>
      <w:marBottom w:val="0"/>
      <w:divBdr>
        <w:top w:val="none" w:sz="0" w:space="0" w:color="auto"/>
        <w:left w:val="none" w:sz="0" w:space="0" w:color="auto"/>
        <w:bottom w:val="none" w:sz="0" w:space="0" w:color="auto"/>
        <w:right w:val="none" w:sz="0" w:space="0" w:color="auto"/>
      </w:divBdr>
      <w:divsChild>
        <w:div w:id="892041864">
          <w:marLeft w:val="0"/>
          <w:marRight w:val="0"/>
          <w:marTop w:val="0"/>
          <w:marBottom w:val="0"/>
          <w:divBdr>
            <w:top w:val="none" w:sz="0" w:space="0" w:color="auto"/>
            <w:left w:val="none" w:sz="0" w:space="0" w:color="auto"/>
            <w:bottom w:val="none" w:sz="0" w:space="0" w:color="auto"/>
            <w:right w:val="none" w:sz="0" w:space="0" w:color="auto"/>
          </w:divBdr>
        </w:div>
      </w:divsChild>
    </w:div>
    <w:div w:id="19966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yperlink" Target="https://am.lrv.lt/media/viesa/saugykla/2023/11/FFr9tJuqEPk.pdf" TargetMode="External"/><Relationship Id="rId18" Type="http://schemas.openxmlformats.org/officeDocument/2006/relationships/hyperlink" Target="https://vpt.lrv.lt/lt/naujienos-3/vpt-atnaujina-informacija-del-tarybos-reglamento-es-2022-576-taikymo-viesuosiuose-pirkimuose/" TargetMode="Externa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media/viesa/saugykla/2025/6/dQQebzmjmN4.pdf" TargetMode="External"/><Relationship Id="rId17" Type="http://schemas.openxmlformats.org/officeDocument/2006/relationships/hyperlink" Target="https://vpt.lrv.lt/lt/metodine-pagalba/pavyzdiniai-dokumentai-3/atviro-konkurso-salygos/" TargetMode="External"/><Relationship Id="rId2" Type="http://schemas.openxmlformats.org/officeDocument/2006/relationships/styles" Target="styles.xml"/><Relationship Id="rId16" Type="http://schemas.openxmlformats.org/officeDocument/2006/relationships/hyperlink" Target="https://vpt.lrv.lt/media/viesa/saugykla/2024/7/TdOv2vnE6tI.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ausk.vpt.lt/hc/lt/articles/115004289565-Kaip-pildyti-EBVPD" TargetMode="External"/><Relationship Id="rId5" Type="http://schemas.openxmlformats.org/officeDocument/2006/relationships/footnotes" Target="footnotes.xml"/><Relationship Id="rId15" Type="http://schemas.openxmlformats.org/officeDocument/2006/relationships/hyperlink" Target="https://www.e-tar.lt/portal/lt/legalAct/c14e6210afe511e6b844f0f29024f5ac/asr" TargetMode="External"/><Relationship Id="rId10" Type="http://schemas.openxmlformats.org/officeDocument/2006/relationships/hyperlink" Target="https://vpt.lrv.lt/lt/metodine-pagalba/pavyzdiniai-dokumentai-3/pasalinimo-pagrindu-lentel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public/canonical/1747646024/19373/Prane%C5%A1imas_apie_pakeitimus_2025_05_19.pptx" TargetMode="External"/><Relationship Id="rId14"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3556</Words>
  <Characters>20273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2025-08-25T05:23:00Z</dcterms:created>
  <dcterms:modified xsi:type="dcterms:W3CDTF">2025-08-27T05:27:00Z</dcterms:modified>
</cp:coreProperties>
</file>