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DFF7C" w14:textId="3FDBDFAB" w:rsidR="00AA4EBD" w:rsidRPr="00373DD0" w:rsidRDefault="00AA4EBD" w:rsidP="00637BBD">
      <w:pPr>
        <w:rPr>
          <w:lang w:val="en-US"/>
        </w:rPr>
      </w:pPr>
      <w:r w:rsidRPr="00AA4EBD">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5852CB04" w14:textId="06096AAC" w:rsidR="00637BBD" w:rsidRDefault="00637BBD" w:rsidP="00637BBD">
      <w:r w:rsidRPr="00637BBD">
        <w:t xml:space="preserve">Vadovaujantis Tarnybai Įstatyme nustatyta pažeidimų prevencijos funkcija, šiuo metu atliekama </w:t>
      </w:r>
      <w:r w:rsidRPr="00844938">
        <w:rPr>
          <w:b/>
          <w:bCs/>
        </w:rPr>
        <w:t>Rokiškio</w:t>
      </w:r>
      <w:r w:rsidRPr="00637BBD">
        <w:rPr>
          <w:b/>
          <w:bCs/>
        </w:rPr>
        <w:t xml:space="preserve"> rajono savivaldybės administracijos</w:t>
      </w:r>
      <w:r w:rsidRPr="00637BBD">
        <w:t xml:space="preserve"> (toliau – Perkančioji organizacija) vykdomo pirkimo </w:t>
      </w:r>
      <w:r w:rsidRPr="00637BBD">
        <w:rPr>
          <w:b/>
          <w:bCs/>
        </w:rPr>
        <w:t>Nr.</w:t>
      </w:r>
      <w:r w:rsidR="004B5D49" w:rsidRPr="00844938">
        <w:rPr>
          <w:rFonts w:ascii="Times New Roman" w:eastAsia="Calibri" w:hAnsi="Times New Roman" w:cs="Times New Roman"/>
          <w:i/>
          <w:kern w:val="0"/>
          <w:sz w:val="22"/>
          <w:szCs w:val="22"/>
          <w14:ligatures w14:val="none"/>
        </w:rPr>
        <w:t xml:space="preserve"> </w:t>
      </w:r>
      <w:r w:rsidR="004B5D49" w:rsidRPr="00844938">
        <w:rPr>
          <w:b/>
          <w:bCs/>
          <w:iCs/>
        </w:rPr>
        <w:t>3958052</w:t>
      </w:r>
      <w:r w:rsidRPr="00637BBD">
        <w:rPr>
          <w:b/>
          <w:bCs/>
          <w:iCs/>
        </w:rPr>
        <w:t xml:space="preserve">  „</w:t>
      </w:r>
      <w:r w:rsidR="00282C64" w:rsidRPr="00844938">
        <w:rPr>
          <w:b/>
          <w:bCs/>
          <w:iCs/>
        </w:rPr>
        <w:t>Rokiškio dvaro centrinių rūmų (</w:t>
      </w:r>
      <w:proofErr w:type="spellStart"/>
      <w:r w:rsidR="00282C64" w:rsidRPr="00844938">
        <w:rPr>
          <w:b/>
          <w:bCs/>
          <w:iCs/>
        </w:rPr>
        <w:t>Un</w:t>
      </w:r>
      <w:proofErr w:type="spellEnd"/>
      <w:r w:rsidR="00282C64" w:rsidRPr="00844938">
        <w:rPr>
          <w:b/>
          <w:bCs/>
          <w:iCs/>
        </w:rPr>
        <w:t>. kodas 571) pritaikymo žmonėms su negalia darbai</w:t>
      </w:r>
      <w:r w:rsidRPr="00637BBD">
        <w:rPr>
          <w:b/>
          <w:bCs/>
          <w:iCs/>
        </w:rPr>
        <w:t>“</w:t>
      </w:r>
      <w:r w:rsidRPr="00637BBD">
        <w:t xml:space="preserve"> (toliau – Pirkimas) dokumentų atitikties Įstatymui ir jį įgyvendinantiems teisės aktams peržiūra (peržiūra prevenciniais tikslais atliekama tam tikra apimtimi).</w:t>
      </w:r>
    </w:p>
    <w:p w14:paraId="0EDF8D89" w14:textId="64AE5A36" w:rsidR="001B336F" w:rsidRPr="001B336F" w:rsidRDefault="001B336F" w:rsidP="00637BBD">
      <w:pPr>
        <w:rPr>
          <w:lang w:val="lt"/>
        </w:rPr>
      </w:pPr>
      <w:r w:rsidRPr="001B336F">
        <w:rPr>
          <w:lang w:val="lt"/>
        </w:rPr>
        <w:t>Tarnyba, prevencine tvarka peržiūrėjusi Pirkimo dokumentus ir atsižvelgdama į galiojantį teisinį reglamentavimą, teikia pastabas ir rekomendacijas (toliau – Rekomendacija) dėl Pirkimo dokumentų nuostatų.</w:t>
      </w:r>
    </w:p>
    <w:p w14:paraId="4E099370" w14:textId="16AA3638" w:rsidR="00AA4F1E" w:rsidRPr="00844938" w:rsidRDefault="00AA4F1E" w:rsidP="00AA4F1E">
      <w:pPr>
        <w:pStyle w:val="ListParagraph"/>
        <w:numPr>
          <w:ilvl w:val="0"/>
          <w:numId w:val="1"/>
        </w:numPr>
      </w:pPr>
      <w:r w:rsidRPr="00844938">
        <w:rPr>
          <w:b/>
          <w:bCs/>
        </w:rPr>
        <w:t>Dėl informacijos skelbime apie pirkimą</w:t>
      </w:r>
    </w:p>
    <w:p w14:paraId="3D37A84F" w14:textId="1AE4BEAA" w:rsidR="009E2304" w:rsidRPr="00844938" w:rsidRDefault="00A644C4" w:rsidP="009E2304">
      <w:pPr>
        <w:spacing w:after="0"/>
      </w:pPr>
      <w:r w:rsidRPr="00844938">
        <w:rPr>
          <w:b/>
          <w:bCs/>
        </w:rPr>
        <w:t>1.1.</w:t>
      </w:r>
      <w:r w:rsidRPr="00844938">
        <w:t xml:space="preserve"> </w:t>
      </w:r>
      <w:r w:rsidR="004656F7" w:rsidRPr="00844938">
        <w:t xml:space="preserve">Tarnyba atkreipia dėmesį, jog </w:t>
      </w:r>
      <w:r w:rsidR="00F77690" w:rsidRPr="00844938">
        <w:t xml:space="preserve">Skelbimo </w:t>
      </w:r>
      <w:r w:rsidR="00C62A65">
        <w:t>a</w:t>
      </w:r>
      <w:r w:rsidR="00F77690" w:rsidRPr="00844938">
        <w:t xml:space="preserve">pie pirkimą 2.1.3 ir 5.1.5 </w:t>
      </w:r>
      <w:r w:rsidR="002F5165" w:rsidRPr="00844938">
        <w:t xml:space="preserve">punktuose nurodyta, jog </w:t>
      </w:r>
      <w:r w:rsidRPr="00844938">
        <w:t>rodom</w:t>
      </w:r>
      <w:r w:rsidR="00572F90">
        <w:t>a</w:t>
      </w:r>
      <w:r w:rsidRPr="00844938">
        <w:t xml:space="preserve"> 0 vert</w:t>
      </w:r>
      <w:r w:rsidR="00572F90">
        <w:t>ė</w:t>
      </w:r>
      <w:r w:rsidRPr="00844938">
        <w:t xml:space="preserve">. </w:t>
      </w:r>
      <w:r w:rsidR="00BD2031" w:rsidRPr="00BD2031">
        <w:t xml:space="preserve">Šiuo atveju nurodyti punktai pildyti pagal senos redakcijos skelbimų instrukcijas. </w:t>
      </w:r>
      <w:r w:rsidR="002B081A" w:rsidRPr="00844938">
        <w:t>Pažymėtina, kad n</w:t>
      </w:r>
      <w:r w:rsidRPr="00844938">
        <w:t>eviešinant vertės, skelbimo apie pirkimą eilutės dėl vertės tiesiog paliekamos tuščios (ištrinant valiutos simbolį) kaip nurodyta instrukcijo</w:t>
      </w:r>
      <w:r w:rsidR="0023403D">
        <w:t xml:space="preserve">s </w:t>
      </w:r>
      <w:hyperlink r:id="rId7" w:tgtFrame="_blank" w:tooltip="https://vpt.lrv.lt/public/canonical/1748508374/19423/skelbimai_susij%c4%99_su_preliminari%c4%85ja_sutartim_2025_05_29.pptx" w:history="1">
        <w:r w:rsidRPr="00844938">
          <w:rPr>
            <w:rStyle w:val="Hyperlink"/>
          </w:rPr>
          <w:t>Skelbimai, susiję su preliminariąja sutartimi</w:t>
        </w:r>
      </w:hyperlink>
      <w:r w:rsidRPr="00844938">
        <w:t xml:space="preserve"> (įkelta 2025 05 29)</w:t>
      </w:r>
      <w:r w:rsidR="002E02FC" w:rsidRPr="002E02FC">
        <w:t xml:space="preserve"> 5 skaidrėje</w:t>
      </w:r>
      <w:r w:rsidR="00BD2031">
        <w:t xml:space="preserve">. </w:t>
      </w:r>
    </w:p>
    <w:p w14:paraId="24082B97" w14:textId="48F2C00C" w:rsidR="00A644C4" w:rsidRDefault="009862F0" w:rsidP="00C62A65">
      <w:pPr>
        <w:spacing w:after="0"/>
      </w:pPr>
      <w:r w:rsidRPr="00844938">
        <w:t>Atsižvelgiant į nurodytą, rekomenduotina</w:t>
      </w:r>
      <w:r w:rsidR="009E2304" w:rsidRPr="00844938">
        <w:t xml:space="preserve"> </w:t>
      </w:r>
      <w:hyperlink r:id="rId8" w:history="1">
        <w:r w:rsidR="00556350" w:rsidRPr="00556350">
          <w:rPr>
            <w:rStyle w:val="Hyperlink"/>
          </w:rPr>
          <w:t>Pranešimu apie pakeitimus</w:t>
        </w:r>
      </w:hyperlink>
      <w:r w:rsidR="009E2304" w:rsidRPr="00AC494C">
        <w:t xml:space="preserve"> patikslinti skelbimo apie pirkimą </w:t>
      </w:r>
      <w:r w:rsidR="009E2304" w:rsidRPr="00844938">
        <w:t>2</w:t>
      </w:r>
      <w:r w:rsidR="009E2304" w:rsidRPr="00AC494C">
        <w:t xml:space="preserve">.1.3 </w:t>
      </w:r>
      <w:r w:rsidR="009E2304" w:rsidRPr="00844938">
        <w:t xml:space="preserve">ir 5.1.5 </w:t>
      </w:r>
      <w:r w:rsidR="009E2304" w:rsidRPr="00AC494C">
        <w:t>punkt</w:t>
      </w:r>
      <w:r w:rsidR="009E2304" w:rsidRPr="00844938">
        <w:t>us.</w:t>
      </w:r>
    </w:p>
    <w:p w14:paraId="7DF50D69" w14:textId="77777777" w:rsidR="00373DD0" w:rsidRPr="00844938" w:rsidRDefault="00373DD0" w:rsidP="00C62A65">
      <w:pPr>
        <w:spacing w:after="0"/>
      </w:pPr>
    </w:p>
    <w:p w14:paraId="2F41246E" w14:textId="0ECE4CA0" w:rsidR="00AC494C" w:rsidRPr="00844938" w:rsidRDefault="00AC494C" w:rsidP="00AC494C">
      <w:pPr>
        <w:spacing w:after="0"/>
      </w:pPr>
      <w:r w:rsidRPr="00844938">
        <w:rPr>
          <w:b/>
          <w:bCs/>
        </w:rPr>
        <w:t>1.</w:t>
      </w:r>
      <w:r w:rsidR="009E2304" w:rsidRPr="00844938">
        <w:rPr>
          <w:b/>
          <w:bCs/>
        </w:rPr>
        <w:t>2</w:t>
      </w:r>
      <w:r w:rsidRPr="00844938">
        <w:rPr>
          <w:b/>
          <w:bCs/>
        </w:rPr>
        <w:t>.</w:t>
      </w:r>
      <w:r w:rsidRPr="00844938">
        <w:t xml:space="preserve"> </w:t>
      </w:r>
      <w:r w:rsidR="00E7466F" w:rsidRPr="00844938">
        <w:t xml:space="preserve">Skelbimo apie pirkimą 5.1.3 punkte „Numatomas galiojimas” nurodyta, jog </w:t>
      </w:r>
      <w:r w:rsidR="00E7466F" w:rsidRPr="00844938">
        <w:rPr>
          <w:b/>
          <w:bCs/>
        </w:rPr>
        <w:t>sutarties trukmė – 16 mėnesių</w:t>
      </w:r>
      <w:r w:rsidRPr="00844938">
        <w:t>.</w:t>
      </w:r>
    </w:p>
    <w:p w14:paraId="67675A7B" w14:textId="77777777" w:rsidR="00AC494C" w:rsidRPr="00AC494C" w:rsidRDefault="00AC494C" w:rsidP="00AC494C">
      <w:pPr>
        <w:spacing w:after="0"/>
      </w:pPr>
      <w:r w:rsidRPr="00AC494C">
        <w:t xml:space="preserve">Atkreiptinas dėmesys, jog šiuo Pirkimu bus sudaroma </w:t>
      </w:r>
      <w:r w:rsidRPr="00AC494C">
        <w:rPr>
          <w:b/>
          <w:bCs/>
        </w:rPr>
        <w:t>Preliminarioji sutartis</w:t>
      </w:r>
      <w:r w:rsidRPr="00AC494C">
        <w:t>, todėl ir Skelbimo apie pirkimą 5.1.3 punkte turi būti nurodoma preliminarios sutarties trukmė.</w:t>
      </w:r>
    </w:p>
    <w:p w14:paraId="03070325" w14:textId="3DFB2C97" w:rsidR="00AC494C" w:rsidRPr="00AC494C" w:rsidRDefault="00AC494C" w:rsidP="00AC494C">
      <w:pPr>
        <w:spacing w:after="0"/>
      </w:pPr>
      <w:r w:rsidRPr="00AC494C">
        <w:t xml:space="preserve">Pažymėtina, jog </w:t>
      </w:r>
      <w:r w:rsidRPr="00E7466F">
        <w:t xml:space="preserve">Pirkimo </w:t>
      </w:r>
      <w:r w:rsidRPr="00844938">
        <w:t xml:space="preserve">specialiųjų </w:t>
      </w:r>
      <w:r w:rsidRPr="00E7466F">
        <w:t xml:space="preserve">sąlygų </w:t>
      </w:r>
      <w:r w:rsidRPr="00844938">
        <w:t>9</w:t>
      </w:r>
      <w:r w:rsidRPr="00E7466F">
        <w:t xml:space="preserve"> priedo „</w:t>
      </w:r>
      <w:r w:rsidRPr="00844938">
        <w:t>Preliminariosios s</w:t>
      </w:r>
      <w:r w:rsidRPr="00E7466F">
        <w:t>utarties projektas“</w:t>
      </w:r>
      <w:r w:rsidRPr="00844938">
        <w:t xml:space="preserve"> (toliau – Preliminarioji sutartis)</w:t>
      </w:r>
      <w:r w:rsidRPr="00E7466F">
        <w:t xml:space="preserve"> 3.</w:t>
      </w:r>
      <w:r w:rsidRPr="00844938">
        <w:t>1</w:t>
      </w:r>
      <w:r w:rsidRPr="00E7466F">
        <w:t xml:space="preserve"> punkte </w:t>
      </w:r>
      <w:r w:rsidRPr="00844938">
        <w:t xml:space="preserve">nustatyta, jog „Preliminarioji pirkimo sutartis įsigalioja </w:t>
      </w:r>
      <w:r w:rsidRPr="00844938">
        <w:rPr>
          <w:bCs/>
        </w:rPr>
        <w:t>nuo to momento, kai ją pasirašo abi Sutarties šalys</w:t>
      </w:r>
      <w:r w:rsidRPr="00844938">
        <w:t xml:space="preserve"> ir galioja </w:t>
      </w:r>
      <w:r w:rsidRPr="00844938">
        <w:rPr>
          <w:b/>
          <w:bCs/>
        </w:rPr>
        <w:t>12 mėnesių, su galimybe pratęsti 1 kartą 12 mėnesių“</w:t>
      </w:r>
      <w:r w:rsidRPr="00844938">
        <w:t xml:space="preserve">. </w:t>
      </w:r>
    </w:p>
    <w:p w14:paraId="39D7EFB2" w14:textId="7F0B816A" w:rsidR="00ED27CB" w:rsidRDefault="00AC494C" w:rsidP="006B4C08">
      <w:pPr>
        <w:spacing w:after="0"/>
      </w:pPr>
      <w:r w:rsidRPr="00AC494C">
        <w:t xml:space="preserve">Šiuo atveju, pildant skelbimo apie pirkimą „Numatomas galiojimas“ sutarties trukmė nurodyta neteisingai. </w:t>
      </w:r>
      <w:r w:rsidR="00373DD0">
        <w:t xml:space="preserve"> </w:t>
      </w:r>
      <w:r w:rsidRPr="00AC494C">
        <w:t>Atsižvelgiant į tai, Tarnyba rekomenduoja</w:t>
      </w:r>
      <w:r w:rsidR="00556350">
        <w:t xml:space="preserve"> </w:t>
      </w:r>
      <w:hyperlink r:id="rId9" w:history="1">
        <w:r w:rsidR="00556350" w:rsidRPr="00556350">
          <w:rPr>
            <w:rStyle w:val="Hyperlink"/>
          </w:rPr>
          <w:t>Pranešimu apie pakeitimus</w:t>
        </w:r>
      </w:hyperlink>
      <w:r w:rsidRPr="00AC494C">
        <w:t xml:space="preserve">  patikslinti skelbimo apie pirkimą 5.1.3 punktą, nurodant terminą apimantį Preliminariosios sutarties trukmę su numatytu jos pratęsimu. </w:t>
      </w:r>
    </w:p>
    <w:p w14:paraId="36A3743A" w14:textId="77777777" w:rsidR="00373DD0" w:rsidRPr="00844938" w:rsidRDefault="00373DD0" w:rsidP="006B4C08">
      <w:pPr>
        <w:spacing w:after="0"/>
      </w:pPr>
    </w:p>
    <w:p w14:paraId="211FD87E" w14:textId="2562BA16" w:rsidR="00DF2283" w:rsidRPr="00DF2283" w:rsidRDefault="00ED27CB" w:rsidP="00DF2283">
      <w:r w:rsidRPr="00844938">
        <w:rPr>
          <w:b/>
          <w:bCs/>
        </w:rPr>
        <w:t>1.</w:t>
      </w:r>
      <w:r w:rsidR="009E2304" w:rsidRPr="00844938">
        <w:rPr>
          <w:b/>
          <w:bCs/>
        </w:rPr>
        <w:t>3</w:t>
      </w:r>
      <w:r w:rsidRPr="00844938">
        <w:rPr>
          <w:b/>
          <w:bCs/>
        </w:rPr>
        <w:t>.</w:t>
      </w:r>
      <w:r w:rsidRPr="00844938">
        <w:t xml:space="preserve"> </w:t>
      </w:r>
      <w:r w:rsidR="00DF2283" w:rsidRPr="00DF2283">
        <w:t>Skelbimo apie pirkimą 5.1.7 punkta</w:t>
      </w:r>
      <w:r w:rsidR="00E453F0" w:rsidRPr="00844938">
        <w:t>s</w:t>
      </w:r>
      <w:r w:rsidR="00DF2283" w:rsidRPr="00DF2283">
        <w:t xml:space="preserve"> užpildyt</w:t>
      </w:r>
      <w:r w:rsidR="00E453F0" w:rsidRPr="00844938">
        <w:t>as</w:t>
      </w:r>
      <w:r w:rsidR="00DF2283" w:rsidRPr="00DF2283">
        <w:t xml:space="preserve"> netinkamai, nesivadovaujant mokomosios priemonės </w:t>
      </w:r>
      <w:hyperlink r:id="rId10" w:history="1">
        <w:r w:rsidR="00DF2283" w:rsidRPr="00DF2283">
          <w:rPr>
            <w:rStyle w:val="Hyperlink"/>
          </w:rPr>
          <w:t>Skelbimas apie pirkimą</w:t>
        </w:r>
      </w:hyperlink>
      <w:r w:rsidR="00DF2283" w:rsidRPr="00DF2283">
        <w:t xml:space="preserve">  17 skaidr</w:t>
      </w:r>
      <w:r w:rsidR="00B47B77" w:rsidRPr="00844938">
        <w:t>ės informacija</w:t>
      </w:r>
      <w:r w:rsidR="00DF2283" w:rsidRPr="00DF2283">
        <w:t>, kurio</w:t>
      </w:r>
      <w:r w:rsidR="00B47B77" w:rsidRPr="00844938">
        <w:t>j</w:t>
      </w:r>
      <w:r w:rsidR="00DF2283" w:rsidRPr="00DF2283">
        <w:t xml:space="preserve">e nurodyta, </w:t>
      </w:r>
      <w:r w:rsidR="00DF2283" w:rsidRPr="00DF2283">
        <w:lastRenderedPageBreak/>
        <w:t xml:space="preserve">kaip žymėti strateginius viešuosius pirkimus, kai vykdomas žaliasis pirkimas ir (ar) socialinis pirkimas. </w:t>
      </w:r>
      <w:r w:rsidR="00B52DC4">
        <w:t xml:space="preserve">Atkreiptinas dėmesys, jog </w:t>
      </w:r>
      <w:r w:rsidR="007C5A22" w:rsidRPr="00844938">
        <w:t xml:space="preserve">Pirkimo </w:t>
      </w:r>
      <w:r w:rsidR="001519DB" w:rsidRPr="00844938">
        <w:t xml:space="preserve">pats </w:t>
      </w:r>
      <w:r w:rsidR="007C5A22" w:rsidRPr="00844938">
        <w:t xml:space="preserve">pavadinimas </w:t>
      </w:r>
      <w:r w:rsidR="007C5A22" w:rsidRPr="00844938">
        <w:rPr>
          <w:b/>
          <w:bCs/>
          <w:iCs/>
        </w:rPr>
        <w:t xml:space="preserve"> </w:t>
      </w:r>
      <w:r w:rsidR="00373DD0">
        <w:rPr>
          <w:b/>
          <w:bCs/>
          <w:iCs/>
        </w:rPr>
        <w:t>„</w:t>
      </w:r>
      <w:r w:rsidR="007C5A22" w:rsidRPr="00844938">
        <w:rPr>
          <w:b/>
          <w:bCs/>
          <w:iCs/>
        </w:rPr>
        <w:t>Rokiškio dvaro centrinių rūmų (</w:t>
      </w:r>
      <w:proofErr w:type="spellStart"/>
      <w:r w:rsidR="007C5A22" w:rsidRPr="00844938">
        <w:rPr>
          <w:b/>
          <w:bCs/>
          <w:iCs/>
        </w:rPr>
        <w:t>Un</w:t>
      </w:r>
      <w:proofErr w:type="spellEnd"/>
      <w:r w:rsidR="007C5A22" w:rsidRPr="00844938">
        <w:rPr>
          <w:b/>
          <w:bCs/>
          <w:iCs/>
        </w:rPr>
        <w:t>. kodas 571) pritaikymo žmonėms su negalia darbai”</w:t>
      </w:r>
      <w:r w:rsidR="007C5A22" w:rsidRPr="00844938">
        <w:t xml:space="preserve"> nurodo, jog bus perkami pritaikymo </w:t>
      </w:r>
      <w:r w:rsidR="00001AFA" w:rsidRPr="00844938">
        <w:t xml:space="preserve">žmonėms su negalia </w:t>
      </w:r>
      <w:r w:rsidR="00BA29D8" w:rsidRPr="00844938">
        <w:t>darbai</w:t>
      </w:r>
      <w:r w:rsidR="00DF2283" w:rsidRPr="00DF2283">
        <w:t xml:space="preserve">, taip pat </w:t>
      </w:r>
      <w:r w:rsidR="00F47617" w:rsidRPr="00844938">
        <w:t>Pirkimo sąlygų 2 priedo „Techninė specifikacija“</w:t>
      </w:r>
      <w:r w:rsidR="001519DB" w:rsidRPr="00844938">
        <w:t xml:space="preserve"> (toliau</w:t>
      </w:r>
      <w:r w:rsidR="001A5A16" w:rsidRPr="00844938">
        <w:t xml:space="preserve"> – Techninė specifikacija)</w:t>
      </w:r>
      <w:r w:rsidR="00F47617" w:rsidRPr="00844938">
        <w:t xml:space="preserve"> </w:t>
      </w:r>
      <w:r w:rsidR="00BB4F6F" w:rsidRPr="00844938">
        <w:t>4 punkte nurodyta, jog „&lt;...&gt;</w:t>
      </w:r>
      <w:r w:rsidR="005742DE">
        <w:t xml:space="preserve"> </w:t>
      </w:r>
      <w:r w:rsidR="00853932" w:rsidRPr="00844938">
        <w:t xml:space="preserve">Remonto darbai atliekami tik </w:t>
      </w:r>
      <w:r w:rsidR="00853932" w:rsidRPr="00844938">
        <w:rPr>
          <w:b/>
          <w:bCs/>
        </w:rPr>
        <w:t>dėl neįgaliųjų poreikio užtikrinimo</w:t>
      </w:r>
      <w:r w:rsidR="00853932" w:rsidRPr="00844938">
        <w:t>.“</w:t>
      </w:r>
      <w:r w:rsidR="00DF2283" w:rsidRPr="00DF2283">
        <w:t xml:space="preserve"> </w:t>
      </w:r>
      <w:r w:rsidR="009A1F1E" w:rsidRPr="00844938">
        <w:t>Atsižvelgiant į nurodytą r</w:t>
      </w:r>
      <w:r w:rsidR="00DF2283" w:rsidRPr="00DF2283">
        <w:t xml:space="preserve">ekomenduotina </w:t>
      </w:r>
      <w:hyperlink r:id="rId11" w:history="1">
        <w:r w:rsidR="00556350" w:rsidRPr="00556350">
          <w:rPr>
            <w:rStyle w:val="Hyperlink"/>
          </w:rPr>
          <w:t>Pranešimu apie pakeitimus</w:t>
        </w:r>
      </w:hyperlink>
      <w:r w:rsidR="00556350" w:rsidRPr="00556350">
        <w:t xml:space="preserve"> </w:t>
      </w:r>
      <w:r w:rsidR="00DF2283" w:rsidRPr="00DF2283">
        <w:t xml:space="preserve">tikslinti skelbimą apie pirkimą, užpildant informaciją apie strateginius viešuosius pirkimus pagal pavyzdį (taip turi atrodyti skelbimo apie pirkimą 5.1.7 ir 5.1.8 punktai </w:t>
      </w:r>
      <w:proofErr w:type="spellStart"/>
      <w:r w:rsidR="00DF2283" w:rsidRPr="00DF2283">
        <w:t>pdf</w:t>
      </w:r>
      <w:proofErr w:type="spellEnd"/>
      <w:r w:rsidR="00DF2283" w:rsidRPr="00DF2283">
        <w:t xml:space="preserve"> formate):</w:t>
      </w:r>
    </w:p>
    <w:p w14:paraId="6D874FFE" w14:textId="21833DF9" w:rsidR="00382E3D" w:rsidRPr="00844938" w:rsidRDefault="00677BF6" w:rsidP="00AA4F1E">
      <w:r w:rsidRPr="00844938">
        <w:rPr>
          <w:noProof/>
        </w:rPr>
        <w:drawing>
          <wp:inline distT="0" distB="0" distL="0" distR="0" wp14:anchorId="253CDD8A" wp14:editId="205025D3">
            <wp:extent cx="4669790" cy="1962785"/>
            <wp:effectExtent l="0" t="0" r="0" b="0"/>
            <wp:docPr id="8446219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69790" cy="1962785"/>
                    </a:xfrm>
                    <a:prstGeom prst="rect">
                      <a:avLst/>
                    </a:prstGeom>
                    <a:noFill/>
                  </pic:spPr>
                </pic:pic>
              </a:graphicData>
            </a:graphic>
          </wp:inline>
        </w:drawing>
      </w:r>
    </w:p>
    <w:p w14:paraId="69FBB3CB" w14:textId="0C0DDAB3" w:rsidR="00382E3D" w:rsidRPr="00844938" w:rsidRDefault="00382E3D" w:rsidP="003356D2">
      <w:pPr>
        <w:pStyle w:val="ListParagraph"/>
        <w:numPr>
          <w:ilvl w:val="0"/>
          <w:numId w:val="1"/>
        </w:numPr>
      </w:pPr>
      <w:r w:rsidRPr="00844938">
        <w:rPr>
          <w:b/>
          <w:bCs/>
        </w:rPr>
        <w:t>Dėl Pirkimo objekto neskaidymo į dalis</w:t>
      </w:r>
    </w:p>
    <w:p w14:paraId="07424731" w14:textId="2DD2E230" w:rsidR="00992F2C" w:rsidRPr="00992F2C" w:rsidRDefault="00382E3D" w:rsidP="00655CA2">
      <w:pPr>
        <w:spacing w:after="0"/>
        <w:rPr>
          <w:bCs/>
        </w:rPr>
      </w:pPr>
      <w:r w:rsidRPr="00382E3D">
        <w:t>Pirkimo sąlygų 2.2 papunktyje nurodyta, jog „</w:t>
      </w:r>
      <w:r w:rsidR="00B61A0D" w:rsidRPr="00844938">
        <w:t>Pirkimo objektas į dalis neskaidomas. Pirkimo apimtys, reikalavimai ir techninė specifikacija apibrėžti specialiųjų pirkimo sąlygų 2 ir 10 prieduose</w:t>
      </w:r>
      <w:r w:rsidRPr="00382E3D">
        <w:t xml:space="preserve">“. </w:t>
      </w:r>
      <w:r w:rsidR="007A6505" w:rsidRPr="00844938">
        <w:t xml:space="preserve">Techninės specifikacijos </w:t>
      </w:r>
      <w:r w:rsidR="006734EC" w:rsidRPr="00844938">
        <w:t>2 punkte nurodyta, jog „</w:t>
      </w:r>
      <w:r w:rsidR="00C0241B" w:rsidRPr="00844938">
        <w:rPr>
          <w:bCs/>
        </w:rPr>
        <w:t>Darbai apima: darbo projekto parengimą pagal Užsakovo pateiktą techninį projektą&lt;...&gt;</w:t>
      </w:r>
      <w:r w:rsidR="00102D13" w:rsidRPr="00844938">
        <w:rPr>
          <w:bCs/>
        </w:rPr>
        <w:t xml:space="preserve">“, 4 punkte </w:t>
      </w:r>
      <w:r w:rsidR="000B0510" w:rsidRPr="00844938">
        <w:rPr>
          <w:bCs/>
        </w:rPr>
        <w:t>detalizuotos</w:t>
      </w:r>
      <w:r w:rsidR="00102D13" w:rsidRPr="00844938">
        <w:rPr>
          <w:bCs/>
        </w:rPr>
        <w:t xml:space="preserve"> remonto darbų apimtys</w:t>
      </w:r>
      <w:r w:rsidR="00992F2C" w:rsidRPr="00992F2C">
        <w:rPr>
          <w:bCs/>
        </w:rPr>
        <w:t>.</w:t>
      </w:r>
    </w:p>
    <w:p w14:paraId="0C626659" w14:textId="0E3C0583" w:rsidR="00F34999" w:rsidRPr="00844938" w:rsidRDefault="00382E3D" w:rsidP="00655CA2">
      <w:pPr>
        <w:spacing w:after="0"/>
      </w:pPr>
      <w:r w:rsidRPr="00382E3D">
        <w:t xml:space="preserve">Atsižvelgiant į tai, kad šio Pirkimo objektas – </w:t>
      </w:r>
      <w:r w:rsidRPr="00382E3D">
        <w:rPr>
          <w:b/>
          <w:bCs/>
        </w:rPr>
        <w:t>darbo projekto parengimas</w:t>
      </w:r>
      <w:r w:rsidRPr="00382E3D">
        <w:t xml:space="preserve"> ir </w:t>
      </w:r>
      <w:r w:rsidRPr="00382E3D">
        <w:rPr>
          <w:b/>
          <w:bCs/>
        </w:rPr>
        <w:t>rangos darbų atlikimas</w:t>
      </w:r>
      <w:r w:rsidRPr="00382E3D">
        <w:t xml:space="preserve">, Tarnyba atkreipia dėmesį į tai, kad Įstatymo 28 straipsnio 1 dalyje įtvirtinta: „Perkančioji organizacija, siekdama didinti tiekėjų konkurenciją ir atsižvelgdama į smulkiojo ir vidutinio verslo subjektų galimybes įvykdyti pirkimo sutartį, priima sprendimą dėl pirkimo objekto skaidymo į dalis, dėl kiekvienos iš jų numatoma sudaryti atskirą pirkimo sutartį, apibrėžiant šių dalių apimtį ir dalyką“, o 2 dalyje nustatyta, kad „Perkančioji organizacija, nusprendusi &lt;...&gt; </w:t>
      </w:r>
      <w:r w:rsidRPr="00382E3D">
        <w:rPr>
          <w:b/>
          <w:bCs/>
        </w:rPr>
        <w:t>statinio statybos darbų ir statinio projektavimo paslaugų</w:t>
      </w:r>
      <w:r w:rsidRPr="00382E3D">
        <w:t xml:space="preserve"> pirkimo objekto neskaidyti į dalis, sprendimo pagrindimą nurodo pirkimo dokumentuose“.</w:t>
      </w:r>
    </w:p>
    <w:p w14:paraId="6A539222" w14:textId="17654935" w:rsidR="007F5706" w:rsidRPr="007F5706" w:rsidRDefault="007F5706" w:rsidP="007F5706">
      <w:pPr>
        <w:spacing w:after="0"/>
      </w:pPr>
      <w:r w:rsidRPr="00844938">
        <w:t>Atsižvelgiant į nurodytą</w:t>
      </w:r>
      <w:r w:rsidRPr="007F5706">
        <w:t xml:space="preserve"> Tarnyba rekomenduoja papildyti Pirkimo dokumentus argumentuotu pagrindimu, kodėl statybos darbai perkami kartu su darbo projekto parengimo paslaugomis. </w:t>
      </w:r>
    </w:p>
    <w:p w14:paraId="651FF993" w14:textId="77777777" w:rsidR="0006274E" w:rsidRPr="00382E3D" w:rsidRDefault="0006274E" w:rsidP="00382E3D"/>
    <w:p w14:paraId="16B9D398" w14:textId="77777777" w:rsidR="00A956A3" w:rsidRPr="00A956A3" w:rsidRDefault="00A956A3" w:rsidP="00A956A3">
      <w:pPr>
        <w:pStyle w:val="ListParagraph"/>
        <w:numPr>
          <w:ilvl w:val="0"/>
          <w:numId w:val="1"/>
        </w:numPr>
        <w:rPr>
          <w:b/>
          <w:bCs/>
        </w:rPr>
      </w:pPr>
      <w:r w:rsidRPr="00A956A3">
        <w:rPr>
          <w:b/>
          <w:bCs/>
        </w:rPr>
        <w:lastRenderedPageBreak/>
        <w:t>Dėl kvalifikacijos reikalavimų</w:t>
      </w:r>
    </w:p>
    <w:p w14:paraId="4712331C" w14:textId="2616DE12" w:rsidR="0076475D" w:rsidRPr="005742DE" w:rsidRDefault="00620987" w:rsidP="00620987">
      <w:r w:rsidRPr="00844938">
        <w:rPr>
          <w:b/>
          <w:bCs/>
        </w:rPr>
        <w:t>3.1.</w:t>
      </w:r>
      <w:r w:rsidRPr="00844938">
        <w:t xml:space="preserve"> </w:t>
      </w:r>
      <w:r w:rsidR="005E60EA" w:rsidRPr="00844938">
        <w:t xml:space="preserve">Pirkimo sąlygų 4 priedo </w:t>
      </w:r>
      <w:r w:rsidR="00272AF9" w:rsidRPr="00844938">
        <w:t xml:space="preserve">„Tiekėjų kvalifikacijos reikalavimai ir reikalaujami kokybės bei aplinkos apsaugos vadybos sistemų standartai“ (toliau – Kvalifikacijos reikalavimai) </w:t>
      </w:r>
      <w:r w:rsidR="00D5134E" w:rsidRPr="00844938">
        <w:t xml:space="preserve">1.1. punkte </w:t>
      </w:r>
      <w:r w:rsidR="00EF4C88" w:rsidRPr="00844938">
        <w:t xml:space="preserve">nustatytas reikalavimas </w:t>
      </w:r>
      <w:r w:rsidR="002D6585" w:rsidRPr="00844938">
        <w:t xml:space="preserve">Tiekėjui </w:t>
      </w:r>
      <w:r w:rsidR="00444D2E" w:rsidRPr="00844938">
        <w:t>dėl teisės verstis veikla</w:t>
      </w:r>
      <w:r w:rsidR="009851BC" w:rsidRPr="00844938">
        <w:t xml:space="preserve"> ir nurodytos statybos darbų sritys: </w:t>
      </w:r>
      <w:r w:rsidR="005C71E3" w:rsidRPr="00844938">
        <w:t>bendrieji statybos darbai</w:t>
      </w:r>
      <w:r w:rsidR="007609D9">
        <w:t xml:space="preserve">: </w:t>
      </w:r>
      <w:r w:rsidR="005C71E3" w:rsidRPr="00844938">
        <w:t xml:space="preserve">žemės darbai – statybos sklypo reljefo tvarkymas, pamatų duobių, iškasų, tranšėjų kasimas ir užpylimas; statybinių konstrukcijų statyba ir montavimas, hidroizoliacija, </w:t>
      </w:r>
      <w:r w:rsidR="005C71E3" w:rsidRPr="00844938">
        <w:rPr>
          <w:b/>
          <w:bCs/>
        </w:rPr>
        <w:t>stogų įrengimas</w:t>
      </w:r>
      <w:r w:rsidR="005C71E3" w:rsidRPr="00844938">
        <w:t>, apdailos darbai)</w:t>
      </w:r>
      <w:r w:rsidR="00365AFE" w:rsidRPr="00844938">
        <w:t xml:space="preserve">. </w:t>
      </w:r>
      <w:r w:rsidR="007D4644" w:rsidRPr="00844938">
        <w:t>Techninės specifikacijos 4 punkte nurodyt</w:t>
      </w:r>
      <w:r w:rsidR="00DE3685" w:rsidRPr="00844938">
        <w:t>a: „</w:t>
      </w:r>
      <w:r w:rsidR="00AE565E" w:rsidRPr="00844938">
        <w:t xml:space="preserve">Remonto darbai atliekami tik dėl neįgaliųjų poreikio užtikrinimo. &lt;...&gt; Darbų apimtys: </w:t>
      </w:r>
      <w:r w:rsidR="00D82F84" w:rsidRPr="00844938">
        <w:t xml:space="preserve">Lifto įrengimas pastato viduje; </w:t>
      </w:r>
      <w:r w:rsidR="001D4CC4" w:rsidRPr="00844938">
        <w:t>Sanitarinių mazgų cokoliniame aukšte pritaikymas neįgaliesiems, jų apdailos ir prietaisų keitimas;</w:t>
      </w:r>
      <w:r w:rsidR="00B131C5" w:rsidRPr="00844938">
        <w:rPr>
          <w:rFonts w:ascii="Times New Roman" w:hAnsi="Times New Roman" w:cs="Times New Roman"/>
          <w:kern w:val="0"/>
          <w:szCs w:val="22"/>
          <w14:ligatures w14:val="none"/>
        </w:rPr>
        <w:t xml:space="preserve"> </w:t>
      </w:r>
      <w:r w:rsidR="00B131C5" w:rsidRPr="00844938">
        <w:t xml:space="preserve">Vidaus praėjimų pritaikymas neįgaliesiems; </w:t>
      </w:r>
      <w:r w:rsidR="0076475D" w:rsidRPr="00844938">
        <w:t>Prie pastato esančių priėjimų žmonėms su negalia pritaikymas</w:t>
      </w:r>
      <w:r w:rsidR="00AE565E" w:rsidRPr="00844938">
        <w:t>“.</w:t>
      </w:r>
      <w:r w:rsidR="00625389" w:rsidRPr="00844938">
        <w:t xml:space="preserve"> Atsižvelgiant į nurodytą, Tarnyba prašo paaiškinti, kaip šiuo atveju </w:t>
      </w:r>
      <w:r w:rsidR="00321718" w:rsidRPr="00844938">
        <w:t xml:space="preserve">stogų įrengimas </w:t>
      </w:r>
      <w:r w:rsidR="00D67EE2" w:rsidRPr="00844938">
        <w:t xml:space="preserve">yra susijęs su </w:t>
      </w:r>
      <w:r w:rsidR="00EA7E05">
        <w:t xml:space="preserve">perkamais </w:t>
      </w:r>
      <w:r w:rsidR="00D67EE2" w:rsidRPr="00844938">
        <w:t>remonto darbais atliekamais dėl neįgaliųjų poreikio užtikrinimo?</w:t>
      </w:r>
    </w:p>
    <w:p w14:paraId="4D869A8B" w14:textId="07606E66" w:rsidR="003F1E66" w:rsidRDefault="00620987" w:rsidP="004E6466">
      <w:pPr>
        <w:spacing w:after="0"/>
      </w:pPr>
      <w:r w:rsidRPr="00844938">
        <w:rPr>
          <w:b/>
          <w:bCs/>
        </w:rPr>
        <w:t>3.2.</w:t>
      </w:r>
      <w:r w:rsidRPr="00844938">
        <w:t xml:space="preserve">  </w:t>
      </w:r>
      <w:r w:rsidR="0008246C">
        <w:t xml:space="preserve">Kvalifikacijos reikalavimų </w:t>
      </w:r>
      <w:r w:rsidR="00B06C2D">
        <w:t>1.1. punkte nustatytas reikalavimas:</w:t>
      </w:r>
    </w:p>
    <w:p w14:paraId="511DD659" w14:textId="0084D407" w:rsidR="0013096B" w:rsidRPr="0013096B" w:rsidRDefault="00EA7E05" w:rsidP="0013096B">
      <w:pPr>
        <w:spacing w:after="0"/>
      </w:pPr>
      <w:r>
        <w:t>„</w:t>
      </w:r>
      <w:r w:rsidR="0013096B" w:rsidRPr="0013096B">
        <w:t>Tiekėjas turi teisę būti ypatingo statinio statybos rangovu</w:t>
      </w:r>
      <w:r w:rsidR="0013096B" w:rsidRPr="0013096B">
        <w:rPr>
          <w:b/>
          <w:bCs/>
        </w:rPr>
        <w:t xml:space="preserve"> </w:t>
      </w:r>
    </w:p>
    <w:p w14:paraId="1F7D186E" w14:textId="11D357F9" w:rsidR="00EA7E05" w:rsidRPr="0013096B" w:rsidRDefault="0013096B" w:rsidP="0013096B">
      <w:pPr>
        <w:spacing w:after="0"/>
      </w:pPr>
      <w:r w:rsidRPr="0013096B">
        <w:t>(</w:t>
      </w:r>
      <w:r w:rsidRPr="0013096B">
        <w:rPr>
          <w:i/>
          <w:iCs/>
        </w:rPr>
        <w:t xml:space="preserve">statinių grupė – negyvenamieji pastatai, pastatų pogrupis – kultūros paskirties pastatai) </w:t>
      </w:r>
      <w:r w:rsidRPr="0013096B">
        <w:t>vadovaujantis Lietuvos Respublikos statybos įstatymo 18 straipsnio 2 dalimi.</w:t>
      </w:r>
    </w:p>
    <w:p w14:paraId="64F5D170" w14:textId="072A9427" w:rsidR="00C15549" w:rsidRDefault="004675B9" w:rsidP="004E6466">
      <w:pPr>
        <w:spacing w:after="0"/>
      </w:pPr>
      <w:r>
        <w:t xml:space="preserve">Kvalifikacijos reikalavimų </w:t>
      </w:r>
      <w:r w:rsidR="0008246C">
        <w:t>3.1 punkte nustatytas reikalavimas</w:t>
      </w:r>
      <w:r w:rsidR="00C15549">
        <w:t>:</w:t>
      </w:r>
    </w:p>
    <w:p w14:paraId="6CE64488" w14:textId="77777777" w:rsidR="00D86261" w:rsidRDefault="00C15549" w:rsidP="004E6466">
      <w:pPr>
        <w:spacing w:after="0"/>
        <w:rPr>
          <w:bCs/>
        </w:rPr>
      </w:pPr>
      <w:r>
        <w:t>1</w:t>
      </w:r>
      <w:r w:rsidR="00845303">
        <w:t xml:space="preserve">) </w:t>
      </w:r>
      <w:r w:rsidR="00D86261" w:rsidRPr="00D86261">
        <w:t xml:space="preserve">Tiekėjas turi turėti bent 1 (vieną) atestuotą  ypatingojo statinio statybos darbų vadovą </w:t>
      </w:r>
      <w:r w:rsidR="00D86261" w:rsidRPr="00D86261">
        <w:rPr>
          <w:i/>
          <w:iCs/>
        </w:rPr>
        <w:t>(statiniai - negyvenamieji pastatai, pogrupis: kultūros paskirties pastatai);</w:t>
      </w:r>
      <w:r w:rsidR="00D86261" w:rsidRPr="00D86261">
        <w:rPr>
          <w:bCs/>
        </w:rPr>
        <w:t xml:space="preserve"> </w:t>
      </w:r>
    </w:p>
    <w:p w14:paraId="70764581" w14:textId="77777777" w:rsidR="004377CA" w:rsidRPr="004377CA" w:rsidRDefault="00D86261" w:rsidP="004E6466">
      <w:pPr>
        <w:spacing w:after="0"/>
        <w:rPr>
          <w:bCs/>
        </w:rPr>
      </w:pPr>
      <w:r>
        <w:rPr>
          <w:bCs/>
        </w:rPr>
        <w:t xml:space="preserve">2) </w:t>
      </w:r>
      <w:r w:rsidR="004377CA" w:rsidRPr="004377CA">
        <w:rPr>
          <w:bCs/>
        </w:rPr>
        <w:t xml:space="preserve">Tiekėjas turi turėti bent 1 (vieną) atestuotą ypatingojo statinio specialiųjų statybos darbų </w:t>
      </w:r>
      <w:r w:rsidR="004377CA" w:rsidRPr="004377CA">
        <w:rPr>
          <w:bCs/>
          <w:i/>
          <w:iCs/>
        </w:rPr>
        <w:t>vadovą (statiniai - negyvenamieji pastatai pogrupis: kultūros paskirties pastatai)</w:t>
      </w:r>
      <w:r w:rsidR="004377CA" w:rsidRPr="004377CA">
        <w:rPr>
          <w:bCs/>
        </w:rPr>
        <w:t xml:space="preserve"> šioms specialiųjų statybos darbų sritims:</w:t>
      </w:r>
    </w:p>
    <w:p w14:paraId="04554FAA" w14:textId="77777777" w:rsidR="004377CA" w:rsidRPr="004377CA" w:rsidRDefault="004377CA" w:rsidP="004E6466">
      <w:pPr>
        <w:spacing w:after="0"/>
        <w:rPr>
          <w:bCs/>
          <w:i/>
          <w:iCs/>
        </w:rPr>
      </w:pPr>
      <w:r w:rsidRPr="004377CA">
        <w:rPr>
          <w:bCs/>
          <w:i/>
          <w:iCs/>
        </w:rPr>
        <w:t>-  statinio vandentiekio ir nuotekų šalinimo inžinerinių sistemų įrengimas;</w:t>
      </w:r>
    </w:p>
    <w:p w14:paraId="57DDF284" w14:textId="77777777" w:rsidR="004377CA" w:rsidRPr="004377CA" w:rsidRDefault="004377CA" w:rsidP="004E6466">
      <w:pPr>
        <w:spacing w:after="0"/>
        <w:rPr>
          <w:bCs/>
          <w:i/>
          <w:iCs/>
        </w:rPr>
      </w:pPr>
      <w:r w:rsidRPr="004377CA">
        <w:rPr>
          <w:bCs/>
          <w:i/>
          <w:iCs/>
        </w:rPr>
        <w:t>-  statinio elektros inžinerinių sistemų įrengimas;</w:t>
      </w:r>
    </w:p>
    <w:p w14:paraId="638CF615" w14:textId="14D78BFB" w:rsidR="004E6466" w:rsidRPr="004E6466" w:rsidRDefault="004377CA" w:rsidP="004E6466">
      <w:pPr>
        <w:spacing w:after="0"/>
        <w:rPr>
          <w:bCs/>
        </w:rPr>
      </w:pPr>
      <w:r>
        <w:rPr>
          <w:bCs/>
        </w:rPr>
        <w:t xml:space="preserve">3) </w:t>
      </w:r>
      <w:r w:rsidR="004E6466" w:rsidRPr="004E6466">
        <w:rPr>
          <w:bCs/>
        </w:rPr>
        <w:t xml:space="preserve">Tiekėjas turi turėti bent 1 (vieną) atestuotą  ypatingojo statinio projekto vadovą </w:t>
      </w:r>
      <w:r w:rsidR="004E6466" w:rsidRPr="004E6466">
        <w:rPr>
          <w:bCs/>
          <w:i/>
          <w:iCs/>
        </w:rPr>
        <w:t>(statiniai - negyvenamieji pastatai)</w:t>
      </w:r>
      <w:r w:rsidR="004E6466">
        <w:rPr>
          <w:bCs/>
          <w:i/>
          <w:iCs/>
        </w:rPr>
        <w:t>“</w:t>
      </w:r>
      <w:r w:rsidR="004E6466" w:rsidRPr="004E6466">
        <w:rPr>
          <w:bCs/>
          <w:i/>
          <w:iCs/>
        </w:rPr>
        <w:t>.</w:t>
      </w:r>
    </w:p>
    <w:p w14:paraId="60459198" w14:textId="149B3D88" w:rsidR="00955DC5" w:rsidRDefault="00620987" w:rsidP="0075059E">
      <w:r w:rsidRPr="00844938">
        <w:t>Tarnyba atkreipia dėmesį, jog Techniniame projekte nurodyta, jog</w:t>
      </w:r>
      <w:r w:rsidR="00844938">
        <w:t xml:space="preserve"> „</w:t>
      </w:r>
      <w:r w:rsidR="0075059E" w:rsidRPr="0075059E">
        <w:t xml:space="preserve">Rokiškio dvaro sodybos rūmų pastatas </w:t>
      </w:r>
      <w:r w:rsidR="0075059E" w:rsidRPr="0075059E">
        <w:rPr>
          <w:b/>
          <w:bCs/>
        </w:rPr>
        <w:t>yra įtrauktas į nekilnojamųjų kultūros vertybių sąrašą</w:t>
      </w:r>
      <w:r w:rsidR="0075059E" w:rsidRPr="0075059E">
        <w:t xml:space="preserve"> (KVR. </w:t>
      </w:r>
      <w:proofErr w:type="spellStart"/>
      <w:r w:rsidR="0075059E" w:rsidRPr="0075059E">
        <w:t>un</w:t>
      </w:r>
      <w:proofErr w:type="spellEnd"/>
      <w:r w:rsidR="0075059E" w:rsidRPr="0075059E">
        <w:t xml:space="preserve">. o. k.: 571) ir yra Rokiškio dvaro sodybos (KVR. </w:t>
      </w:r>
      <w:proofErr w:type="spellStart"/>
      <w:r w:rsidR="0075059E" w:rsidRPr="0075059E">
        <w:t>un</w:t>
      </w:r>
      <w:proofErr w:type="spellEnd"/>
      <w:r w:rsidR="0075059E" w:rsidRPr="0075059E">
        <w:t xml:space="preserve">. o. k. 1010) komplekso dalis, </w:t>
      </w:r>
      <w:r w:rsidR="0075059E" w:rsidRPr="0075059E">
        <w:rPr>
          <w:b/>
          <w:bCs/>
        </w:rPr>
        <w:t>bei patenka į Rokiškio miesto istorinę dalį</w:t>
      </w:r>
      <w:r w:rsidR="0075059E" w:rsidRPr="0075059E">
        <w:t xml:space="preserve"> (KVR. </w:t>
      </w:r>
      <w:proofErr w:type="spellStart"/>
      <w:r w:rsidR="0075059E" w:rsidRPr="0075059E">
        <w:t>un</w:t>
      </w:r>
      <w:proofErr w:type="spellEnd"/>
      <w:r w:rsidR="0075059E" w:rsidRPr="0075059E">
        <w:t>. o. k. 17102)</w:t>
      </w:r>
      <w:r w:rsidRPr="0075059E">
        <w:t>“.</w:t>
      </w:r>
      <w:r w:rsidRPr="00844938">
        <w:t xml:space="preserve"> Atsižvelgiant į nurodytą, rekomenduotina  pakartotinai įsivertinti, ar šiuo atveju kvalifikacijos reikalavimai nustatyti tinkamai, t. y.  ar siekiamas remontuoti pastatas nepatenka į  kultūros paveldo objekto teritoriją, jo apsaugos zoną, kultūros paveldo vietovę, ir ar  kvalifikacijos reikalavima</w:t>
      </w:r>
      <w:r w:rsidR="007609D9">
        <w:t>i</w:t>
      </w:r>
      <w:r w:rsidRPr="00844938">
        <w:t xml:space="preserve"> dėl teisės verstis veikla </w:t>
      </w:r>
      <w:r w:rsidR="007609D9">
        <w:t xml:space="preserve">ir </w:t>
      </w:r>
      <w:r w:rsidR="002C1E25">
        <w:t xml:space="preserve">techninis ir profesinis pajėgumas </w:t>
      </w:r>
      <w:r w:rsidRPr="00844938">
        <w:t>neturėtų būti formuluojam</w:t>
      </w:r>
      <w:r w:rsidR="002C1E25">
        <w:t>i</w:t>
      </w:r>
      <w:r w:rsidRPr="00844938">
        <w:t xml:space="preserve"> atsižvelgiant į šią aplinkybę.</w:t>
      </w:r>
    </w:p>
    <w:p w14:paraId="7E63158D" w14:textId="77777777" w:rsidR="004B2FDF" w:rsidRDefault="004B2FDF" w:rsidP="0075059E"/>
    <w:p w14:paraId="48A1B97A" w14:textId="11EA5C4D" w:rsidR="00E31FC8" w:rsidRPr="009061B7" w:rsidRDefault="00E31FC8" w:rsidP="009061B7">
      <w:pPr>
        <w:pStyle w:val="ListParagraph"/>
        <w:numPr>
          <w:ilvl w:val="0"/>
          <w:numId w:val="1"/>
        </w:numPr>
        <w:rPr>
          <w:b/>
          <w:bCs/>
        </w:rPr>
      </w:pPr>
      <w:r w:rsidRPr="00E31FC8">
        <w:rPr>
          <w:b/>
          <w:bCs/>
        </w:rPr>
        <w:lastRenderedPageBreak/>
        <w:t>Dėl aplinkosauginių reikalavimų</w:t>
      </w:r>
    </w:p>
    <w:p w14:paraId="1CA337DF" w14:textId="5212F0F5" w:rsidR="007B1575" w:rsidRPr="007B1575" w:rsidRDefault="009061B7" w:rsidP="0071260F">
      <w:pPr>
        <w:spacing w:after="0"/>
      </w:pPr>
      <w:r w:rsidRPr="009061B7">
        <w:rPr>
          <w:b/>
          <w:bCs/>
        </w:rPr>
        <w:t>4.1.</w:t>
      </w:r>
      <w:r>
        <w:t xml:space="preserve"> </w:t>
      </w:r>
      <w:r w:rsidR="007B1575" w:rsidRPr="007B1575">
        <w:t xml:space="preserve">Pirkimo sąlygų </w:t>
      </w:r>
      <w:r w:rsidR="00610724">
        <w:t>1.5</w:t>
      </w:r>
      <w:r w:rsidR="007B1575" w:rsidRPr="007B1575">
        <w:t xml:space="preserve"> punkte nustatyta, kad „</w:t>
      </w:r>
      <w:r w:rsidR="0019425F" w:rsidRPr="0019425F">
        <w:t>Atliekamas žaliasis pirkimas. Pirkimas vykdomas vadovaujantis Lietuvos Respublikos aplinkos ministro   2011 m. birželio 28 d. įsakymo Nr. D1-508 „</w:t>
      </w:r>
      <w:hyperlink r:id="rId13" w:history="1">
        <w:r w:rsidR="0019425F" w:rsidRPr="0019425F">
          <w:rPr>
            <w:rStyle w:val="Hyperlink"/>
          </w:rPr>
          <w:t>Dėl Aplinkos apsaugos kriterijų taikymo, vykdant žaliuosius pirkimus, tvarkos aprašo patvirtinimo</w:t>
        </w:r>
      </w:hyperlink>
      <w:r w:rsidR="0019425F" w:rsidRPr="0019425F">
        <w:t>“ 4.3</w:t>
      </w:r>
      <w:r w:rsidR="0019425F" w:rsidRPr="009061B7">
        <w:rPr>
          <w:i/>
        </w:rPr>
        <w:t xml:space="preserve"> </w:t>
      </w:r>
      <w:r w:rsidR="0019425F" w:rsidRPr="0019425F">
        <w:t xml:space="preserve"> punktu (-</w:t>
      </w:r>
      <w:proofErr w:type="spellStart"/>
      <w:r w:rsidR="0019425F" w:rsidRPr="0019425F">
        <w:t>ais</w:t>
      </w:r>
      <w:proofErr w:type="spellEnd"/>
      <w:r w:rsidR="0019425F" w:rsidRPr="0019425F">
        <w:t xml:space="preserve">). </w:t>
      </w:r>
      <w:r w:rsidR="007B1575" w:rsidRPr="007B1575">
        <w:t>&lt;...&gt;“ (</w:t>
      </w:r>
      <w:r w:rsidR="007B1575" w:rsidRPr="009061B7">
        <w:rPr>
          <w:b/>
          <w:bCs/>
        </w:rPr>
        <w:t>„nėra produktų sąraše</w:t>
      </w:r>
      <w:r w:rsidR="007B1575" w:rsidRPr="007B1575">
        <w:t>, bet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&lt;...&gt;“) (toliau – Tvarkos aprašas).</w:t>
      </w:r>
    </w:p>
    <w:p w14:paraId="3CA3221B" w14:textId="77777777" w:rsidR="007B1575" w:rsidRPr="007B1575" w:rsidRDefault="007B1575" w:rsidP="0071260F">
      <w:pPr>
        <w:spacing w:after="0"/>
      </w:pPr>
      <w:r w:rsidRPr="007B1575">
        <w:t xml:space="preserve">Pažymima, kad Pirkimo objektas šiuo atveju </w:t>
      </w:r>
      <w:r w:rsidRPr="00F40947">
        <w:rPr>
          <w:b/>
          <w:bCs/>
        </w:rPr>
        <w:t>patenka</w:t>
      </w:r>
      <w:r w:rsidRPr="007B1575">
        <w:t xml:space="preserve"> į Tvarkos aprašo priede Nr. 1 „Produktų, kurių viešiesiems pirkimams ir pirkimams taikytini minimalūs aplinkos apsaugos kriterijai, sąrašas“ nurodytą </w:t>
      </w:r>
      <w:r w:rsidRPr="00F40947">
        <w:rPr>
          <w:b/>
          <w:bCs/>
        </w:rPr>
        <w:t>sąrašą</w:t>
      </w:r>
      <w:r w:rsidRPr="007B1575">
        <w:t>, t. y. taikomas 12 punktas „Pastatų projektavimo paslaugos ir statybos darbai“.</w:t>
      </w:r>
    </w:p>
    <w:p w14:paraId="59604A36" w14:textId="2FAF0444" w:rsidR="007B1575" w:rsidRDefault="007B1575" w:rsidP="00F40947">
      <w:r w:rsidRPr="007B1575">
        <w:t xml:space="preserve">Tvarkos aprašo 4 punkte nustatyta, kad pirkimas laikomas žaliuoju, kai perkama prekė, paslauga arba darbas tenkina bent vieną iš žemiau esančių papunkčių: 4.1. yra Produktų, kurių viešiesiems pirkimams ir pirkimams taikytini minimalūs aplinkos apsaugos kriterijai, sąraše, nurodytame Tvarkos aprašo 1 priede ir atitinka visus produktui nustatytus ir aplinkos ministro įsakymu patvirtintus minimalius aplinkos apsaugos kriterijus, nurodytus Tvarkos aprašo 2 priede. Tvarkos aprašo priedo Nr. 2 „Minimalūs aplinkos apsaugos kriterijai“ 15 punkte nustatyti projektavimo paslaugų ir statybos darbų minimalūs aplinkos apsaugos kriterijai, kuriuos privaloma taikyti vykdant žaliąjį pirkimą. </w:t>
      </w:r>
    </w:p>
    <w:p w14:paraId="11D968C0" w14:textId="4A9B108E" w:rsidR="007E2CCD" w:rsidRPr="005742DE" w:rsidRDefault="007E2CCD" w:rsidP="00A212B9">
      <w:pPr>
        <w:rPr>
          <w:rFonts w:eastAsia="Times New Roman" w:cs="Times New Roman"/>
          <w:kern w:val="0"/>
          <w14:ligatures w14:val="none"/>
        </w:rPr>
      </w:pPr>
      <w:r w:rsidRPr="00361762">
        <w:t>Be kita ko</w:t>
      </w:r>
      <w:r w:rsidR="00317AB5" w:rsidRPr="00361762">
        <w:t xml:space="preserve"> Techninės specifikacijos </w:t>
      </w:r>
      <w:r w:rsidR="00593ED1" w:rsidRPr="00361762">
        <w:t>2 punkte nustatyta, jog „</w:t>
      </w:r>
      <w:r w:rsidR="00A212B9" w:rsidRPr="00361762">
        <w:rPr>
          <w:bCs/>
        </w:rPr>
        <w:t xml:space="preserve">Darbai apima: darbo projekto parengimą pagal Užsakovo pateiktą </w:t>
      </w:r>
      <w:r w:rsidR="00A212B9" w:rsidRPr="00361762">
        <w:rPr>
          <w:b/>
        </w:rPr>
        <w:t>techninį projektą</w:t>
      </w:r>
      <w:r w:rsidR="00A212B9" w:rsidRPr="00361762">
        <w:rPr>
          <w:bCs/>
        </w:rPr>
        <w:t xml:space="preserve"> „Muziejaus (Rokiškio dvaro sodybos rūmai (kodas 571)) Tyzenhauzų g. 5 Rokiškyje, kapitalinio remonto projektas“</w:t>
      </w:r>
      <w:r w:rsidR="006B3D9F" w:rsidRPr="00361762">
        <w:rPr>
          <w:bCs/>
        </w:rPr>
        <w:t xml:space="preserve">, kurio </w:t>
      </w:r>
      <w:r w:rsidR="005A0DFC" w:rsidRPr="00361762">
        <w:rPr>
          <w:bCs/>
        </w:rPr>
        <w:t xml:space="preserve">Bendrosios dalies </w:t>
      </w:r>
      <w:r w:rsidR="00846157" w:rsidRPr="00361762">
        <w:rPr>
          <w:bCs/>
        </w:rPr>
        <w:t>lentelės „Rokiškio dvaro centrinių rūmų pritaikymo žmonėms su negalia projektavimo ir projekto vykdymo priežiūros paslaugų te</w:t>
      </w:r>
      <w:r w:rsidR="00C718BD" w:rsidRPr="00361762">
        <w:rPr>
          <w:bCs/>
        </w:rPr>
        <w:t>chninė specifikacija“ (36 psl.)</w:t>
      </w:r>
      <w:r w:rsidR="008C341F" w:rsidRPr="00361762">
        <w:rPr>
          <w:bCs/>
        </w:rPr>
        <w:t xml:space="preserve"> 1.9 punkte nustatyta, jog </w:t>
      </w:r>
      <w:r w:rsidR="0059785A">
        <w:rPr>
          <w:bCs/>
        </w:rPr>
        <w:t>įsi</w:t>
      </w:r>
      <w:r w:rsidR="00EF0D3E">
        <w:rPr>
          <w:bCs/>
        </w:rPr>
        <w:t>gyjant Technin</w:t>
      </w:r>
      <w:r w:rsidR="00F014F2">
        <w:rPr>
          <w:bCs/>
        </w:rPr>
        <w:t>io</w:t>
      </w:r>
      <w:r w:rsidR="00EF0D3E">
        <w:rPr>
          <w:bCs/>
        </w:rPr>
        <w:t xml:space="preserve"> projekto parengimą buvo </w:t>
      </w:r>
      <w:r w:rsidR="004D0552">
        <w:rPr>
          <w:bCs/>
        </w:rPr>
        <w:t>nustatyta</w:t>
      </w:r>
      <w:r w:rsidR="00EF0D3E">
        <w:rPr>
          <w:bCs/>
        </w:rPr>
        <w:t xml:space="preserve">, </w:t>
      </w:r>
      <w:r w:rsidR="00A541ED">
        <w:rPr>
          <w:bCs/>
        </w:rPr>
        <w:t>kad</w:t>
      </w:r>
      <w:r w:rsidR="00EF0D3E">
        <w:rPr>
          <w:bCs/>
        </w:rPr>
        <w:t xml:space="preserve"> </w:t>
      </w:r>
      <w:r w:rsidR="008C341F" w:rsidRPr="00361762">
        <w:rPr>
          <w:bCs/>
        </w:rPr>
        <w:t>„</w:t>
      </w:r>
      <w:r w:rsidR="007E423B" w:rsidRPr="00361762">
        <w:rPr>
          <w:bCs/>
        </w:rPr>
        <w:t>&lt;...&gt;</w:t>
      </w:r>
      <w:r w:rsidR="007E423B" w:rsidRPr="00361762">
        <w:rPr>
          <w:rFonts w:eastAsia="Times New Roman" w:cs="Calibri"/>
          <w:color w:val="000000"/>
          <w:kern w:val="0"/>
          <w14:ligatures w14:val="none"/>
        </w:rPr>
        <w:t>Projekte turi būti numatyta, kad statyboje naudojamos statybinės medžiagos atitiktų minimalius aplinkos apsaugos kriterijus, nurodytus Aplinkos apsaugos kriterijų taikymo, vykdant žaliuosius pirkimus, tvarkos aprašo, patvirtinto Lietuvos Respublikos aplinkos ministro 2011 m. birželio 28 d. įsakymu Nr. D1-508 „Dėl Aplinkos apsaugos kriterijų taikymo, vykdant žaliuosius pirkimus, tvarkos aprašo patvirtinimo“, 2 priedo „Minimalūs aplinkos apsaugos kriterijai“ 15.1 papunktyje“.</w:t>
      </w:r>
    </w:p>
    <w:p w14:paraId="5E0BE2BD" w14:textId="2046241B" w:rsidR="007B1575" w:rsidRDefault="00C078DD" w:rsidP="00B74174">
      <w:pPr>
        <w:spacing w:after="0"/>
      </w:pPr>
      <w:r w:rsidRPr="00C078DD">
        <w:lastRenderedPageBreak/>
        <w:t xml:space="preserve">Atsižvelgiant į </w:t>
      </w:r>
      <w:r w:rsidR="00FF47D1">
        <w:t>išdėstytą</w:t>
      </w:r>
      <w:r w:rsidRPr="00C078DD">
        <w:t xml:space="preserve">, </w:t>
      </w:r>
      <w:r w:rsidR="007B1575" w:rsidRPr="007B1575">
        <w:t xml:space="preserve">Pirkimo sąlygų </w:t>
      </w:r>
      <w:r w:rsidR="0033563F">
        <w:t xml:space="preserve">1.5 </w:t>
      </w:r>
      <w:r w:rsidR="007B1575" w:rsidRPr="007B1575">
        <w:t xml:space="preserve">punkte turėtų būti nurodomas Tvarkos aprašo </w:t>
      </w:r>
      <w:r w:rsidR="007B1575" w:rsidRPr="00F40947">
        <w:rPr>
          <w:b/>
          <w:bCs/>
        </w:rPr>
        <w:t>4.1 papunktis</w:t>
      </w:r>
      <w:r w:rsidR="007B1575" w:rsidRPr="007B1575">
        <w:t xml:space="preserve">. </w:t>
      </w:r>
    </w:p>
    <w:p w14:paraId="664757CC" w14:textId="756A2114" w:rsidR="00AD5E99" w:rsidRDefault="002528F8" w:rsidP="00B74174">
      <w:pPr>
        <w:spacing w:after="0"/>
      </w:pPr>
      <w:r>
        <w:t>Taip pat a</w:t>
      </w:r>
      <w:r w:rsidR="006E5CCC">
        <w:t>tsižvelgiant į Tvarkos aprašo 15.4</w:t>
      </w:r>
      <w:r w:rsidR="00206985">
        <w:t xml:space="preserve"> punkte nustatytus a</w:t>
      </w:r>
      <w:r w:rsidR="00206985" w:rsidRPr="00206985">
        <w:t>titiktį reikalavimui įrodan</w:t>
      </w:r>
      <w:r w:rsidR="00206985">
        <w:t>čius</w:t>
      </w:r>
      <w:r w:rsidR="00206985" w:rsidRPr="00206985">
        <w:t xml:space="preserve"> dokument</w:t>
      </w:r>
      <w:r w:rsidR="00206985">
        <w:t xml:space="preserve">us, </w:t>
      </w:r>
      <w:r w:rsidR="00AB1A59">
        <w:t>Tarnyba rekomenduoja</w:t>
      </w:r>
      <w:r w:rsidR="009767D9">
        <w:rPr>
          <w:b/>
          <w:bCs/>
        </w:rPr>
        <w:t xml:space="preserve"> </w:t>
      </w:r>
      <w:r w:rsidR="00573352" w:rsidRPr="00231E2A">
        <w:t xml:space="preserve">Pirkimo sąlygų 4 priedo </w:t>
      </w:r>
      <w:r w:rsidR="00231E2A" w:rsidRPr="00231E2A">
        <w:t>lentel</w:t>
      </w:r>
      <w:r w:rsidR="004318ED">
        <w:t>ės</w:t>
      </w:r>
      <w:r w:rsidR="00231E2A" w:rsidRPr="00231E2A">
        <w:t xml:space="preserve"> „</w:t>
      </w:r>
      <w:r w:rsidR="00AD5E99" w:rsidRPr="00AD5E99">
        <w:t>Tiekėjams keliami reikalavimai dėl kokybės vadybos sistemos ir (ar) aplinkos apsaugos vadybos sistemos standartų reikalavimai</w:t>
      </w:r>
      <w:r w:rsidR="003348BB">
        <w:t xml:space="preserve">“ </w:t>
      </w:r>
      <w:r w:rsidR="004318ED">
        <w:t xml:space="preserve">2.1 punktą </w:t>
      </w:r>
      <w:r w:rsidR="00CE2E0F">
        <w:t>papildyti</w:t>
      </w:r>
      <w:r w:rsidR="00FC07B1">
        <w:t>, jog kaip atitiktį reikalavimui įrodan</w:t>
      </w:r>
      <w:r w:rsidR="0060413D">
        <w:t>čius</w:t>
      </w:r>
      <w:r w:rsidR="00FC07B1">
        <w:t xml:space="preserve"> dokument</w:t>
      </w:r>
      <w:r w:rsidR="0060413D">
        <w:t>us</w:t>
      </w:r>
      <w:r w:rsidR="00FC07B1">
        <w:t xml:space="preserve"> „</w:t>
      </w:r>
      <w:r w:rsidR="00EA0852" w:rsidRPr="00EA0852">
        <w:t>Pirkimo vykdytojas pripažįsta lygiaverčius sertifikatus, išduotus kitose valstybėse narėse įsteigtų nepriklausomų įstaigų</w:t>
      </w:r>
      <w:r w:rsidR="00EA0852">
        <w:t>“.</w:t>
      </w:r>
    </w:p>
    <w:p w14:paraId="1FD2D11A" w14:textId="77777777" w:rsidR="00B74174" w:rsidRDefault="00B74174" w:rsidP="00B74174">
      <w:pPr>
        <w:spacing w:after="0"/>
      </w:pPr>
    </w:p>
    <w:p w14:paraId="05FC4B2F" w14:textId="7E3F0EFE" w:rsidR="005666A9" w:rsidRPr="00B90A36" w:rsidRDefault="00B16D8F" w:rsidP="00B90A36">
      <w:pPr>
        <w:pStyle w:val="ListParagraph"/>
        <w:numPr>
          <w:ilvl w:val="0"/>
          <w:numId w:val="1"/>
        </w:numPr>
        <w:rPr>
          <w:b/>
          <w:bCs/>
        </w:rPr>
      </w:pPr>
      <w:r w:rsidRPr="00B90A36">
        <w:rPr>
          <w:b/>
          <w:bCs/>
        </w:rPr>
        <w:t>Dėl Preliminariosios sutarties projekto nuostatų</w:t>
      </w:r>
    </w:p>
    <w:p w14:paraId="406FEDB0" w14:textId="17C956C3" w:rsidR="00B22C1A" w:rsidRPr="00B22C1A" w:rsidRDefault="002B5584" w:rsidP="001B7C64">
      <w:pPr>
        <w:spacing w:after="0"/>
      </w:pPr>
      <w:r w:rsidRPr="00D02D0B">
        <w:rPr>
          <w:b/>
          <w:bCs/>
        </w:rPr>
        <w:t>5.1.</w:t>
      </w:r>
      <w:r>
        <w:t xml:space="preserve"> </w:t>
      </w:r>
      <w:r w:rsidR="00B90A36">
        <w:t>Preliminariosios sutarties</w:t>
      </w:r>
      <w:r w:rsidR="004D559D">
        <w:t xml:space="preserve"> 5.1.8 papunk</w:t>
      </w:r>
      <w:r w:rsidR="005865CB">
        <w:t>tis</w:t>
      </w:r>
      <w:r w:rsidR="00E272E2">
        <w:t>,</w:t>
      </w:r>
      <w:r w:rsidR="00F73A19">
        <w:t xml:space="preserve"> </w:t>
      </w:r>
      <w:r w:rsidR="00045DD8">
        <w:t xml:space="preserve">kuriame nurodyta, </w:t>
      </w:r>
      <w:r w:rsidR="00F73A19">
        <w:t>jog</w:t>
      </w:r>
      <w:r w:rsidR="003D7793">
        <w:t xml:space="preserve"> Rangovas</w:t>
      </w:r>
      <w:r w:rsidR="00F73A19">
        <w:t xml:space="preserve"> „</w:t>
      </w:r>
      <w:r w:rsidR="007724FC" w:rsidRPr="007724FC">
        <w:t>visu Sutarties vykdymo laikotarpiu atliekant darbus taikys konkrečias aplinkos apsaugos vadybos priemones atitinkamoje veiklos srityje, tenkinančias šiuos reikalavimus (veiksmingos gyvūnijos ir augalijos apsaugos objekte ir aplink ją užtikrinimas; bet kokių kenksmingų atliekų ir pavojingų cheminių medžiagų nuotėkio, galinčio pakenkti aplinkai, prevencija; objekte susidarančių atliekų kiekio, skleidžiamo triukšmo ir eismo spūsčių mažinimas; efektyvus elektros energijos ir vandens naudojimas) ar aplinkos apsaugos vadybos sistemos reikalavimus pagal standartą LST EN ISO 14001 arba EMAS</w:t>
      </w:r>
      <w:r w:rsidR="007724FC">
        <w:t>“</w:t>
      </w:r>
      <w:r w:rsidR="007153B8">
        <w:t xml:space="preserve"> </w:t>
      </w:r>
      <w:r w:rsidR="00FD0886" w:rsidRPr="00FD0886">
        <w:rPr>
          <w:lang w:val="lt"/>
        </w:rPr>
        <w:t>neatitinka galiojančio Tvarkos apraš</w:t>
      </w:r>
      <w:r w:rsidR="007153B8">
        <w:rPr>
          <w:lang w:val="lt"/>
        </w:rPr>
        <w:t>o</w:t>
      </w:r>
      <w:r w:rsidR="00FD0886" w:rsidRPr="00FD0886">
        <w:rPr>
          <w:lang w:val="lt"/>
        </w:rPr>
        <w:t xml:space="preserve"> nuostatų.</w:t>
      </w:r>
      <w:r w:rsidR="007153B8">
        <w:t xml:space="preserve"> </w:t>
      </w:r>
      <w:r w:rsidRPr="002B5584">
        <w:t>Tarnyba atkreipia dėmesį į tai, kad konkrečios aplinkos apsaugos vadybos sistemos priemonės (veiksmingos gyvūnijos ir augalijos apsaugos objekte ir aplink ją užtikrinimas; bet kokių kenksmingų atliekų ir pavojingų cheminių medžiagų nuotėkio, galinčio pakenkti aplinkai, prevencija; objekte susidarančių atliekų kiekio, skleidžiamo triukšmo ir eismo spūsčių mažinimas; efektyvus elektros energijos ir vandens naudojimas)</w:t>
      </w:r>
      <w:r w:rsidRPr="002B5584">
        <w:rPr>
          <w:bCs/>
        </w:rPr>
        <w:t xml:space="preserve"> gali </w:t>
      </w:r>
      <w:r w:rsidRPr="002B5584">
        <w:t xml:space="preserve">būti nurodomos tuo atveju, kai perkančioji organizacija, vadovaudamasi </w:t>
      </w:r>
      <w:hyperlink r:id="rId14" w:history="1">
        <w:r w:rsidRPr="002B5584">
          <w:rPr>
            <w:rStyle w:val="Hyperlink"/>
          </w:rPr>
          <w:t>Tiekėjo kvalifikacijos reikalavimų nustatymo metodikos</w:t>
        </w:r>
      </w:hyperlink>
      <w:r w:rsidRPr="002B5584">
        <w:t xml:space="preserve"> (toliau – Metodika) 22 punktu, nustato </w:t>
      </w:r>
      <w:r w:rsidRPr="002B5584">
        <w:rPr>
          <w:b/>
          <w:bCs/>
        </w:rPr>
        <w:t>kvalifikacijos reikalavimą</w:t>
      </w:r>
      <w:r w:rsidRPr="002B5584">
        <w:t xml:space="preserve"> </w:t>
      </w:r>
      <w:r w:rsidRPr="00D6248A">
        <w:rPr>
          <w:b/>
          <w:bCs/>
        </w:rPr>
        <w:t>taikyti tam tikras aplinkos apsaugos vadybos sistemos priemones</w:t>
      </w:r>
      <w:r w:rsidRPr="002B5584">
        <w:t xml:space="preserve"> (pagal Įstatymo 51 straipsnio 7 dalies 8 punktą), ir nurodo ne reikalaujamą taikyti aplinkos apsaugos vadybos sistemos standartą, bet nustato konkrečias aplinkos apsaugos vadybos užtikrinimo priemones, kurias turės taikyti tiekėjas vykdydamas sutartį. </w:t>
      </w:r>
      <w:r w:rsidR="00660451">
        <w:t xml:space="preserve">Šiuo atveju, </w:t>
      </w:r>
      <w:r w:rsidR="0044742E">
        <w:t xml:space="preserve">tokio kvalifikacijos reikalavimo nebuvo nustatyta, todėl Tarnyba rekomenduoja </w:t>
      </w:r>
      <w:r w:rsidR="0054795D">
        <w:t xml:space="preserve">pakartotinai </w:t>
      </w:r>
      <w:r w:rsidR="007D449B">
        <w:t xml:space="preserve">peržiūrėti ir patikslinti </w:t>
      </w:r>
      <w:r w:rsidR="00937FF5">
        <w:t xml:space="preserve">sutartines nuostatas dėl </w:t>
      </w:r>
      <w:r w:rsidR="00113584">
        <w:t xml:space="preserve">aplinkos apsaugos vadybos sistemos reikalavimų užtikrinimo </w:t>
      </w:r>
      <w:r w:rsidR="00070255">
        <w:t>S</w:t>
      </w:r>
      <w:r w:rsidR="00113584">
        <w:t xml:space="preserve">utarties vykdymo metu. </w:t>
      </w:r>
    </w:p>
    <w:p w14:paraId="492B291B" w14:textId="7C68B45B" w:rsidR="00D15E8B" w:rsidRPr="00D15E8B" w:rsidRDefault="008B0841" w:rsidP="001B7C64">
      <w:pPr>
        <w:spacing w:after="0"/>
        <w:rPr>
          <w:lang w:val="lt"/>
        </w:rPr>
      </w:pPr>
      <w:r>
        <w:rPr>
          <w:lang w:val="lt"/>
        </w:rPr>
        <w:t xml:space="preserve">Taip pat </w:t>
      </w:r>
      <w:r w:rsidR="00D15E8B" w:rsidRPr="00D15E8B">
        <w:rPr>
          <w:lang w:val="lt"/>
        </w:rPr>
        <w:t xml:space="preserve">rekomenduotina nurodyti </w:t>
      </w:r>
      <w:r>
        <w:rPr>
          <w:lang w:val="lt"/>
        </w:rPr>
        <w:t xml:space="preserve">ne tik </w:t>
      </w:r>
      <w:r w:rsidR="00D15E8B" w:rsidRPr="00D15E8B">
        <w:rPr>
          <w:lang w:val="lt"/>
        </w:rPr>
        <w:t>tiekėjo pareigą Sutarties vykdymo metu taikyti aplinkos apsaugos vadybos sistemos reikalavimus</w:t>
      </w:r>
      <w:r w:rsidR="00070255">
        <w:rPr>
          <w:lang w:val="lt"/>
        </w:rPr>
        <w:t>,</w:t>
      </w:r>
      <w:r w:rsidR="00D15E8B" w:rsidRPr="00D15E8B">
        <w:rPr>
          <w:lang w:val="lt"/>
        </w:rPr>
        <w:t xml:space="preserve"> be</w:t>
      </w:r>
      <w:r>
        <w:rPr>
          <w:lang w:val="lt"/>
        </w:rPr>
        <w:t xml:space="preserve">t ir </w:t>
      </w:r>
      <w:r w:rsidR="00D15E8B" w:rsidRPr="00D15E8B">
        <w:rPr>
          <w:lang w:val="lt"/>
        </w:rPr>
        <w:t xml:space="preserve">nustatyti kontrolės mechanizmą, kaip Perkančioji organizacija kontroliuos tiekėjo pareigą Sutarties vykdymo metu taikyti aplinkos apsaugos vadybos sistemos reikalavimus ir koks bus sankcijų mechanizmas, jeigu </w:t>
      </w:r>
      <w:r w:rsidR="00D15E8B" w:rsidRPr="00D15E8B">
        <w:rPr>
          <w:lang w:val="lt"/>
        </w:rPr>
        <w:lastRenderedPageBreak/>
        <w:t xml:space="preserve">tiekėjas šios pareigos nevykdys. Atsižvelgiant į nurodytą, rekomenduotina tikslinti </w:t>
      </w:r>
      <w:r w:rsidR="008272F9">
        <w:rPr>
          <w:lang w:val="lt"/>
        </w:rPr>
        <w:t>Preliminariosios s</w:t>
      </w:r>
      <w:r w:rsidR="00D15E8B" w:rsidRPr="00D15E8B">
        <w:rPr>
          <w:lang w:val="lt"/>
        </w:rPr>
        <w:t>utarties projektą.</w:t>
      </w:r>
    </w:p>
    <w:p w14:paraId="0758C1E9" w14:textId="77777777" w:rsidR="002B5584" w:rsidRPr="007724FC" w:rsidRDefault="002B5584" w:rsidP="002B5584"/>
    <w:p w14:paraId="74323705" w14:textId="28019F14" w:rsidR="00CA7304" w:rsidRPr="00CA7304" w:rsidRDefault="003F5D7D" w:rsidP="00D36B74">
      <w:pPr>
        <w:spacing w:after="0"/>
      </w:pPr>
      <w:r w:rsidRPr="00D36B74">
        <w:rPr>
          <w:b/>
          <w:bCs/>
        </w:rPr>
        <w:t>5.2.</w:t>
      </w:r>
      <w:r>
        <w:t xml:space="preserve"> </w:t>
      </w:r>
      <w:r w:rsidR="009C5310" w:rsidRPr="009C5310">
        <w:t>Preliminariosios sutarties projekt</w:t>
      </w:r>
      <w:r w:rsidR="009C5310">
        <w:t>o 7.4 punkte nustatyta, jog „</w:t>
      </w:r>
      <w:r w:rsidR="00CA7304" w:rsidRPr="00CA7304">
        <w:t>Jei apskaičiuoti delspinigiai viršija 10 % (dešimt procentų) bendros Sutarties kainos, Užsakovas gali, prieš tai raštu įspėjęs Rangovą:</w:t>
      </w:r>
    </w:p>
    <w:p w14:paraId="45759DF2" w14:textId="77777777" w:rsidR="00CA7304" w:rsidRPr="00CA7304" w:rsidRDefault="00CA7304" w:rsidP="00D36B74">
      <w:pPr>
        <w:spacing w:after="0"/>
      </w:pPr>
      <w:r w:rsidRPr="00CA7304">
        <w:tab/>
        <w:t>7.4.1. išskaičiuoti delspinigių sumą iš Rangovui mokėtinų sumų;</w:t>
      </w:r>
    </w:p>
    <w:p w14:paraId="4C3932BE" w14:textId="77777777" w:rsidR="00CA7304" w:rsidRPr="00CA7304" w:rsidRDefault="00CA7304" w:rsidP="00D36B74">
      <w:pPr>
        <w:spacing w:after="0"/>
      </w:pPr>
      <w:r w:rsidRPr="00CA7304">
        <w:tab/>
        <w:t>7.4.2. pasinaudoti Sutarties įvykdymo užtikrinimu;</w:t>
      </w:r>
    </w:p>
    <w:p w14:paraId="495C7718" w14:textId="583A2CD3" w:rsidR="00CA7304" w:rsidRDefault="00CA7304" w:rsidP="00D36B74">
      <w:pPr>
        <w:spacing w:after="0"/>
      </w:pPr>
      <w:r w:rsidRPr="00CA7304">
        <w:tab/>
        <w:t>7.4.3. nutraukti Sutartį</w:t>
      </w:r>
      <w:r>
        <w:t>“</w:t>
      </w:r>
      <w:r w:rsidRPr="00CA7304">
        <w:t>.</w:t>
      </w:r>
    </w:p>
    <w:p w14:paraId="117BCC68" w14:textId="30013AC4" w:rsidR="00837865" w:rsidRDefault="0079265D" w:rsidP="00D36B74">
      <w:pPr>
        <w:spacing w:after="0"/>
      </w:pPr>
      <w:r>
        <w:t xml:space="preserve">Šiuo atveju nėra aišku, </w:t>
      </w:r>
      <w:r w:rsidR="007E757C">
        <w:t>kada kokią sankciją Užsakovas taikys</w:t>
      </w:r>
      <w:r w:rsidR="00045DD8">
        <w:t>,</w:t>
      </w:r>
      <w:r w:rsidR="00045DD8" w:rsidRPr="00045DD8">
        <w:t xml:space="preserve"> </w:t>
      </w:r>
      <w:r w:rsidR="00045DD8">
        <w:t xml:space="preserve">jei apskaičiuoti delspinigiai viršys 10 </w:t>
      </w:r>
      <w:r w:rsidR="00045DD8" w:rsidRPr="005A3702">
        <w:t>% (dešimt procentų) bendros Sutarties kainos</w:t>
      </w:r>
      <w:r w:rsidR="007E757C">
        <w:t>.</w:t>
      </w:r>
      <w:r w:rsidR="005A3702" w:rsidRPr="005A3702">
        <w:t xml:space="preserve"> </w:t>
      </w:r>
    </w:p>
    <w:p w14:paraId="2DDC7829" w14:textId="6E0149F0" w:rsidR="00E31FC8" w:rsidRPr="009767D9" w:rsidRDefault="00837865" w:rsidP="00837865">
      <w:pPr>
        <w:spacing w:after="0"/>
      </w:pPr>
      <w:r w:rsidRPr="00837865">
        <w:t>Siekiant užtikrinti Įstatymo 35 straipsnio 4 dalies nuostatos „&lt;...&gt; Pirkimo dokumentai turi būti tikslūs, aiškūs, be dviprasmybių</w:t>
      </w:r>
      <w:r>
        <w:t>&lt;...&gt;</w:t>
      </w:r>
      <w:r w:rsidRPr="00837865">
        <w:t>“ laikymąsi, Tarnyba rekomenduoja tikslinti</w:t>
      </w:r>
      <w:r>
        <w:t xml:space="preserve"> </w:t>
      </w:r>
      <w:r w:rsidR="00D07489">
        <w:t>Preliminariosios sutarties projekto sąlygas aiškiai nurodant, kada kokią sankcij</w:t>
      </w:r>
      <w:r w:rsidR="00764572">
        <w:t>a</w:t>
      </w:r>
      <w:r w:rsidR="00D07489">
        <w:t xml:space="preserve"> Tiekėjui būtų taikoma.</w:t>
      </w:r>
    </w:p>
    <w:p w14:paraId="20E7D7A1" w14:textId="49561FF7" w:rsidR="00B131C5" w:rsidRPr="00844938" w:rsidRDefault="00B131C5" w:rsidP="00B131C5"/>
    <w:p w14:paraId="211E0246" w14:textId="77777777" w:rsidR="00321614" w:rsidRPr="00321614" w:rsidRDefault="00321614" w:rsidP="00321614">
      <w:pPr>
        <w:rPr>
          <w:lang w:val="lt"/>
        </w:rPr>
      </w:pPr>
      <w:r w:rsidRPr="00321614">
        <w:rPr>
          <w:lang w:val="lt"/>
        </w:rPr>
        <w:t>Atsižvelgdama į tai, kas nurodyta, Tarnyba rekomenduoja peržiūrėti ir patikslinti Pirkimo dokumentus pagal šioje Rekomendacijoje pateiktas pastabas. Primename, kad Perkančioji organizacija, patikslinusi Pirkimo dokumentus, turi visus pakeitimus paskelbti viešai Centrinėje viešųjų pirkimų informacinėje sistemoje (CVP IS) ir prireikus pratęsti pasiūlymų pateikimo terminą protingam laikotarpiui, per kurį potencialūs tiekėjai galėtų susipažinti su patikslintais ir pakeistais Pirkimo dokumentais. Pažymėtina, kad visais atvejais sprendimą dėl tolimesnio Pirkimo procedūrų vykdymo ar nutraukimo priima pati Perkančioji organizacija, vadovaudamasi Įstatymo 29 straipsnio 3 ir 4 dalių nuostatomis. Atkreiptinas dėmesys, kad Tarnybos pateikta rekomendacija nėra privalomojo pobūdžio įpareigojimas, kadangi visais atvejais galutinį sprendimą turi priimti pati Perkančioji organizacija, kadangi ji yra atsakinga, kad Pirkimo dokumentai būtų parengti tinkamai ir nebūtų pažeisti viešųjų pirkimų principai bei pirkimo tikslas.</w:t>
      </w:r>
    </w:p>
    <w:p w14:paraId="25C3CBBD" w14:textId="7947F10F" w:rsidR="001D4CC4" w:rsidRPr="00844938" w:rsidRDefault="001D4CC4" w:rsidP="001D4CC4"/>
    <w:p w14:paraId="2D903107" w14:textId="636BCE6D" w:rsidR="00272AF9" w:rsidRPr="00844938" w:rsidRDefault="00272AF9" w:rsidP="004869F7"/>
    <w:p w14:paraId="666273A7" w14:textId="0FB5A539" w:rsidR="00382E3D" w:rsidRPr="00272AF9" w:rsidRDefault="00382E3D" w:rsidP="00A956A3">
      <w:pPr>
        <w:ind w:left="360"/>
      </w:pPr>
    </w:p>
    <w:sectPr w:rsidR="00382E3D" w:rsidRPr="00272A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F8FB0" w14:textId="77777777" w:rsidR="00A1304A" w:rsidRDefault="00A1304A" w:rsidP="0013096B">
      <w:pPr>
        <w:spacing w:after="0" w:line="240" w:lineRule="auto"/>
      </w:pPr>
      <w:r>
        <w:separator/>
      </w:r>
    </w:p>
  </w:endnote>
  <w:endnote w:type="continuationSeparator" w:id="0">
    <w:p w14:paraId="59920CA7" w14:textId="77777777" w:rsidR="00A1304A" w:rsidRDefault="00A1304A" w:rsidP="001309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396F5" w14:textId="77777777" w:rsidR="00A1304A" w:rsidRDefault="00A1304A" w:rsidP="0013096B">
      <w:pPr>
        <w:spacing w:after="0" w:line="240" w:lineRule="auto"/>
      </w:pPr>
      <w:r>
        <w:separator/>
      </w:r>
    </w:p>
  </w:footnote>
  <w:footnote w:type="continuationSeparator" w:id="0">
    <w:p w14:paraId="6B842A26" w14:textId="77777777" w:rsidR="00A1304A" w:rsidRDefault="00A1304A" w:rsidP="001309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17143"/>
    <w:multiLevelType w:val="hybridMultilevel"/>
    <w:tmpl w:val="D7661A10"/>
    <w:lvl w:ilvl="0" w:tplc="04270001">
      <w:start w:val="1"/>
      <w:numFmt w:val="bullet"/>
      <w:lvlText w:val=""/>
      <w:lvlJc w:val="left"/>
      <w:pPr>
        <w:ind w:left="2016" w:hanging="360"/>
      </w:pPr>
      <w:rPr>
        <w:rFonts w:ascii="Symbol" w:hAnsi="Symbol"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1" w15:restartNumberingAfterBreak="0">
    <w:nsid w:val="425D2B3C"/>
    <w:multiLevelType w:val="multilevel"/>
    <w:tmpl w:val="B6404F52"/>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D7C4EB9"/>
    <w:multiLevelType w:val="multilevel"/>
    <w:tmpl w:val="224C3DF2"/>
    <w:lvl w:ilvl="0">
      <w:start w:val="1"/>
      <w:numFmt w:val="decimal"/>
      <w:lvlText w:val="%1."/>
      <w:lvlJc w:val="left"/>
      <w:pPr>
        <w:ind w:left="1211"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59D3A4C"/>
    <w:multiLevelType w:val="hybridMultilevel"/>
    <w:tmpl w:val="F714688E"/>
    <w:lvl w:ilvl="0" w:tplc="DF1E0382">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num w:numId="1" w16cid:durableId="1953708717">
    <w:abstractNumId w:val="1"/>
  </w:num>
  <w:num w:numId="2" w16cid:durableId="824277426">
    <w:abstractNumId w:val="3"/>
  </w:num>
  <w:num w:numId="3" w16cid:durableId="364914703">
    <w:abstractNumId w:val="0"/>
  </w:num>
  <w:num w:numId="4" w16cid:durableId="19620330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A01"/>
    <w:rsid w:val="00001AFA"/>
    <w:rsid w:val="00045DD8"/>
    <w:rsid w:val="0006274E"/>
    <w:rsid w:val="00070255"/>
    <w:rsid w:val="0008246C"/>
    <w:rsid w:val="000B0510"/>
    <w:rsid w:val="000E4878"/>
    <w:rsid w:val="00102D13"/>
    <w:rsid w:val="00113584"/>
    <w:rsid w:val="00122EC0"/>
    <w:rsid w:val="0013096B"/>
    <w:rsid w:val="00132C27"/>
    <w:rsid w:val="001519DB"/>
    <w:rsid w:val="00161B1C"/>
    <w:rsid w:val="00174449"/>
    <w:rsid w:val="0019425F"/>
    <w:rsid w:val="001A5A16"/>
    <w:rsid w:val="001B336F"/>
    <w:rsid w:val="001B7C64"/>
    <w:rsid w:val="001C09C6"/>
    <w:rsid w:val="001D4CC4"/>
    <w:rsid w:val="001E3918"/>
    <w:rsid w:val="00206985"/>
    <w:rsid w:val="00231E2A"/>
    <w:rsid w:val="0023403D"/>
    <w:rsid w:val="002528F8"/>
    <w:rsid w:val="00272AF9"/>
    <w:rsid w:val="00282C64"/>
    <w:rsid w:val="002961E0"/>
    <w:rsid w:val="002B081A"/>
    <w:rsid w:val="002B5584"/>
    <w:rsid w:val="002C1E25"/>
    <w:rsid w:val="002D6585"/>
    <w:rsid w:val="002E02FC"/>
    <w:rsid w:val="002E6F48"/>
    <w:rsid w:val="002F5165"/>
    <w:rsid w:val="00312FE2"/>
    <w:rsid w:val="00317AB5"/>
    <w:rsid w:val="00321614"/>
    <w:rsid w:val="00321718"/>
    <w:rsid w:val="003348BB"/>
    <w:rsid w:val="0033563F"/>
    <w:rsid w:val="003356D2"/>
    <w:rsid w:val="00341042"/>
    <w:rsid w:val="00361762"/>
    <w:rsid w:val="00365AFE"/>
    <w:rsid w:val="0037307D"/>
    <w:rsid w:val="00373DD0"/>
    <w:rsid w:val="00382E3D"/>
    <w:rsid w:val="003D7793"/>
    <w:rsid w:val="003F1E66"/>
    <w:rsid w:val="003F5D7D"/>
    <w:rsid w:val="003F721B"/>
    <w:rsid w:val="004318ED"/>
    <w:rsid w:val="004377CA"/>
    <w:rsid w:val="00444D2E"/>
    <w:rsid w:val="0044742E"/>
    <w:rsid w:val="004656F7"/>
    <w:rsid w:val="004675B9"/>
    <w:rsid w:val="004869F7"/>
    <w:rsid w:val="004B2FDF"/>
    <w:rsid w:val="004B5D49"/>
    <w:rsid w:val="004C46A0"/>
    <w:rsid w:val="004C6220"/>
    <w:rsid w:val="004D0552"/>
    <w:rsid w:val="004D559D"/>
    <w:rsid w:val="004E3627"/>
    <w:rsid w:val="004E6466"/>
    <w:rsid w:val="004F3622"/>
    <w:rsid w:val="00504A17"/>
    <w:rsid w:val="0054795D"/>
    <w:rsid w:val="00556350"/>
    <w:rsid w:val="00560B73"/>
    <w:rsid w:val="005666A9"/>
    <w:rsid w:val="00571D44"/>
    <w:rsid w:val="00572F90"/>
    <w:rsid w:val="00573352"/>
    <w:rsid w:val="005742DE"/>
    <w:rsid w:val="0057591B"/>
    <w:rsid w:val="005865CB"/>
    <w:rsid w:val="00593ED1"/>
    <w:rsid w:val="0059785A"/>
    <w:rsid w:val="005A0DFC"/>
    <w:rsid w:val="005A3702"/>
    <w:rsid w:val="005B7E12"/>
    <w:rsid w:val="005C71E3"/>
    <w:rsid w:val="005E60EA"/>
    <w:rsid w:val="005F1767"/>
    <w:rsid w:val="005F41F6"/>
    <w:rsid w:val="005F5957"/>
    <w:rsid w:val="0060413D"/>
    <w:rsid w:val="00610724"/>
    <w:rsid w:val="00620987"/>
    <w:rsid w:val="00625389"/>
    <w:rsid w:val="00637BBD"/>
    <w:rsid w:val="00655CA2"/>
    <w:rsid w:val="00660451"/>
    <w:rsid w:val="0067012D"/>
    <w:rsid w:val="006734EC"/>
    <w:rsid w:val="00677BF6"/>
    <w:rsid w:val="006B3033"/>
    <w:rsid w:val="006B3D9F"/>
    <w:rsid w:val="006B4C08"/>
    <w:rsid w:val="006E39CA"/>
    <w:rsid w:val="006E5CCC"/>
    <w:rsid w:val="0071260F"/>
    <w:rsid w:val="007153B8"/>
    <w:rsid w:val="00732FF1"/>
    <w:rsid w:val="00742826"/>
    <w:rsid w:val="00746AA5"/>
    <w:rsid w:val="0075059E"/>
    <w:rsid w:val="00752181"/>
    <w:rsid w:val="007609D9"/>
    <w:rsid w:val="00764572"/>
    <w:rsid w:val="0076475D"/>
    <w:rsid w:val="007724FC"/>
    <w:rsid w:val="0079265D"/>
    <w:rsid w:val="007A6505"/>
    <w:rsid w:val="007B1575"/>
    <w:rsid w:val="007B551C"/>
    <w:rsid w:val="007C5A22"/>
    <w:rsid w:val="007D449B"/>
    <w:rsid w:val="007D4644"/>
    <w:rsid w:val="007E2CCD"/>
    <w:rsid w:val="007E423B"/>
    <w:rsid w:val="007E757C"/>
    <w:rsid w:val="007F30A4"/>
    <w:rsid w:val="007F5706"/>
    <w:rsid w:val="008076F5"/>
    <w:rsid w:val="00824AA0"/>
    <w:rsid w:val="008272F9"/>
    <w:rsid w:val="00837865"/>
    <w:rsid w:val="00844938"/>
    <w:rsid w:val="00845303"/>
    <w:rsid w:val="00846157"/>
    <w:rsid w:val="00853932"/>
    <w:rsid w:val="0089348D"/>
    <w:rsid w:val="008A69C6"/>
    <w:rsid w:val="008B0841"/>
    <w:rsid w:val="008C341F"/>
    <w:rsid w:val="00900A04"/>
    <w:rsid w:val="009061B7"/>
    <w:rsid w:val="00937FF5"/>
    <w:rsid w:val="00955DC5"/>
    <w:rsid w:val="009574A0"/>
    <w:rsid w:val="009767D9"/>
    <w:rsid w:val="009851BC"/>
    <w:rsid w:val="009862F0"/>
    <w:rsid w:val="00987EF0"/>
    <w:rsid w:val="00992F2C"/>
    <w:rsid w:val="009A1F1E"/>
    <w:rsid w:val="009A5F35"/>
    <w:rsid w:val="009A71D3"/>
    <w:rsid w:val="009C5310"/>
    <w:rsid w:val="009E2304"/>
    <w:rsid w:val="009E348E"/>
    <w:rsid w:val="009E45C7"/>
    <w:rsid w:val="00A070E9"/>
    <w:rsid w:val="00A1304A"/>
    <w:rsid w:val="00A212B9"/>
    <w:rsid w:val="00A3204C"/>
    <w:rsid w:val="00A541ED"/>
    <w:rsid w:val="00A644C4"/>
    <w:rsid w:val="00A85A7A"/>
    <w:rsid w:val="00A956A3"/>
    <w:rsid w:val="00AA4EBD"/>
    <w:rsid w:val="00AA4F1E"/>
    <w:rsid w:val="00AB1A59"/>
    <w:rsid w:val="00AC494C"/>
    <w:rsid w:val="00AD5E99"/>
    <w:rsid w:val="00AE565E"/>
    <w:rsid w:val="00AF2056"/>
    <w:rsid w:val="00AF20E6"/>
    <w:rsid w:val="00AF222E"/>
    <w:rsid w:val="00B05F9A"/>
    <w:rsid w:val="00B06C2D"/>
    <w:rsid w:val="00B131C5"/>
    <w:rsid w:val="00B134B3"/>
    <w:rsid w:val="00B16D8F"/>
    <w:rsid w:val="00B22C1A"/>
    <w:rsid w:val="00B47B77"/>
    <w:rsid w:val="00B50FDE"/>
    <w:rsid w:val="00B52DC4"/>
    <w:rsid w:val="00B61A0D"/>
    <w:rsid w:val="00B74174"/>
    <w:rsid w:val="00B77B72"/>
    <w:rsid w:val="00B90A36"/>
    <w:rsid w:val="00BA29D8"/>
    <w:rsid w:val="00BB4F6F"/>
    <w:rsid w:val="00BD2031"/>
    <w:rsid w:val="00C0241B"/>
    <w:rsid w:val="00C03C20"/>
    <w:rsid w:val="00C078DD"/>
    <w:rsid w:val="00C15549"/>
    <w:rsid w:val="00C62A65"/>
    <w:rsid w:val="00C648B7"/>
    <w:rsid w:val="00C718BD"/>
    <w:rsid w:val="00CA7304"/>
    <w:rsid w:val="00CB2D53"/>
    <w:rsid w:val="00CE2E0F"/>
    <w:rsid w:val="00D02D0B"/>
    <w:rsid w:val="00D07489"/>
    <w:rsid w:val="00D15E8B"/>
    <w:rsid w:val="00D36B74"/>
    <w:rsid w:val="00D5134E"/>
    <w:rsid w:val="00D6248A"/>
    <w:rsid w:val="00D67EE2"/>
    <w:rsid w:val="00D82F84"/>
    <w:rsid w:val="00D85A01"/>
    <w:rsid w:val="00D86261"/>
    <w:rsid w:val="00D9139F"/>
    <w:rsid w:val="00DD6C2E"/>
    <w:rsid w:val="00DE3685"/>
    <w:rsid w:val="00DF2283"/>
    <w:rsid w:val="00DF3200"/>
    <w:rsid w:val="00DF3F51"/>
    <w:rsid w:val="00E13220"/>
    <w:rsid w:val="00E272E2"/>
    <w:rsid w:val="00E2737A"/>
    <w:rsid w:val="00E31FC8"/>
    <w:rsid w:val="00E453F0"/>
    <w:rsid w:val="00E723A4"/>
    <w:rsid w:val="00E7466F"/>
    <w:rsid w:val="00EA0852"/>
    <w:rsid w:val="00EA7E05"/>
    <w:rsid w:val="00ED27CB"/>
    <w:rsid w:val="00EF0D3E"/>
    <w:rsid w:val="00EF4C88"/>
    <w:rsid w:val="00F007D7"/>
    <w:rsid w:val="00F014F2"/>
    <w:rsid w:val="00F0673C"/>
    <w:rsid w:val="00F30E59"/>
    <w:rsid w:val="00F34999"/>
    <w:rsid w:val="00F40947"/>
    <w:rsid w:val="00F4707A"/>
    <w:rsid w:val="00F47617"/>
    <w:rsid w:val="00F571EF"/>
    <w:rsid w:val="00F73A19"/>
    <w:rsid w:val="00F77690"/>
    <w:rsid w:val="00FA254B"/>
    <w:rsid w:val="00FC07B1"/>
    <w:rsid w:val="00FC5868"/>
    <w:rsid w:val="00FD0886"/>
    <w:rsid w:val="00FF47D1"/>
    <w:rsid w:val="00FF4897"/>
    <w:rsid w:val="00FF79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62D56"/>
  <w15:chartTrackingRefBased/>
  <w15:docId w15:val="{5EC41308-E744-4AE4-835A-A66D84644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t-LT"/>
    </w:rPr>
  </w:style>
  <w:style w:type="paragraph" w:styleId="Heading1">
    <w:name w:val="heading 1"/>
    <w:basedOn w:val="Normal"/>
    <w:next w:val="Normal"/>
    <w:link w:val="Heading1Char"/>
    <w:uiPriority w:val="9"/>
    <w:qFormat/>
    <w:rsid w:val="00D85A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5A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5A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5A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5A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5A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5A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5A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5A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5A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5A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5A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5A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5A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5A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5A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5A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5A01"/>
    <w:rPr>
      <w:rFonts w:eastAsiaTheme="majorEastAsia" w:cstheme="majorBidi"/>
      <w:color w:val="272727" w:themeColor="text1" w:themeTint="D8"/>
    </w:rPr>
  </w:style>
  <w:style w:type="paragraph" w:styleId="Title">
    <w:name w:val="Title"/>
    <w:basedOn w:val="Normal"/>
    <w:next w:val="Normal"/>
    <w:link w:val="TitleChar"/>
    <w:uiPriority w:val="10"/>
    <w:qFormat/>
    <w:rsid w:val="00D85A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5A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5A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5A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5A01"/>
    <w:pPr>
      <w:spacing w:before="160"/>
      <w:jc w:val="center"/>
    </w:pPr>
    <w:rPr>
      <w:i/>
      <w:iCs/>
      <w:color w:val="404040" w:themeColor="text1" w:themeTint="BF"/>
    </w:rPr>
  </w:style>
  <w:style w:type="character" w:customStyle="1" w:styleId="QuoteChar">
    <w:name w:val="Quote Char"/>
    <w:basedOn w:val="DefaultParagraphFont"/>
    <w:link w:val="Quote"/>
    <w:uiPriority w:val="29"/>
    <w:rsid w:val="00D85A01"/>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Bullet"/>
    <w:basedOn w:val="Normal"/>
    <w:uiPriority w:val="34"/>
    <w:qFormat/>
    <w:rsid w:val="00D85A01"/>
    <w:pPr>
      <w:ind w:left="720"/>
      <w:contextualSpacing/>
    </w:pPr>
  </w:style>
  <w:style w:type="character" w:styleId="IntenseEmphasis">
    <w:name w:val="Intense Emphasis"/>
    <w:basedOn w:val="DefaultParagraphFont"/>
    <w:uiPriority w:val="21"/>
    <w:qFormat/>
    <w:rsid w:val="00D85A01"/>
    <w:rPr>
      <w:i/>
      <w:iCs/>
      <w:color w:val="0F4761" w:themeColor="accent1" w:themeShade="BF"/>
    </w:rPr>
  </w:style>
  <w:style w:type="paragraph" w:styleId="IntenseQuote">
    <w:name w:val="Intense Quote"/>
    <w:basedOn w:val="Normal"/>
    <w:next w:val="Normal"/>
    <w:link w:val="IntenseQuoteChar"/>
    <w:uiPriority w:val="30"/>
    <w:qFormat/>
    <w:rsid w:val="00D85A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5A01"/>
    <w:rPr>
      <w:i/>
      <w:iCs/>
      <w:color w:val="0F4761" w:themeColor="accent1" w:themeShade="BF"/>
    </w:rPr>
  </w:style>
  <w:style w:type="character" w:styleId="IntenseReference">
    <w:name w:val="Intense Reference"/>
    <w:basedOn w:val="DefaultParagraphFont"/>
    <w:uiPriority w:val="32"/>
    <w:qFormat/>
    <w:rsid w:val="00D85A01"/>
    <w:rPr>
      <w:b/>
      <w:bCs/>
      <w:smallCaps/>
      <w:color w:val="0F4761" w:themeColor="accent1" w:themeShade="BF"/>
      <w:spacing w:val="5"/>
    </w:rPr>
  </w:style>
  <w:style w:type="character" w:styleId="Hyperlink">
    <w:name w:val="Hyperlink"/>
    <w:basedOn w:val="DefaultParagraphFont"/>
    <w:uiPriority w:val="99"/>
    <w:unhideWhenUsed/>
    <w:rsid w:val="00DF2283"/>
    <w:rPr>
      <w:color w:val="467886" w:themeColor="hyperlink"/>
      <w:u w:val="single"/>
    </w:rPr>
  </w:style>
  <w:style w:type="character" w:styleId="UnresolvedMention">
    <w:name w:val="Unresolved Mention"/>
    <w:basedOn w:val="DefaultParagraphFont"/>
    <w:uiPriority w:val="99"/>
    <w:semiHidden/>
    <w:unhideWhenUsed/>
    <w:rsid w:val="00DF2283"/>
    <w:rPr>
      <w:color w:val="605E5C"/>
      <w:shd w:val="clear" w:color="auto" w:fill="E1DFDD"/>
    </w:rPr>
  </w:style>
  <w:style w:type="paragraph" w:styleId="CommentText">
    <w:name w:val="annotation text"/>
    <w:basedOn w:val="Normal"/>
    <w:link w:val="CommentTextChar"/>
    <w:uiPriority w:val="99"/>
    <w:semiHidden/>
    <w:unhideWhenUsed/>
    <w:rsid w:val="006B3033"/>
    <w:pPr>
      <w:spacing w:line="240" w:lineRule="auto"/>
    </w:pPr>
    <w:rPr>
      <w:sz w:val="20"/>
      <w:szCs w:val="20"/>
    </w:rPr>
  </w:style>
  <w:style w:type="character" w:customStyle="1" w:styleId="CommentTextChar">
    <w:name w:val="Comment Text Char"/>
    <w:basedOn w:val="DefaultParagraphFont"/>
    <w:link w:val="CommentText"/>
    <w:uiPriority w:val="99"/>
    <w:semiHidden/>
    <w:rsid w:val="006B3033"/>
    <w:rPr>
      <w:sz w:val="20"/>
      <w:szCs w:val="20"/>
    </w:rPr>
  </w:style>
  <w:style w:type="character" w:styleId="CommentReference">
    <w:name w:val="annotation reference"/>
    <w:uiPriority w:val="99"/>
    <w:rsid w:val="006B3033"/>
    <w:rPr>
      <w:sz w:val="16"/>
      <w:szCs w:val="16"/>
    </w:rPr>
  </w:style>
  <w:style w:type="character" w:styleId="FollowedHyperlink">
    <w:name w:val="FollowedHyperlink"/>
    <w:basedOn w:val="DefaultParagraphFont"/>
    <w:uiPriority w:val="99"/>
    <w:semiHidden/>
    <w:unhideWhenUsed/>
    <w:rsid w:val="00E453F0"/>
    <w:rPr>
      <w:color w:val="96607D" w:themeColor="followedHyperlink"/>
      <w:u w:val="single"/>
    </w:rPr>
  </w:style>
  <w:style w:type="character" w:customStyle="1" w:styleId="fontstyle01">
    <w:name w:val="fontstyle01"/>
    <w:basedOn w:val="DefaultParagraphFont"/>
    <w:rsid w:val="007E423B"/>
    <w:rPr>
      <w:rFonts w:ascii="TimesNewRomanPSMT" w:hAnsi="TimesNewRomanPSMT" w:hint="default"/>
      <w:b w:val="0"/>
      <w:bCs w:val="0"/>
      <w:i w:val="0"/>
      <w:iCs w:val="0"/>
      <w:color w:val="000000"/>
      <w:sz w:val="24"/>
      <w:szCs w:val="24"/>
    </w:rPr>
  </w:style>
  <w:style w:type="paragraph" w:styleId="FootnoteText">
    <w:name w:val="footnote text"/>
    <w:basedOn w:val="Normal"/>
    <w:link w:val="FootnoteTextChar"/>
    <w:uiPriority w:val="99"/>
    <w:semiHidden/>
    <w:unhideWhenUsed/>
    <w:rsid w:val="001309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096B"/>
    <w:rPr>
      <w:sz w:val="20"/>
      <w:szCs w:val="20"/>
      <w:lang w:val="lt-LT"/>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qFormat/>
    <w:rsid w:val="0013096B"/>
    <w:rPr>
      <w:vertAlign w:val="superscript"/>
    </w:rPr>
  </w:style>
  <w:style w:type="paragraph" w:styleId="Revision">
    <w:name w:val="Revision"/>
    <w:hidden/>
    <w:uiPriority w:val="99"/>
    <w:semiHidden/>
    <w:rsid w:val="00045DD8"/>
    <w:pPr>
      <w:spacing w:after="0" w:line="240" w:lineRule="auto"/>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87862">
      <w:bodyDiv w:val="1"/>
      <w:marLeft w:val="0"/>
      <w:marRight w:val="0"/>
      <w:marTop w:val="0"/>
      <w:marBottom w:val="0"/>
      <w:divBdr>
        <w:top w:val="none" w:sz="0" w:space="0" w:color="auto"/>
        <w:left w:val="none" w:sz="0" w:space="0" w:color="auto"/>
        <w:bottom w:val="none" w:sz="0" w:space="0" w:color="auto"/>
        <w:right w:val="none" w:sz="0" w:space="0" w:color="auto"/>
      </w:divBdr>
    </w:div>
    <w:div w:id="1258715017">
      <w:bodyDiv w:val="1"/>
      <w:marLeft w:val="0"/>
      <w:marRight w:val="0"/>
      <w:marTop w:val="0"/>
      <w:marBottom w:val="0"/>
      <w:divBdr>
        <w:top w:val="none" w:sz="0" w:space="0" w:color="auto"/>
        <w:left w:val="none" w:sz="0" w:space="0" w:color="auto"/>
        <w:bottom w:val="none" w:sz="0" w:space="0" w:color="auto"/>
        <w:right w:val="none" w:sz="0" w:space="0" w:color="auto"/>
      </w:divBdr>
    </w:div>
    <w:div w:id="1423918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public/canonical/1747646024/19373/Prane%C5%A1imas_apie_pakeitimus_2025_05_19.pptx" TargetMode="External"/><Relationship Id="rId13" Type="http://schemas.openxmlformats.org/officeDocument/2006/relationships/hyperlink" Target="https://www.e-tar.lt/portal/lt/legalAct/TAR.4B60A8C9678B/asr" TargetMode="External"/><Relationship Id="rId3" Type="http://schemas.openxmlformats.org/officeDocument/2006/relationships/settings" Target="settings.xml"/><Relationship Id="rId7" Type="http://schemas.openxmlformats.org/officeDocument/2006/relationships/hyperlink" Target="https://vpt.lrv.lt/public/canonical/1748508374/19423/Skelbimai_susij%C4%99_su_preliminari%C4%85ja_sutartim_2025_05_29.pptx" TargetMode="External"/><Relationship Id="rId12" Type="http://schemas.openxmlformats.org/officeDocument/2006/relationships/image" Target="media/image1.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public/canonical/1747646024/19373/Prane%C5%A1imas_apie_pakeitimus_2025_05_19.pptx"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vpt.lrv.lt/public/canonical/1743522381/19113/Skelbimas_apie_pirkim%C4%85_2025_04_01.pptx" TargetMode="External"/><Relationship Id="rId4" Type="http://schemas.openxmlformats.org/officeDocument/2006/relationships/webSettings" Target="webSettings.xml"/><Relationship Id="rId9" Type="http://schemas.openxmlformats.org/officeDocument/2006/relationships/hyperlink" Target="https://vpt.lrv.lt/public/canonical/1747646024/19373/Prane%C5%A1imas_apie_pakeitimus_2025_05_19.pptx" TargetMode="External"/><Relationship Id="rId14" Type="http://schemas.openxmlformats.org/officeDocument/2006/relationships/hyperlink" Target="https://www.e-tar.lt/portal/lt/legalAct/674ebaf05d7111e79198ffdb108a3753/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2401</Words>
  <Characters>13690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Pelėdaitė</dc:creator>
  <cp:keywords/>
  <dc:description/>
  <cp:lastModifiedBy>Asta Pelėdaitė</cp:lastModifiedBy>
  <cp:revision>3</cp:revision>
  <dcterms:created xsi:type="dcterms:W3CDTF">2025-08-14T05:10:00Z</dcterms:created>
  <dcterms:modified xsi:type="dcterms:W3CDTF">2025-08-14T05:17:00Z</dcterms:modified>
</cp:coreProperties>
</file>