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7CFD" w14:textId="77777777" w:rsidR="0065064F" w:rsidRPr="000A500D" w:rsidRDefault="0065064F" w:rsidP="0065064F">
      <w:pPr>
        <w:rPr>
          <w:rFonts w:ascii="Calibri" w:hAnsi="Calibri" w:cs="Calibri"/>
        </w:rPr>
      </w:pPr>
      <w:r w:rsidRPr="000A500D">
        <w:rPr>
          <w:rFonts w:ascii="Calibri"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88DD8AB" w14:textId="5DE26340" w:rsidR="0065064F" w:rsidRPr="000A500D" w:rsidRDefault="0065064F" w:rsidP="0065064F">
      <w:pPr>
        <w:rPr>
          <w:rFonts w:ascii="Calibri" w:hAnsi="Calibri" w:cs="Calibri"/>
        </w:rPr>
      </w:pPr>
      <w:r w:rsidRPr="000A500D">
        <w:rPr>
          <w:rFonts w:ascii="Calibri" w:hAnsi="Calibri" w:cs="Calibri"/>
        </w:rPr>
        <w:t xml:space="preserve">Vadovaujantis Tarnybai Įstatyme nustatyta pažeidimų prevencijos funkcija, šiuo metu atliekama </w:t>
      </w:r>
      <w:r w:rsidR="004A6A0F" w:rsidRPr="00570D4B">
        <w:rPr>
          <w:rFonts w:ascii="Calibri" w:hAnsi="Calibri" w:cs="Calibri"/>
          <w:b/>
          <w:bCs/>
        </w:rPr>
        <w:t>Koncertinės įstaigos Lietuvos simfoninis pučiamųjų orkestras</w:t>
      </w:r>
      <w:r w:rsidR="004A6A0F" w:rsidRPr="004A6A0F">
        <w:rPr>
          <w:rFonts w:ascii="Calibri" w:hAnsi="Calibri" w:cs="Calibri"/>
          <w:b/>
          <w:bCs/>
        </w:rPr>
        <w:t xml:space="preserve"> </w:t>
      </w:r>
      <w:r w:rsidRPr="000A500D">
        <w:rPr>
          <w:rFonts w:ascii="Calibri" w:hAnsi="Calibri" w:cs="Calibri"/>
        </w:rPr>
        <w:t>(toliau – Perkančioji organizacija) vykdomo pirkimo Nr.</w:t>
      </w:r>
      <w:r w:rsidR="00FA2E53" w:rsidRPr="00FA2E53">
        <w:rPr>
          <w:rFonts w:ascii="Times New Roman" w:eastAsia="Calibri" w:hAnsi="Times New Roman" w:cs="Times New Roman"/>
          <w:i/>
          <w:iCs/>
          <w:kern w:val="0"/>
          <w:sz w:val="22"/>
          <w:szCs w:val="22"/>
          <w14:ligatures w14:val="none"/>
        </w:rPr>
        <w:t xml:space="preserve"> </w:t>
      </w:r>
      <w:r w:rsidR="00FA2E53" w:rsidRPr="00FA2E53">
        <w:rPr>
          <w:rFonts w:ascii="Calibri" w:hAnsi="Calibri" w:cs="Calibri"/>
          <w:b/>
          <w:bCs/>
        </w:rPr>
        <w:t>3438582</w:t>
      </w:r>
      <w:r w:rsidR="00EC2083" w:rsidRPr="000A500D">
        <w:rPr>
          <w:rFonts w:ascii="Calibri" w:hAnsi="Calibri" w:cs="Calibri"/>
          <w:color w:val="000000"/>
        </w:rPr>
        <w:t xml:space="preserve"> </w:t>
      </w:r>
      <w:r w:rsidRPr="00570D4B">
        <w:rPr>
          <w:rFonts w:ascii="Calibri" w:hAnsi="Calibri" w:cs="Calibri"/>
          <w:b/>
          <w:bCs/>
        </w:rPr>
        <w:t>„</w:t>
      </w:r>
      <w:r w:rsidR="00570D4B" w:rsidRPr="00570D4B">
        <w:rPr>
          <w:rFonts w:ascii="Calibri" w:hAnsi="Calibri" w:cs="Calibri"/>
          <w:b/>
          <w:bCs/>
        </w:rPr>
        <w:t>Preliminarioji sutartis dėl kultūros paskirties pastato, T. Ševčenkos g. 19A, Vilnius, kapitalinio remonto</w:t>
      </w:r>
      <w:r w:rsidRPr="00570D4B">
        <w:rPr>
          <w:rFonts w:ascii="Calibri" w:hAnsi="Calibri" w:cs="Calibri"/>
          <w:b/>
          <w:bCs/>
        </w:rPr>
        <w:t>“</w:t>
      </w:r>
      <w:r w:rsidRPr="000A500D">
        <w:rPr>
          <w:rFonts w:ascii="Calibri" w:hAnsi="Calibri" w:cs="Calibri"/>
        </w:rPr>
        <w:t xml:space="preserve"> (toliau – Pirkimas) dokumentų atitikties Įstatymui ir jį įgyvendinantiems teisės aktams peržiūra (peržiūra prevenciniais tikslais atliekama tam tikra apimtimi).</w:t>
      </w:r>
    </w:p>
    <w:p w14:paraId="1BF05BFD" w14:textId="357315D6" w:rsidR="00202D22" w:rsidRDefault="0065064F" w:rsidP="0065064F">
      <w:pPr>
        <w:rPr>
          <w:rFonts w:ascii="Calibri" w:hAnsi="Calibri" w:cs="Calibri"/>
        </w:rPr>
      </w:pPr>
      <w:r w:rsidRPr="000A500D">
        <w:rPr>
          <w:rFonts w:ascii="Calibri" w:hAnsi="Calibri" w:cs="Calibri"/>
        </w:rPr>
        <w:t>Tarnyba, prevencine tvarka peržiūrėjusi Pirkimo dokumentus ir atsižvelgdama į galiojantį teisinį reglamentavimą, teikia pastabas ir rekomendacijas (toliau – Rekomendacija) dėl Pirkimo dokumentų nuostatų.</w:t>
      </w:r>
    </w:p>
    <w:p w14:paraId="7DC2600F" w14:textId="27DA3BAC" w:rsidR="002F7246" w:rsidRDefault="004E69E0" w:rsidP="0065064F">
      <w:pPr>
        <w:pStyle w:val="ListParagraph"/>
        <w:numPr>
          <w:ilvl w:val="0"/>
          <w:numId w:val="10"/>
        </w:numPr>
        <w:rPr>
          <w:rFonts w:ascii="Calibri" w:hAnsi="Calibri" w:cs="Calibri"/>
          <w:b/>
          <w:bCs/>
        </w:rPr>
      </w:pPr>
      <w:r w:rsidRPr="004E69E0">
        <w:rPr>
          <w:rFonts w:ascii="Calibri" w:hAnsi="Calibri" w:cs="Calibri"/>
          <w:b/>
          <w:bCs/>
        </w:rPr>
        <w:t>Dėl informacijos skelbime apie pirkimą</w:t>
      </w:r>
    </w:p>
    <w:p w14:paraId="16FCEFB2" w14:textId="04EABA1F" w:rsidR="001C2E69" w:rsidRPr="00696EF6" w:rsidRDefault="00696EF6" w:rsidP="00696EF6">
      <w:pPr>
        <w:spacing w:after="0"/>
        <w:rPr>
          <w:rFonts w:ascii="Calibri" w:hAnsi="Calibri" w:cs="Calibri"/>
          <w:b/>
          <w:bCs/>
        </w:rPr>
      </w:pPr>
      <w:r w:rsidRPr="00696EF6">
        <w:rPr>
          <w:rFonts w:ascii="Calibri" w:hAnsi="Calibri" w:cs="Calibri"/>
          <w:b/>
          <w:bCs/>
        </w:rPr>
        <w:t>1.1.</w:t>
      </w:r>
      <w:r>
        <w:rPr>
          <w:rFonts w:ascii="Calibri" w:hAnsi="Calibri" w:cs="Calibri"/>
        </w:rPr>
        <w:t xml:space="preserve"> </w:t>
      </w:r>
      <w:r w:rsidR="001C2E69" w:rsidRPr="00696EF6">
        <w:rPr>
          <w:rFonts w:ascii="Calibri" w:hAnsi="Calibri" w:cs="Calibri"/>
        </w:rPr>
        <w:t xml:space="preserve">Skelbimo apie pirkimą 5.1.3 punkte „Numatomas galiojimas” nurodyta, jog </w:t>
      </w:r>
      <w:r w:rsidR="001C2E69" w:rsidRPr="00696EF6">
        <w:rPr>
          <w:rFonts w:ascii="Calibri" w:hAnsi="Calibri" w:cs="Calibri"/>
          <w:b/>
          <w:bCs/>
        </w:rPr>
        <w:t xml:space="preserve">sutarties trukmė – </w:t>
      </w:r>
      <w:r w:rsidR="00D811DD" w:rsidRPr="00696EF6">
        <w:rPr>
          <w:rFonts w:ascii="Calibri" w:hAnsi="Calibri" w:cs="Calibri"/>
          <w:b/>
          <w:bCs/>
        </w:rPr>
        <w:t>24</w:t>
      </w:r>
      <w:r w:rsidR="00CF4242" w:rsidRPr="00696EF6">
        <w:rPr>
          <w:rFonts w:ascii="Calibri" w:hAnsi="Calibri" w:cs="Calibri"/>
          <w:b/>
          <w:bCs/>
        </w:rPr>
        <w:t xml:space="preserve"> mėn</w:t>
      </w:r>
      <w:r w:rsidR="001C2E69" w:rsidRPr="00696EF6">
        <w:rPr>
          <w:rFonts w:ascii="Calibri" w:hAnsi="Calibri" w:cs="Calibri"/>
          <w:b/>
          <w:bCs/>
        </w:rPr>
        <w:t>.</w:t>
      </w:r>
    </w:p>
    <w:p w14:paraId="679440AA" w14:textId="77777777" w:rsidR="00451BCC" w:rsidRDefault="00534EEB" w:rsidP="00E12F4D">
      <w:pPr>
        <w:spacing w:after="0"/>
        <w:rPr>
          <w:rFonts w:ascii="Calibri" w:hAnsi="Calibri" w:cs="Calibri"/>
        </w:rPr>
      </w:pPr>
      <w:r>
        <w:rPr>
          <w:rFonts w:ascii="Calibri" w:hAnsi="Calibri" w:cs="Calibri"/>
        </w:rPr>
        <w:t xml:space="preserve">Atkreiptinas dėmesys, jog šiuo </w:t>
      </w:r>
      <w:r w:rsidR="004624D8">
        <w:rPr>
          <w:rFonts w:ascii="Calibri" w:hAnsi="Calibri" w:cs="Calibri"/>
        </w:rPr>
        <w:t xml:space="preserve">Pirkimu bus sudaroma </w:t>
      </w:r>
      <w:r w:rsidR="004624D8" w:rsidRPr="00C62C72">
        <w:rPr>
          <w:rFonts w:ascii="Calibri" w:hAnsi="Calibri" w:cs="Calibri"/>
          <w:b/>
          <w:bCs/>
        </w:rPr>
        <w:t>Preliminarioji sutartis</w:t>
      </w:r>
      <w:r w:rsidR="00AE0C8C">
        <w:rPr>
          <w:rFonts w:ascii="Calibri" w:hAnsi="Calibri" w:cs="Calibri"/>
        </w:rPr>
        <w:t>,</w:t>
      </w:r>
      <w:r w:rsidR="00451BCC">
        <w:rPr>
          <w:rFonts w:ascii="Calibri" w:hAnsi="Calibri" w:cs="Calibri"/>
        </w:rPr>
        <w:t xml:space="preserve"> todėl ir Skelbimo apie pirkimą 5.1.3 punkte turi būti nurodoma preliminarios sutarties trukmė.</w:t>
      </w:r>
    </w:p>
    <w:p w14:paraId="4E316E33" w14:textId="4FEB2AFD" w:rsidR="00E12F4D" w:rsidRPr="00E12F4D" w:rsidRDefault="00451BCC" w:rsidP="00E12F4D">
      <w:pPr>
        <w:spacing w:after="0"/>
        <w:rPr>
          <w:rFonts w:ascii="Calibri" w:hAnsi="Calibri" w:cs="Calibri"/>
        </w:rPr>
      </w:pPr>
      <w:r>
        <w:rPr>
          <w:rFonts w:ascii="Calibri" w:hAnsi="Calibri" w:cs="Calibri"/>
        </w:rPr>
        <w:t xml:space="preserve">Pažymėtina, jog </w:t>
      </w:r>
      <w:r w:rsidR="00E3412A" w:rsidRPr="00E3412A">
        <w:rPr>
          <w:rFonts w:ascii="Calibri" w:hAnsi="Calibri" w:cs="Calibri"/>
        </w:rPr>
        <w:t>Pirkimo sąlygų</w:t>
      </w:r>
      <w:r w:rsidR="00E3412A">
        <w:rPr>
          <w:rFonts w:ascii="Calibri" w:hAnsi="Calibri" w:cs="Calibri"/>
        </w:rPr>
        <w:t xml:space="preserve"> priedo „Viešojo pirkimo preliminariosios sutarties projektas“ (toliau – Preliminarioji sutartis) 4.1 </w:t>
      </w:r>
      <w:r w:rsidR="00096957">
        <w:rPr>
          <w:rFonts w:ascii="Calibri" w:hAnsi="Calibri" w:cs="Calibri"/>
        </w:rPr>
        <w:t>punkte nustatyta</w:t>
      </w:r>
      <w:r w:rsidR="00B0174D">
        <w:rPr>
          <w:rFonts w:ascii="Calibri" w:hAnsi="Calibri" w:cs="Calibri"/>
        </w:rPr>
        <w:t xml:space="preserve">: </w:t>
      </w:r>
      <w:r w:rsidR="00096957">
        <w:rPr>
          <w:rFonts w:ascii="Calibri" w:hAnsi="Calibri" w:cs="Calibri"/>
        </w:rPr>
        <w:t>„</w:t>
      </w:r>
      <w:r w:rsidR="00E12F4D" w:rsidRPr="00E12F4D">
        <w:rPr>
          <w:rFonts w:ascii="Calibri" w:hAnsi="Calibri" w:cs="Calibri"/>
        </w:rPr>
        <w:t xml:space="preserve">Preliminarioji sutartis įsigalioja jos pasirašymo dieną ir galioja </w:t>
      </w:r>
      <w:r w:rsidR="00E12F4D" w:rsidRPr="00641949">
        <w:rPr>
          <w:rFonts w:ascii="Calibri" w:hAnsi="Calibri" w:cs="Calibri"/>
          <w:b/>
          <w:bCs/>
        </w:rPr>
        <w:t>36 mėn</w:t>
      </w:r>
      <w:r w:rsidR="00E12F4D" w:rsidRPr="00E12F4D">
        <w:rPr>
          <w:rFonts w:ascii="Calibri" w:hAnsi="Calibri" w:cs="Calibri"/>
        </w:rPr>
        <w:t xml:space="preserve">. bei Šalių susitarimu gali būti pratęsta ne daugiau kaip 1 kartą papildomiems </w:t>
      </w:r>
      <w:r w:rsidR="00E12F4D" w:rsidRPr="00641949">
        <w:rPr>
          <w:rFonts w:ascii="Calibri" w:hAnsi="Calibri" w:cs="Calibri"/>
          <w:b/>
          <w:bCs/>
        </w:rPr>
        <w:t>12 mėn</w:t>
      </w:r>
      <w:r w:rsidR="000A0A56">
        <w:rPr>
          <w:rFonts w:ascii="Calibri" w:hAnsi="Calibri" w:cs="Calibri"/>
          <w:b/>
          <w:bCs/>
        </w:rPr>
        <w:t>.</w:t>
      </w:r>
      <w:r w:rsidR="00E12F4D">
        <w:rPr>
          <w:rFonts w:ascii="Calibri" w:hAnsi="Calibri" w:cs="Calibri"/>
        </w:rPr>
        <w:t>“</w:t>
      </w:r>
    </w:p>
    <w:p w14:paraId="625815BC" w14:textId="78C81AC5" w:rsidR="001C2E69" w:rsidRPr="000A500D" w:rsidRDefault="001C2E69" w:rsidP="001C2E69">
      <w:pPr>
        <w:spacing w:after="0"/>
        <w:rPr>
          <w:rFonts w:ascii="Calibri" w:hAnsi="Calibri" w:cs="Calibri"/>
        </w:rPr>
      </w:pPr>
      <w:r w:rsidRPr="000A500D">
        <w:rPr>
          <w:rFonts w:ascii="Calibri" w:hAnsi="Calibri" w:cs="Calibri"/>
        </w:rPr>
        <w:t xml:space="preserve">Šiuo atveju, pildant skelbimo apie pirkimą „Numatomas galiojimas“ sutarties trukmė nurodyta neteisingai. </w:t>
      </w:r>
    </w:p>
    <w:p w14:paraId="61A08C0A" w14:textId="0FD7AE31" w:rsidR="001C2E69" w:rsidRDefault="001C2E69" w:rsidP="00435585">
      <w:pPr>
        <w:spacing w:after="0"/>
        <w:rPr>
          <w:rFonts w:ascii="Calibri" w:hAnsi="Calibri" w:cs="Calibri"/>
        </w:rPr>
      </w:pPr>
      <w:r w:rsidRPr="000A500D">
        <w:rPr>
          <w:rFonts w:ascii="Calibri" w:hAnsi="Calibri" w:cs="Calibri"/>
        </w:rPr>
        <w:t>Atsižvelgiant į tai, Tarnyba rekomenduoja</w:t>
      </w:r>
      <w:r w:rsidR="00CD67D2" w:rsidRPr="00CD67D2">
        <w:rPr>
          <w:rFonts w:ascii="Calibri" w:hAnsi="Calibri" w:cs="Calibri"/>
        </w:rPr>
        <w:t xml:space="preserve"> </w:t>
      </w:r>
      <w:hyperlink r:id="rId8" w:history="1">
        <w:r w:rsidR="00CD67D2" w:rsidRPr="00CD67D2">
          <w:rPr>
            <w:rStyle w:val="Hyperlink"/>
            <w:rFonts w:ascii="Calibri" w:hAnsi="Calibri" w:cs="Calibri"/>
          </w:rPr>
          <w:t>Pranešimu apie pakeitimus</w:t>
        </w:r>
      </w:hyperlink>
      <w:r w:rsidR="00CD67D2" w:rsidRPr="00CD67D2">
        <w:rPr>
          <w:rFonts w:ascii="Calibri" w:hAnsi="Calibri" w:cs="Calibri"/>
        </w:rPr>
        <w:t xml:space="preserve">  patikslinti skelbimo apie pirkimą </w:t>
      </w:r>
      <w:r w:rsidRPr="000A500D">
        <w:rPr>
          <w:rFonts w:ascii="Calibri" w:hAnsi="Calibri" w:cs="Calibri"/>
        </w:rPr>
        <w:t xml:space="preserve">5.1.3 punktą, </w:t>
      </w:r>
      <w:r w:rsidR="00ED0B45">
        <w:rPr>
          <w:rFonts w:ascii="Calibri" w:hAnsi="Calibri" w:cs="Calibri"/>
        </w:rPr>
        <w:t xml:space="preserve">nurodant terminą apimantį </w:t>
      </w:r>
      <w:r w:rsidR="00113D95">
        <w:rPr>
          <w:rFonts w:ascii="Calibri" w:hAnsi="Calibri" w:cs="Calibri"/>
        </w:rPr>
        <w:t xml:space="preserve">Preliminariosios </w:t>
      </w:r>
      <w:r w:rsidRPr="000A500D">
        <w:rPr>
          <w:rFonts w:ascii="Calibri" w:hAnsi="Calibri" w:cs="Calibri"/>
        </w:rPr>
        <w:t xml:space="preserve">sutarties trukmę </w:t>
      </w:r>
      <w:r w:rsidR="006B2DBB">
        <w:rPr>
          <w:rFonts w:ascii="Calibri" w:hAnsi="Calibri" w:cs="Calibri"/>
        </w:rPr>
        <w:t>su</w:t>
      </w:r>
      <w:r w:rsidR="00ED0B45">
        <w:rPr>
          <w:rFonts w:ascii="Calibri" w:hAnsi="Calibri" w:cs="Calibri"/>
        </w:rPr>
        <w:t xml:space="preserve"> numatyt</w:t>
      </w:r>
      <w:r w:rsidR="006B2DBB">
        <w:rPr>
          <w:rFonts w:ascii="Calibri" w:hAnsi="Calibri" w:cs="Calibri"/>
        </w:rPr>
        <w:t>u</w:t>
      </w:r>
      <w:r w:rsidRPr="000A500D">
        <w:rPr>
          <w:rFonts w:ascii="Calibri" w:hAnsi="Calibri" w:cs="Calibri"/>
        </w:rPr>
        <w:t xml:space="preserve"> </w:t>
      </w:r>
      <w:r w:rsidR="00435585">
        <w:rPr>
          <w:rFonts w:ascii="Calibri" w:hAnsi="Calibri" w:cs="Calibri"/>
        </w:rPr>
        <w:t xml:space="preserve">jos </w:t>
      </w:r>
      <w:r w:rsidRPr="000A500D">
        <w:rPr>
          <w:rFonts w:ascii="Calibri" w:hAnsi="Calibri" w:cs="Calibri"/>
        </w:rPr>
        <w:t>pratęsim</w:t>
      </w:r>
      <w:r w:rsidR="006B2DBB">
        <w:rPr>
          <w:rFonts w:ascii="Calibri" w:hAnsi="Calibri" w:cs="Calibri"/>
        </w:rPr>
        <w:t>u</w:t>
      </w:r>
      <w:r w:rsidRPr="000A500D">
        <w:rPr>
          <w:rFonts w:ascii="Calibri" w:hAnsi="Calibri" w:cs="Calibri"/>
        </w:rPr>
        <w:t>.</w:t>
      </w:r>
      <w:r w:rsidR="007D6C7C">
        <w:rPr>
          <w:rFonts w:ascii="Calibri" w:hAnsi="Calibri" w:cs="Calibri"/>
        </w:rPr>
        <w:t xml:space="preserve"> </w:t>
      </w:r>
    </w:p>
    <w:p w14:paraId="67FA5C08" w14:textId="77777777" w:rsidR="00435585" w:rsidRPr="00435585" w:rsidRDefault="00435585" w:rsidP="00435585">
      <w:pPr>
        <w:spacing w:after="0"/>
        <w:rPr>
          <w:rFonts w:ascii="Calibri" w:hAnsi="Calibri" w:cs="Calibri"/>
        </w:rPr>
      </w:pPr>
    </w:p>
    <w:p w14:paraId="3E061BE0" w14:textId="4BFD25B4" w:rsidR="00B52607" w:rsidRPr="0003546C" w:rsidRDefault="004E69E0" w:rsidP="00531762">
      <w:pPr>
        <w:spacing w:after="0"/>
        <w:rPr>
          <w:rFonts w:ascii="Calibri" w:hAnsi="Calibri" w:cs="Calibri"/>
        </w:rPr>
      </w:pPr>
      <w:r w:rsidRPr="004E69E0">
        <w:rPr>
          <w:rFonts w:ascii="Calibri" w:hAnsi="Calibri" w:cs="Calibri"/>
          <w:b/>
          <w:bCs/>
        </w:rPr>
        <w:t>1.</w:t>
      </w:r>
      <w:r w:rsidR="00CF13B1">
        <w:rPr>
          <w:rFonts w:ascii="Calibri" w:hAnsi="Calibri" w:cs="Calibri"/>
          <w:b/>
          <w:bCs/>
        </w:rPr>
        <w:t>2</w:t>
      </w:r>
      <w:r w:rsidRPr="004E69E0">
        <w:rPr>
          <w:rFonts w:ascii="Calibri" w:hAnsi="Calibri" w:cs="Calibri"/>
          <w:b/>
          <w:bCs/>
        </w:rPr>
        <w:t>.</w:t>
      </w:r>
      <w:r>
        <w:rPr>
          <w:rFonts w:ascii="Calibri" w:hAnsi="Calibri" w:cs="Calibri"/>
        </w:rPr>
        <w:t xml:space="preserve"> </w:t>
      </w:r>
      <w:r w:rsidR="002F7246" w:rsidRPr="004E69E0">
        <w:rPr>
          <w:rFonts w:ascii="Calibri" w:hAnsi="Calibri" w:cs="Calibri"/>
        </w:rPr>
        <w:t xml:space="preserve">Pirkimo sąlygų </w:t>
      </w:r>
      <w:r w:rsidR="00BA7288">
        <w:rPr>
          <w:rFonts w:ascii="Calibri" w:hAnsi="Calibri" w:cs="Calibri"/>
        </w:rPr>
        <w:t>1.5</w:t>
      </w:r>
      <w:r w:rsidR="002F7246" w:rsidRPr="004E69E0">
        <w:rPr>
          <w:rFonts w:ascii="Calibri" w:hAnsi="Calibri" w:cs="Calibri"/>
        </w:rPr>
        <w:t xml:space="preserve"> punkte nurodyta, kad </w:t>
      </w:r>
      <w:r w:rsidR="000D1B78">
        <w:rPr>
          <w:rFonts w:ascii="Calibri" w:hAnsi="Calibri" w:cs="Calibri"/>
        </w:rPr>
        <w:t>vykdomas</w:t>
      </w:r>
      <w:r w:rsidR="002F7246" w:rsidRPr="004E69E0">
        <w:rPr>
          <w:rFonts w:ascii="Calibri" w:hAnsi="Calibri" w:cs="Calibri"/>
        </w:rPr>
        <w:t xml:space="preserve"> žalias pirkimas, tačiau skelbimo apie pirkimą</w:t>
      </w:r>
      <w:r w:rsidR="001E3136">
        <w:rPr>
          <w:rFonts w:ascii="Calibri" w:hAnsi="Calibri" w:cs="Calibri"/>
        </w:rPr>
        <w:t xml:space="preserve"> 5.1.7 </w:t>
      </w:r>
      <w:r w:rsidR="000A0A56">
        <w:rPr>
          <w:rFonts w:ascii="Calibri" w:hAnsi="Calibri" w:cs="Calibri"/>
        </w:rPr>
        <w:t>punkto</w:t>
      </w:r>
      <w:r w:rsidR="002F7246" w:rsidRPr="004E69E0">
        <w:rPr>
          <w:rFonts w:ascii="Calibri" w:hAnsi="Calibri" w:cs="Calibri"/>
        </w:rPr>
        <w:t xml:space="preserve"> skiltyje „Strateginis viešasis pirkimas“ pažymėta, kad </w:t>
      </w:r>
      <w:r w:rsidR="002F7246" w:rsidRPr="004E69E0">
        <w:rPr>
          <w:rFonts w:ascii="Calibri" w:hAnsi="Calibri" w:cs="Calibri"/>
          <w:b/>
          <w:bCs/>
        </w:rPr>
        <w:t>strateginių viešųjų pirkimų</w:t>
      </w:r>
      <w:r w:rsidR="002F7246" w:rsidRPr="004E69E0">
        <w:rPr>
          <w:rFonts w:ascii="Calibri" w:hAnsi="Calibri" w:cs="Calibri"/>
        </w:rPr>
        <w:t xml:space="preserve"> (tame tarpe ir žaliųjų pirkimų) </w:t>
      </w:r>
      <w:r w:rsidR="002F7246" w:rsidRPr="004E69E0">
        <w:rPr>
          <w:rFonts w:ascii="Calibri" w:hAnsi="Calibri" w:cs="Calibri"/>
          <w:b/>
          <w:bCs/>
        </w:rPr>
        <w:t>nėra</w:t>
      </w:r>
      <w:r w:rsidR="009427B9">
        <w:rPr>
          <w:rFonts w:ascii="Calibri" w:hAnsi="Calibri" w:cs="Calibri"/>
        </w:rPr>
        <w:t xml:space="preserve">, nors </w:t>
      </w:r>
      <w:r w:rsidR="0003546C">
        <w:rPr>
          <w:rFonts w:ascii="Calibri" w:hAnsi="Calibri" w:cs="Calibri"/>
        </w:rPr>
        <w:t>p</w:t>
      </w:r>
      <w:r w:rsidR="009427B9">
        <w:rPr>
          <w:rFonts w:ascii="Calibri" w:hAnsi="Calibri" w:cs="Calibri"/>
        </w:rPr>
        <w:t>a</w:t>
      </w:r>
      <w:r w:rsidR="0003546C">
        <w:rPr>
          <w:rFonts w:ascii="Calibri" w:hAnsi="Calibri" w:cs="Calibri"/>
        </w:rPr>
        <w:t>ž</w:t>
      </w:r>
      <w:r w:rsidR="009427B9">
        <w:rPr>
          <w:rFonts w:ascii="Calibri" w:hAnsi="Calibri" w:cs="Calibri"/>
        </w:rPr>
        <w:t xml:space="preserve">ymėta, jog </w:t>
      </w:r>
      <w:r w:rsidR="00873CAE">
        <w:rPr>
          <w:rFonts w:ascii="Calibri" w:hAnsi="Calibri" w:cs="Calibri"/>
        </w:rPr>
        <w:t xml:space="preserve">vykdomas </w:t>
      </w:r>
      <w:r w:rsidR="0003546C" w:rsidRPr="0003546C">
        <w:rPr>
          <w:rFonts w:ascii="Calibri" w:hAnsi="Calibri" w:cs="Calibri"/>
          <w:b/>
          <w:bCs/>
        </w:rPr>
        <w:t>„Žaliasis viešasis pirkimas: kriterijai: Nacionaliniai žaliojo viešojo pirkimo kriterijai“</w:t>
      </w:r>
      <w:r w:rsidR="0003546C" w:rsidRPr="0003546C">
        <w:rPr>
          <w:rFonts w:ascii="Calibri" w:hAnsi="Calibri" w:cs="Calibri"/>
        </w:rPr>
        <w:t>.</w:t>
      </w:r>
      <w:r w:rsidR="0003546C">
        <w:rPr>
          <w:rFonts w:ascii="Calibri" w:hAnsi="Calibri" w:cs="Calibri"/>
        </w:rPr>
        <w:t xml:space="preserve"> </w:t>
      </w:r>
      <w:r w:rsidR="005B2162">
        <w:rPr>
          <w:rFonts w:ascii="Calibri" w:hAnsi="Calibri" w:cs="Calibri"/>
        </w:rPr>
        <w:t xml:space="preserve">Šiuo atveju pateikta informacija yra </w:t>
      </w:r>
      <w:r w:rsidR="00581E84">
        <w:rPr>
          <w:rFonts w:ascii="Calibri" w:hAnsi="Calibri" w:cs="Calibri"/>
        </w:rPr>
        <w:t>dviprasmiška ir klaidinanti.</w:t>
      </w:r>
    </w:p>
    <w:p w14:paraId="093C72E9" w14:textId="720AE49D" w:rsidR="002F7246" w:rsidRPr="004E69E0" w:rsidRDefault="00531762" w:rsidP="00531762">
      <w:pPr>
        <w:spacing w:after="0"/>
        <w:rPr>
          <w:rFonts w:ascii="Calibri" w:hAnsi="Calibri" w:cs="Calibri"/>
        </w:rPr>
      </w:pPr>
      <w:r>
        <w:rPr>
          <w:rFonts w:ascii="Calibri" w:hAnsi="Calibri" w:cs="Calibri"/>
        </w:rPr>
        <w:t>Tarnyba pažymi</w:t>
      </w:r>
      <w:r w:rsidR="002F7246" w:rsidRPr="004E69E0">
        <w:rPr>
          <w:rFonts w:ascii="Calibri" w:hAnsi="Calibri" w:cs="Calibri"/>
        </w:rPr>
        <w:t xml:space="preserve">, kad vykdant žaliąjį pirkimą, punkte „Strateginiai viešieji pirkimai“ turi būti pažymėta „Poveikio aplinkai mažinimas“, aprašyme trumpai nurodyta, kad vykdomas žaliasis pirkimas, atitinkamai punkte „Žaliosios pirkimo kriterijų detalės“ pažymėta „Nacionaliniai žaliojo </w:t>
      </w:r>
      <w:r w:rsidR="002F7246" w:rsidRPr="004E69E0">
        <w:rPr>
          <w:rFonts w:ascii="Calibri" w:hAnsi="Calibri" w:cs="Calibri"/>
        </w:rPr>
        <w:lastRenderedPageBreak/>
        <w:t>viešojo pirkimo kriterijai“, o punkte „Poveikio aplinkai mažinimo metodas“ gali būti pažymėta „Kita“. </w:t>
      </w:r>
    </w:p>
    <w:p w14:paraId="1133BF3E" w14:textId="7E2BF6F2" w:rsidR="002F7246" w:rsidRPr="00882E84" w:rsidRDefault="002F7246" w:rsidP="0065064F">
      <w:pPr>
        <w:rPr>
          <w:rFonts w:ascii="Calibri" w:hAnsi="Calibri" w:cs="Calibri"/>
        </w:rPr>
      </w:pPr>
      <w:r w:rsidRPr="00882E84">
        <w:rPr>
          <w:rFonts w:ascii="Calibri" w:hAnsi="Calibri" w:cs="Calibri"/>
        </w:rPr>
        <w:t xml:space="preserve">Tarnybos parengtos mokomosios priemonės </w:t>
      </w:r>
      <w:hyperlink r:id="rId9" w:tgtFrame="_blank" w:history="1">
        <w:r w:rsidRPr="00882E84">
          <w:rPr>
            <w:rStyle w:val="Hyperlink"/>
            <w:rFonts w:ascii="Calibri" w:hAnsi="Calibri" w:cs="Calibri"/>
          </w:rPr>
          <w:t>Skelbimas apie pirkimą</w:t>
        </w:r>
      </w:hyperlink>
      <w:r w:rsidRPr="00882E84">
        <w:rPr>
          <w:rFonts w:ascii="Calibri" w:hAnsi="Calibri" w:cs="Calibri"/>
        </w:rPr>
        <w:t xml:space="preserve"> 16 ir 17 skaidrėse pateikta informacija apie Pirkimų procedūros dalies </w:t>
      </w:r>
      <w:r w:rsidRPr="00882E84">
        <w:rPr>
          <w:rFonts w:ascii="Calibri" w:hAnsi="Calibri" w:cs="Calibri"/>
          <w:b/>
          <w:bCs/>
        </w:rPr>
        <w:t>strateginiai viešieji pirkimai</w:t>
      </w:r>
      <w:r w:rsidRPr="00882E84">
        <w:rPr>
          <w:rFonts w:ascii="Calibri" w:hAnsi="Calibri" w:cs="Calibri"/>
        </w:rPr>
        <w:t xml:space="preserve"> pildymą. Įvertinusi skelbime apie pirkimą pateiktą netikslią informaciją, Tarnyba rekomenduoja </w:t>
      </w:r>
      <w:hyperlink r:id="rId10" w:history="1">
        <w:r w:rsidR="00065145" w:rsidRPr="007630CE">
          <w:rPr>
            <w:rStyle w:val="Hyperlink"/>
            <w:rFonts w:ascii="Calibri" w:hAnsi="Calibri" w:cs="Calibri"/>
          </w:rPr>
          <w:t>Pranešimu apie pakeitimus</w:t>
        </w:r>
      </w:hyperlink>
      <w:r w:rsidR="00065145" w:rsidRPr="00882E84">
        <w:rPr>
          <w:rFonts w:ascii="Calibri" w:hAnsi="Calibri" w:cs="Calibri"/>
        </w:rPr>
        <w:t xml:space="preserve">  </w:t>
      </w:r>
      <w:r w:rsidRPr="00882E84">
        <w:rPr>
          <w:rFonts w:ascii="Calibri" w:hAnsi="Calibri" w:cs="Calibri"/>
        </w:rPr>
        <w:t>patikslinti skelbimo apie pirkimą informaciją.</w:t>
      </w:r>
    </w:p>
    <w:p w14:paraId="1EF2FB9B" w14:textId="1C1FF533" w:rsidR="00CC6DBC" w:rsidRPr="00A442AF" w:rsidRDefault="00D859CE" w:rsidP="00A442AF">
      <w:pPr>
        <w:pStyle w:val="ListParagraph"/>
        <w:numPr>
          <w:ilvl w:val="0"/>
          <w:numId w:val="10"/>
        </w:numPr>
        <w:rPr>
          <w:rFonts w:ascii="Calibri" w:hAnsi="Calibri" w:cs="Calibri"/>
          <w:b/>
          <w:bCs/>
        </w:rPr>
      </w:pPr>
      <w:r w:rsidRPr="00D859CE">
        <w:rPr>
          <w:rFonts w:ascii="Calibri" w:hAnsi="Calibri" w:cs="Calibri"/>
          <w:b/>
          <w:bCs/>
        </w:rPr>
        <w:t>Dėl pašalinimo pagrindų</w:t>
      </w:r>
    </w:p>
    <w:p w14:paraId="3BEFF7CE" w14:textId="2D8DB1BE" w:rsidR="00477A36" w:rsidRPr="00477A36" w:rsidRDefault="00DF49E1" w:rsidP="00086C7D">
      <w:pPr>
        <w:spacing w:after="0"/>
        <w:rPr>
          <w:rFonts w:ascii="Calibri" w:hAnsi="Calibri" w:cs="Calibri"/>
        </w:rPr>
      </w:pPr>
      <w:r>
        <w:rPr>
          <w:rFonts w:ascii="Calibri" w:hAnsi="Calibri" w:cs="Calibri"/>
        </w:rPr>
        <w:t xml:space="preserve">Atkreiptinas dėmesys, jog </w:t>
      </w:r>
      <w:r w:rsidR="00EE43CF">
        <w:rPr>
          <w:rFonts w:ascii="Calibri" w:hAnsi="Calibri" w:cs="Calibri"/>
        </w:rPr>
        <w:t>Pirkimo sąlygų prie</w:t>
      </w:r>
      <w:r w:rsidR="003532D0">
        <w:rPr>
          <w:rFonts w:ascii="Calibri" w:hAnsi="Calibri" w:cs="Calibri"/>
        </w:rPr>
        <w:t xml:space="preserve">do „Pašalinimo pagrindai“ (toliau - </w:t>
      </w:r>
      <w:r w:rsidR="00477A36" w:rsidRPr="00477A36">
        <w:rPr>
          <w:rFonts w:ascii="Calibri" w:hAnsi="Calibri" w:cs="Calibri"/>
        </w:rPr>
        <w:t>Pašalinimo pagrind</w:t>
      </w:r>
      <w:r w:rsidR="003532D0">
        <w:rPr>
          <w:rFonts w:ascii="Calibri" w:hAnsi="Calibri" w:cs="Calibri"/>
        </w:rPr>
        <w:t>ai)</w:t>
      </w:r>
      <w:r w:rsidR="00477A36" w:rsidRPr="00477A36">
        <w:rPr>
          <w:rFonts w:ascii="Calibri" w:hAnsi="Calibri" w:cs="Calibri"/>
        </w:rPr>
        <w:t xml:space="preserve"> lentelės 3 eilutė</w:t>
      </w:r>
      <w:r>
        <w:rPr>
          <w:rFonts w:ascii="Calibri" w:hAnsi="Calibri" w:cs="Calibri"/>
        </w:rPr>
        <w:t>j</w:t>
      </w:r>
      <w:r w:rsidR="00477A36" w:rsidRPr="00477A36">
        <w:rPr>
          <w:rFonts w:ascii="Calibri" w:hAnsi="Calibri" w:cs="Calibri"/>
        </w:rPr>
        <w:t>e turi būti nurodyta: „</w:t>
      </w:r>
      <w:r w:rsidR="00477A36" w:rsidRPr="00477A36">
        <w:rPr>
          <w:rFonts w:ascii="Calibri" w:hAnsi="Calibri" w:cs="Calibri"/>
          <w:bCs/>
          <w:iCs/>
        </w:rPr>
        <w:t>tiekėjo, kuris yra juridinis asmuo, kita organizacija ar jos struktūrinis padalinys</w:t>
      </w:r>
      <w:r w:rsidR="00477A36" w:rsidRPr="00477A36">
        <w:rPr>
          <w:rFonts w:ascii="Calibri" w:hAnsi="Calibri" w:cs="Calibri"/>
        </w:rPr>
        <w:t>“. Atsižvelgiant į tai, rekomenduotina papildyti Pašalinimo pagrindus trūkstama informacija, t. y. žodžiu „struktūrinis“.</w:t>
      </w:r>
      <w:r w:rsidR="00F05842">
        <w:rPr>
          <w:rFonts w:ascii="Calibri" w:hAnsi="Calibri" w:cs="Calibri"/>
        </w:rPr>
        <w:t xml:space="preserve"> </w:t>
      </w:r>
      <w:r w:rsidR="003A7733">
        <w:rPr>
          <w:rFonts w:ascii="Calibri" w:hAnsi="Calibri" w:cs="Calibri"/>
        </w:rPr>
        <w:t xml:space="preserve">Be kita ko, </w:t>
      </w:r>
      <w:r w:rsidR="00CB4E2C">
        <w:rPr>
          <w:rFonts w:ascii="Calibri" w:hAnsi="Calibri" w:cs="Calibri"/>
        </w:rPr>
        <w:t xml:space="preserve">rekomenduotina </w:t>
      </w:r>
      <w:r w:rsidR="00B57F40">
        <w:rPr>
          <w:rFonts w:ascii="Calibri" w:hAnsi="Calibri" w:cs="Calibri"/>
        </w:rPr>
        <w:t xml:space="preserve">patikslinti </w:t>
      </w:r>
      <w:r w:rsidR="003A7733">
        <w:rPr>
          <w:rFonts w:ascii="Calibri" w:hAnsi="Calibri" w:cs="Calibri"/>
        </w:rPr>
        <w:t>Pa</w:t>
      </w:r>
      <w:r w:rsidR="00854FC3">
        <w:rPr>
          <w:rFonts w:ascii="Calibri" w:hAnsi="Calibri" w:cs="Calibri"/>
        </w:rPr>
        <w:t>š</w:t>
      </w:r>
      <w:r w:rsidR="003A7733">
        <w:rPr>
          <w:rFonts w:ascii="Calibri" w:hAnsi="Calibri" w:cs="Calibri"/>
        </w:rPr>
        <w:t>alinimo pagrindų lentelės 10</w:t>
      </w:r>
      <w:r w:rsidR="00297BDC">
        <w:rPr>
          <w:rFonts w:ascii="Calibri" w:hAnsi="Calibri" w:cs="Calibri"/>
        </w:rPr>
        <w:t xml:space="preserve"> ir </w:t>
      </w:r>
      <w:r w:rsidR="004017B6">
        <w:rPr>
          <w:rFonts w:ascii="Calibri" w:hAnsi="Calibri" w:cs="Calibri"/>
        </w:rPr>
        <w:t>15</w:t>
      </w:r>
      <w:r w:rsidR="006D421D">
        <w:rPr>
          <w:rFonts w:ascii="Calibri" w:hAnsi="Calibri" w:cs="Calibri"/>
        </w:rPr>
        <w:t xml:space="preserve"> eilučių skiltyje </w:t>
      </w:r>
      <w:r w:rsidR="00315E1C">
        <w:rPr>
          <w:rFonts w:ascii="Calibri" w:hAnsi="Calibri" w:cs="Calibri"/>
        </w:rPr>
        <w:t xml:space="preserve">„Pašalinimo pagrindų nebuvimą įrodantys dokumentai“ </w:t>
      </w:r>
      <w:r w:rsidR="00B57F40">
        <w:rPr>
          <w:rFonts w:ascii="Calibri" w:hAnsi="Calibri" w:cs="Calibri"/>
        </w:rPr>
        <w:t>esančią informaciją</w:t>
      </w:r>
      <w:r w:rsidR="00086C7D">
        <w:rPr>
          <w:rFonts w:ascii="Calibri" w:hAnsi="Calibri" w:cs="Calibri"/>
        </w:rPr>
        <w:t>.</w:t>
      </w:r>
    </w:p>
    <w:p w14:paraId="00026F09" w14:textId="77777777" w:rsidR="00477A36" w:rsidRPr="00477A36" w:rsidRDefault="00477A36" w:rsidP="00086C7D">
      <w:pPr>
        <w:spacing w:after="0"/>
        <w:rPr>
          <w:rFonts w:ascii="Calibri" w:hAnsi="Calibri" w:cs="Calibri"/>
        </w:rPr>
      </w:pPr>
      <w:r w:rsidRPr="00477A36">
        <w:rPr>
          <w:rFonts w:ascii="Calibri" w:hAnsi="Calibri" w:cs="Calibri"/>
        </w:rPr>
        <w:t>Atsižvelgiant į išdėstytą, rekomenduotina peržiūrėti ir patikslinti Pašalinimo pagrindus.</w:t>
      </w:r>
    </w:p>
    <w:p w14:paraId="26990BCC" w14:textId="267E2902" w:rsidR="00477A36" w:rsidRDefault="00477A36" w:rsidP="00696EF6">
      <w:pPr>
        <w:spacing w:after="0"/>
        <w:rPr>
          <w:rFonts w:ascii="Calibri" w:hAnsi="Calibri" w:cs="Calibri"/>
        </w:rPr>
      </w:pPr>
      <w:r w:rsidRPr="00477A36">
        <w:rPr>
          <w:rFonts w:ascii="Calibri" w:hAnsi="Calibri" w:cs="Calibri"/>
        </w:rPr>
        <w:t xml:space="preserve">Atkreiptinas dėmesys, kad siekiant padėti tinkamai suformuluoti pašalinimo pagrindų reikalavimus, Tarnyba yra parengusi ir paskelbusi atnaujintą pavyzdinę </w:t>
      </w:r>
      <w:hyperlink r:id="rId11">
        <w:r w:rsidRPr="00477A36">
          <w:rPr>
            <w:rStyle w:val="Hyperlink"/>
            <w:rFonts w:ascii="Calibri" w:hAnsi="Calibri" w:cs="Calibri"/>
          </w:rPr>
          <w:t>pašalinimo pagrindų lentelę</w:t>
        </w:r>
      </w:hyperlink>
      <w:r w:rsidRPr="00477A36">
        <w:rPr>
          <w:rFonts w:ascii="Calibri" w:hAnsi="Calibri" w:cs="Calibri"/>
          <w:lang w:val="en-US"/>
        </w:rPr>
        <w:t>,</w:t>
      </w:r>
      <w:r w:rsidRPr="00477A36">
        <w:rPr>
          <w:rFonts w:ascii="Calibri" w:hAnsi="Calibri" w:cs="Calibri"/>
        </w:rPr>
        <w:t xml:space="preserve"> todėl rengiant Pirkimo dokumentus rekomenduotina vadovautis aktualia dokumento redakcija.</w:t>
      </w:r>
    </w:p>
    <w:p w14:paraId="36468EE6" w14:textId="77777777" w:rsidR="005F7021" w:rsidRDefault="005F7021" w:rsidP="00696EF6">
      <w:pPr>
        <w:spacing w:after="0"/>
        <w:rPr>
          <w:rFonts w:ascii="Calibri" w:hAnsi="Calibri" w:cs="Calibri"/>
        </w:rPr>
      </w:pPr>
    </w:p>
    <w:p w14:paraId="24A560DC" w14:textId="7A5797E0" w:rsidR="005F7021" w:rsidRPr="00622576" w:rsidRDefault="00622576" w:rsidP="005F7021">
      <w:pPr>
        <w:pStyle w:val="ListParagraph"/>
        <w:numPr>
          <w:ilvl w:val="0"/>
          <w:numId w:val="10"/>
        </w:numPr>
        <w:spacing w:after="0"/>
        <w:rPr>
          <w:rFonts w:ascii="Calibri" w:hAnsi="Calibri" w:cs="Calibri"/>
          <w:b/>
          <w:bCs/>
        </w:rPr>
      </w:pPr>
      <w:r w:rsidRPr="00622576">
        <w:rPr>
          <w:rFonts w:ascii="Calibri" w:hAnsi="Calibri" w:cs="Calibri"/>
          <w:b/>
          <w:bCs/>
        </w:rPr>
        <w:t>Dėl kvalifikacijos reikalavimų</w:t>
      </w:r>
    </w:p>
    <w:p w14:paraId="46BEF1B3" w14:textId="77777777" w:rsidR="008877D9" w:rsidRDefault="008877D9" w:rsidP="0061414A">
      <w:pPr>
        <w:spacing w:after="0"/>
        <w:rPr>
          <w:rFonts w:ascii="Calibri" w:hAnsi="Calibri" w:cs="Calibri"/>
        </w:rPr>
      </w:pPr>
    </w:p>
    <w:p w14:paraId="7ABD79A8" w14:textId="376A1E8C" w:rsidR="0061414A" w:rsidRDefault="00E44559" w:rsidP="0061414A">
      <w:pPr>
        <w:spacing w:after="0"/>
        <w:rPr>
          <w:rFonts w:ascii="Calibri" w:hAnsi="Calibri" w:cs="Calibri"/>
        </w:rPr>
      </w:pPr>
      <w:r w:rsidRPr="00E44559">
        <w:rPr>
          <w:rFonts w:ascii="Calibri" w:hAnsi="Calibri" w:cs="Calibri"/>
          <w:b/>
          <w:bCs/>
        </w:rPr>
        <w:t xml:space="preserve">3.1. </w:t>
      </w:r>
      <w:r w:rsidR="0003224D" w:rsidRPr="0003224D">
        <w:rPr>
          <w:rFonts w:ascii="Calibri" w:hAnsi="Calibri" w:cs="Calibri"/>
        </w:rPr>
        <w:t xml:space="preserve">Įstatymo 47 straipsnio 7 dalyje nurodyta, jog tiekėjo kvalifikacijos reikalavimai nustatomi pagal Tarnybos patvirtintą </w:t>
      </w:r>
      <w:hyperlink r:id="rId12" w:history="1">
        <w:r w:rsidR="0003224D" w:rsidRPr="0003224D">
          <w:rPr>
            <w:rStyle w:val="Hyperlink"/>
            <w:rFonts w:ascii="Calibri" w:hAnsi="Calibri" w:cs="Calibri"/>
          </w:rPr>
          <w:t>Tiekėjo kvalifikacijos reikalavimų nustatymo metodiką</w:t>
        </w:r>
      </w:hyperlink>
      <w:r w:rsidR="0003224D" w:rsidRPr="0003224D">
        <w:rPr>
          <w:rFonts w:ascii="Calibri" w:hAnsi="Calibri" w:cs="Calibri"/>
          <w:vertAlign w:val="superscript"/>
        </w:rPr>
        <w:footnoteReference w:id="1"/>
      </w:r>
      <w:r w:rsidR="0003224D" w:rsidRPr="0003224D">
        <w:rPr>
          <w:rFonts w:ascii="Calibri" w:hAnsi="Calibri" w:cs="Calibri"/>
        </w:rPr>
        <w:t xml:space="preserve"> (toliau – Metodika). Pastebėtina, kad Metodikos 9 punkte nustatyta, kad „Pirkimo vykdytojas kiekvienu atveju aiškiai apibūdina reikalaujamą veiklą, pavyzdžiui, perkant statybos darbus apibūdina (pagal poreikį) reikalaujamą veiklą, pateikdamas su pirkimo objektu susijusią informaciją: </w:t>
      </w:r>
      <w:r w:rsidR="0003224D" w:rsidRPr="003D2255">
        <w:rPr>
          <w:rFonts w:ascii="Calibri" w:hAnsi="Calibri" w:cs="Calibri"/>
          <w:b/>
          <w:bCs/>
        </w:rPr>
        <w:t xml:space="preserve">statinių kategoriją, grupę ir pogrupį, statybos darbų sritį </w:t>
      </w:r>
      <w:r w:rsidR="0003224D" w:rsidRPr="0003224D">
        <w:rPr>
          <w:rFonts w:ascii="Calibri" w:hAnsi="Calibri" w:cs="Calibri"/>
        </w:rPr>
        <w:t xml:space="preserve">ir pan., nurodo teisinį pagrindą)“. </w:t>
      </w:r>
      <w:r w:rsidR="00E45109">
        <w:rPr>
          <w:rFonts w:ascii="Calibri" w:hAnsi="Calibri" w:cs="Calibri"/>
        </w:rPr>
        <w:t>Šiuo atveju,</w:t>
      </w:r>
      <w:r w:rsidR="003D2255" w:rsidRPr="003D2255">
        <w:rPr>
          <w:rFonts w:ascii="Calibri" w:hAnsi="Calibri" w:cs="Calibri"/>
        </w:rPr>
        <w:t xml:space="preserve"> Pirkimo sąlygų priedo „Kvalifikacijos reikalavimai tiekėjui“ (toliau – Kvalifikacijos reikalavimai) lentelės 1 punkte nustatytas reikalavimas: „Tiekėjas turi turėti teisę, vadovaujantis Lietuvos Respublikos statybos įstatymo 18 str., būti statybos rangovu atliekant šiuos darbus: </w:t>
      </w:r>
    </w:p>
    <w:p w14:paraId="4C56C85B" w14:textId="78694D0A" w:rsidR="003D2255" w:rsidRDefault="003D2255" w:rsidP="0061414A">
      <w:pPr>
        <w:spacing w:after="0"/>
        <w:rPr>
          <w:rFonts w:ascii="Calibri" w:hAnsi="Calibri" w:cs="Calibri"/>
        </w:rPr>
      </w:pPr>
      <w:r w:rsidRPr="003D2255">
        <w:rPr>
          <w:rFonts w:ascii="Calibri" w:hAnsi="Calibri" w:cs="Calibri"/>
        </w:rPr>
        <w:t>-  statinio paskirtis: kultūros; statybos rūšis: kapitalinis remontas; statinio kategorija: ypatingasis; statybos darbų sritys: bendrieji statybos darbai (apdailos darbai)“.</w:t>
      </w:r>
    </w:p>
    <w:p w14:paraId="10296010" w14:textId="7D8DEFD2" w:rsidR="00AD0A01" w:rsidRDefault="0014507A" w:rsidP="00335645">
      <w:pPr>
        <w:spacing w:after="0"/>
        <w:rPr>
          <w:rFonts w:ascii="Calibri" w:hAnsi="Calibri" w:cs="Calibri"/>
        </w:rPr>
      </w:pPr>
      <w:r w:rsidRPr="0014507A">
        <w:rPr>
          <w:rFonts w:ascii="Calibri" w:hAnsi="Calibri" w:cs="Calibri"/>
        </w:rPr>
        <w:t xml:space="preserve">Atsižvelgiant į tai, kad </w:t>
      </w:r>
      <w:r w:rsidR="000A0A56">
        <w:rPr>
          <w:rFonts w:ascii="Calibri" w:hAnsi="Calibri" w:cs="Calibri"/>
        </w:rPr>
        <w:t xml:space="preserve">turi </w:t>
      </w:r>
      <w:r w:rsidRPr="0014507A">
        <w:rPr>
          <w:rFonts w:ascii="Calibri" w:hAnsi="Calibri" w:cs="Calibri"/>
        </w:rPr>
        <w:t xml:space="preserve"> būti nustatomi tik būtini tiekėjų kvalifikacijos reikalavimai, nustatant tiekėjų</w:t>
      </w:r>
      <w:r>
        <w:rPr>
          <w:rFonts w:ascii="Calibri" w:hAnsi="Calibri" w:cs="Calibri"/>
        </w:rPr>
        <w:t xml:space="preserve"> </w:t>
      </w:r>
      <w:r w:rsidRPr="0014507A">
        <w:rPr>
          <w:rFonts w:ascii="Calibri" w:hAnsi="Calibri" w:cs="Calibri"/>
        </w:rPr>
        <w:t xml:space="preserve">kvalifikacijos reikalavimą dėl teisės </w:t>
      </w:r>
      <w:r w:rsidRPr="00016FC5">
        <w:rPr>
          <w:rFonts w:ascii="Calibri" w:hAnsi="Calibri" w:cs="Calibri"/>
          <w:b/>
          <w:bCs/>
        </w:rPr>
        <w:t xml:space="preserve">būti ypatingojo </w:t>
      </w:r>
      <w:r w:rsidRPr="007630CE">
        <w:rPr>
          <w:rFonts w:ascii="Calibri" w:hAnsi="Calibri" w:cs="Calibri"/>
          <w:b/>
          <w:bCs/>
        </w:rPr>
        <w:t>statinio rangovu</w:t>
      </w:r>
      <w:r w:rsidRPr="0014507A">
        <w:rPr>
          <w:rFonts w:ascii="Calibri" w:hAnsi="Calibri" w:cs="Calibri"/>
        </w:rPr>
        <w:t xml:space="preserve">, turi būti nurodoma </w:t>
      </w:r>
      <w:r w:rsidR="00FD75C9">
        <w:rPr>
          <w:rFonts w:ascii="Calibri" w:hAnsi="Calibri" w:cs="Calibri"/>
        </w:rPr>
        <w:lastRenderedPageBreak/>
        <w:t xml:space="preserve">ir </w:t>
      </w:r>
      <w:r w:rsidRPr="007630CE">
        <w:rPr>
          <w:rFonts w:ascii="Calibri" w:hAnsi="Calibri" w:cs="Calibri"/>
          <w:b/>
          <w:bCs/>
        </w:rPr>
        <w:t>statinio grupė</w:t>
      </w:r>
      <w:r w:rsidRPr="0014507A">
        <w:rPr>
          <w:rFonts w:ascii="Calibri" w:hAnsi="Calibri" w:cs="Calibri"/>
        </w:rPr>
        <w:t>,</w:t>
      </w:r>
      <w:r>
        <w:rPr>
          <w:rFonts w:ascii="Calibri" w:hAnsi="Calibri" w:cs="Calibri"/>
        </w:rPr>
        <w:t xml:space="preserve"> </w:t>
      </w:r>
      <w:r w:rsidR="009E0449" w:rsidRPr="009E0449">
        <w:rPr>
          <w:rFonts w:ascii="Calibri" w:hAnsi="Calibri" w:cs="Calibri"/>
        </w:rPr>
        <w:t xml:space="preserve">o </w:t>
      </w:r>
      <w:r w:rsidR="009E0449">
        <w:rPr>
          <w:rFonts w:ascii="Calibri" w:hAnsi="Calibri" w:cs="Calibri"/>
        </w:rPr>
        <w:t xml:space="preserve">reikalavime </w:t>
      </w:r>
      <w:r w:rsidR="009E0449" w:rsidRPr="009E0449">
        <w:rPr>
          <w:rFonts w:ascii="Calibri" w:hAnsi="Calibri" w:cs="Calibri"/>
        </w:rPr>
        <w:t>nustatyta statybos rūšis</w:t>
      </w:r>
      <w:r w:rsidR="009E0449">
        <w:rPr>
          <w:rFonts w:ascii="Calibri" w:hAnsi="Calibri" w:cs="Calibri"/>
        </w:rPr>
        <w:t xml:space="preserve"> (</w:t>
      </w:r>
      <w:r w:rsidR="009E0449" w:rsidRPr="009E0449">
        <w:rPr>
          <w:rFonts w:ascii="Calibri" w:hAnsi="Calibri" w:cs="Calibri"/>
        </w:rPr>
        <w:t>kapitalinis remontas</w:t>
      </w:r>
      <w:r w:rsidR="009E0449">
        <w:rPr>
          <w:rFonts w:ascii="Calibri" w:hAnsi="Calibri" w:cs="Calibri"/>
        </w:rPr>
        <w:t>)</w:t>
      </w:r>
      <w:r w:rsidR="009E0449" w:rsidRPr="009E0449">
        <w:rPr>
          <w:rFonts w:ascii="Calibri" w:hAnsi="Calibri" w:cs="Calibri"/>
        </w:rPr>
        <w:t>,  šiuo atveju yra perteklinis reikalavimas</w:t>
      </w:r>
      <w:r w:rsidR="009E0449">
        <w:rPr>
          <w:rFonts w:ascii="Calibri" w:hAnsi="Calibri" w:cs="Calibri"/>
        </w:rPr>
        <w:t xml:space="preserve">. </w:t>
      </w:r>
    </w:p>
    <w:p w14:paraId="71B4D644" w14:textId="51515C60" w:rsidR="00850E9E" w:rsidRDefault="00850E9E" w:rsidP="00335645">
      <w:pPr>
        <w:spacing w:after="0"/>
        <w:rPr>
          <w:rFonts w:ascii="Calibri" w:hAnsi="Calibri" w:cs="Calibri"/>
          <w:lang w:val="lt"/>
        </w:rPr>
      </w:pPr>
      <w:r>
        <w:rPr>
          <w:rFonts w:ascii="Calibri" w:hAnsi="Calibri" w:cs="Calibri"/>
          <w:lang w:val="lt"/>
        </w:rPr>
        <w:t>R</w:t>
      </w:r>
      <w:r w:rsidRPr="00850E9E">
        <w:rPr>
          <w:rFonts w:ascii="Calibri" w:hAnsi="Calibri" w:cs="Calibri"/>
          <w:lang w:val="lt"/>
        </w:rPr>
        <w:t xml:space="preserve">eikalavimų nustatymo pavyzdžiai pateikti Tarnybos parengtose </w:t>
      </w:r>
      <w:hyperlink r:id="rId13">
        <w:r w:rsidRPr="00850E9E">
          <w:rPr>
            <w:rStyle w:val="Hyperlink"/>
            <w:rFonts w:ascii="Calibri" w:hAnsi="Calibri" w:cs="Calibri"/>
            <w:lang w:val="lt"/>
          </w:rPr>
          <w:t>Statybos darbų pirkimų gairės</w:t>
        </w:r>
      </w:hyperlink>
      <w:r w:rsidRPr="00850E9E">
        <w:rPr>
          <w:rFonts w:ascii="Calibri" w:hAnsi="Calibri" w:cs="Calibri"/>
          <w:u w:val="single"/>
          <w:lang w:val="lt"/>
        </w:rPr>
        <w:t>e</w:t>
      </w:r>
      <w:r w:rsidRPr="00850E9E">
        <w:rPr>
          <w:rFonts w:ascii="Calibri" w:hAnsi="Calibri" w:cs="Calibri"/>
          <w:lang w:val="lt"/>
        </w:rPr>
        <w:t>.</w:t>
      </w:r>
    </w:p>
    <w:p w14:paraId="255F29FE" w14:textId="77777777" w:rsidR="00996C04" w:rsidRDefault="00996C04" w:rsidP="00335645">
      <w:pPr>
        <w:spacing w:after="0"/>
        <w:rPr>
          <w:rFonts w:ascii="Calibri" w:hAnsi="Calibri" w:cs="Calibri"/>
        </w:rPr>
      </w:pPr>
    </w:p>
    <w:p w14:paraId="44374B15" w14:textId="6019A05D" w:rsidR="009C3CE4" w:rsidRDefault="009C3CE4" w:rsidP="00335645">
      <w:pPr>
        <w:spacing w:after="0"/>
        <w:rPr>
          <w:rFonts w:ascii="Calibri" w:hAnsi="Calibri" w:cs="Calibri"/>
        </w:rPr>
      </w:pPr>
      <w:r w:rsidRPr="009C3CE4">
        <w:rPr>
          <w:rFonts w:ascii="Calibri" w:hAnsi="Calibri" w:cs="Calibri"/>
        </w:rPr>
        <w:t>Siekiant aiškumo vertinant tiekėjų atitiktį kvalifikacijos reikalavimams, Tarnyba rekomenduoja patvirtinančių dokumentų sąrašo skiltyje pateikti pastabą: „Jei kvalifikacijos dokumente yra nurodyta visa reikalaujama statinių grupė (neišskirti / nenurodyti pogrupiai) arba nurodytas konkretus pogrupis, atitinkantis nurodytą kvalifikacijos reikalavime, – tokie kvalifikacijos dokumentai yra tinkami“.</w:t>
      </w:r>
    </w:p>
    <w:p w14:paraId="05E8D928" w14:textId="49363B28" w:rsidR="00E44559" w:rsidRDefault="00E44559" w:rsidP="00335645">
      <w:pPr>
        <w:spacing w:after="0"/>
        <w:rPr>
          <w:rFonts w:ascii="Calibri" w:hAnsi="Calibri" w:cs="Calibri"/>
        </w:rPr>
      </w:pPr>
      <w:r>
        <w:rPr>
          <w:rFonts w:ascii="Calibri" w:hAnsi="Calibri" w:cs="Calibri"/>
        </w:rPr>
        <w:t xml:space="preserve">Atsižvelgiant į nurodytą, Tarnyba rekomenduoja </w:t>
      </w:r>
      <w:r w:rsidR="008F59F0">
        <w:rPr>
          <w:rFonts w:ascii="Calibri" w:hAnsi="Calibri" w:cs="Calibri"/>
        </w:rPr>
        <w:t>pa</w:t>
      </w:r>
      <w:r>
        <w:rPr>
          <w:rFonts w:ascii="Calibri" w:hAnsi="Calibri" w:cs="Calibri"/>
        </w:rPr>
        <w:t>tikslinti kvalifikaci</w:t>
      </w:r>
      <w:r w:rsidR="000A0A56">
        <w:rPr>
          <w:rFonts w:ascii="Calibri" w:hAnsi="Calibri" w:cs="Calibri"/>
        </w:rPr>
        <w:t>jos</w:t>
      </w:r>
      <w:r>
        <w:rPr>
          <w:rFonts w:ascii="Calibri" w:hAnsi="Calibri" w:cs="Calibri"/>
        </w:rPr>
        <w:t xml:space="preserve"> reikalavimą.</w:t>
      </w:r>
    </w:p>
    <w:p w14:paraId="5F72F437" w14:textId="77777777" w:rsidR="00C24796" w:rsidRDefault="00C24796" w:rsidP="00335645">
      <w:pPr>
        <w:spacing w:after="0"/>
        <w:rPr>
          <w:rFonts w:ascii="Calibri" w:hAnsi="Calibri" w:cs="Calibri"/>
        </w:rPr>
      </w:pPr>
    </w:p>
    <w:p w14:paraId="5E88C213" w14:textId="3A5808D6" w:rsidR="00866617" w:rsidRPr="004D5E1A" w:rsidRDefault="00E44559" w:rsidP="00A55E15">
      <w:pPr>
        <w:rPr>
          <w:rFonts w:ascii="Calibri" w:hAnsi="Calibri" w:cs="Calibri"/>
        </w:rPr>
      </w:pPr>
      <w:r w:rsidRPr="00E44559">
        <w:rPr>
          <w:rFonts w:ascii="Calibri" w:hAnsi="Calibri" w:cs="Calibri"/>
          <w:b/>
          <w:bCs/>
        </w:rPr>
        <w:t>3.2.</w:t>
      </w:r>
      <w:r>
        <w:rPr>
          <w:rFonts w:ascii="Calibri" w:hAnsi="Calibri" w:cs="Calibri"/>
        </w:rPr>
        <w:t xml:space="preserve"> </w:t>
      </w:r>
      <w:r w:rsidR="00E20299">
        <w:rPr>
          <w:rFonts w:ascii="Calibri" w:hAnsi="Calibri" w:cs="Calibri"/>
        </w:rPr>
        <w:t>T</w:t>
      </w:r>
      <w:r w:rsidR="00335645">
        <w:rPr>
          <w:rFonts w:ascii="Calibri" w:hAnsi="Calibri" w:cs="Calibri"/>
        </w:rPr>
        <w:t xml:space="preserve">arnyba atkreipia dėmesį, jog Techniniame projekte nurodyta, jog </w:t>
      </w:r>
      <w:r w:rsidR="002F43DA" w:rsidRPr="00016FC5">
        <w:rPr>
          <w:rFonts w:ascii="Calibri" w:hAnsi="Calibri" w:cs="Calibri"/>
          <w:b/>
          <w:bCs/>
        </w:rPr>
        <w:t>pastatas</w:t>
      </w:r>
      <w:r w:rsidR="00356B4F" w:rsidRPr="00016FC5">
        <w:rPr>
          <w:rFonts w:ascii="Calibri" w:hAnsi="Calibri" w:cs="Calibri"/>
          <w:b/>
          <w:bCs/>
        </w:rPr>
        <w:t xml:space="preserve"> yra nekilnojamųjų kultūros vertybių teritorijoje</w:t>
      </w:r>
      <w:r w:rsidR="00E547E5">
        <w:rPr>
          <w:rFonts w:ascii="Calibri" w:hAnsi="Calibri" w:cs="Calibri"/>
        </w:rPr>
        <w:t xml:space="preserve"> ir </w:t>
      </w:r>
      <w:r w:rsidR="00C77FC1">
        <w:rPr>
          <w:rFonts w:ascii="Calibri" w:hAnsi="Calibri" w:cs="Calibri"/>
        </w:rPr>
        <w:t>„</w:t>
      </w:r>
      <w:r w:rsidR="00626427" w:rsidRPr="00626427">
        <w:rPr>
          <w:rFonts w:ascii="Calibri" w:hAnsi="Calibri" w:cs="Calibri"/>
        </w:rPr>
        <w:t xml:space="preserve">Vilniaus miesto istorinės dalies, vad. Naujamiesčiu (unikalus objekto kodas Kultūros vertybių registre 33653), apibrėžtų teritorijos ribų plane (14 lapas, ribos, plano struktūra, kultūros paveldo objektai ir kt.) pastatas T. Ševčenkos g. 19A pažymėtas kaip </w:t>
      </w:r>
      <w:r w:rsidR="00626427" w:rsidRPr="00016FC5">
        <w:rPr>
          <w:rFonts w:ascii="Calibri" w:hAnsi="Calibri" w:cs="Calibri"/>
          <w:b/>
          <w:bCs/>
        </w:rPr>
        <w:t>Kultūros paveldo vietovės urbanistinės struktūros objektas</w:t>
      </w:r>
      <w:r w:rsidR="00626427" w:rsidRPr="00626427">
        <w:rPr>
          <w:rFonts w:ascii="Calibri" w:hAnsi="Calibri" w:cs="Calibri"/>
        </w:rPr>
        <w:t xml:space="preserve"> (urbanistinės vietovės vertingoji savybė, reikšminga savo vieta ir tūriu)</w:t>
      </w:r>
      <w:r w:rsidR="00626427">
        <w:rPr>
          <w:rFonts w:ascii="Calibri" w:hAnsi="Calibri" w:cs="Calibri"/>
        </w:rPr>
        <w:t>“</w:t>
      </w:r>
      <w:r w:rsidR="00626427" w:rsidRPr="00626427">
        <w:rPr>
          <w:rFonts w:ascii="Calibri" w:hAnsi="Calibri" w:cs="Calibri"/>
        </w:rPr>
        <w:t>.</w:t>
      </w:r>
      <w:r w:rsidR="001A5C2A">
        <w:rPr>
          <w:rFonts w:ascii="Calibri" w:hAnsi="Calibri" w:cs="Calibri"/>
        </w:rPr>
        <w:t xml:space="preserve"> </w:t>
      </w:r>
      <w:r w:rsidR="000E5B7A">
        <w:rPr>
          <w:rFonts w:ascii="Calibri" w:hAnsi="Calibri" w:cs="Calibri"/>
        </w:rPr>
        <w:t xml:space="preserve">Atsižvelgiant į </w:t>
      </w:r>
      <w:r w:rsidR="000A0A56">
        <w:rPr>
          <w:rFonts w:ascii="Calibri" w:hAnsi="Calibri" w:cs="Calibri"/>
        </w:rPr>
        <w:t xml:space="preserve">nurodytą, rekomenduotina </w:t>
      </w:r>
      <w:r w:rsidR="00B07C59">
        <w:rPr>
          <w:rFonts w:ascii="Calibri" w:hAnsi="Calibri" w:cs="Calibri"/>
        </w:rPr>
        <w:t xml:space="preserve"> pakartotinai įsivertinti</w:t>
      </w:r>
      <w:r w:rsidR="00AC43E3">
        <w:rPr>
          <w:rFonts w:ascii="Calibri" w:hAnsi="Calibri" w:cs="Calibri"/>
        </w:rPr>
        <w:t xml:space="preserve">, ar </w:t>
      </w:r>
      <w:r w:rsidR="005C339F">
        <w:rPr>
          <w:rFonts w:ascii="Calibri" w:hAnsi="Calibri" w:cs="Calibri"/>
        </w:rPr>
        <w:t xml:space="preserve">šiuo atveju </w:t>
      </w:r>
      <w:r w:rsidR="000A0A56">
        <w:rPr>
          <w:rFonts w:ascii="Calibri" w:hAnsi="Calibri" w:cs="Calibri"/>
        </w:rPr>
        <w:t xml:space="preserve">kvalifikacijos reikalavimai nustatyti tinkamai, t. y.  ar siekiamas remontuoti </w:t>
      </w:r>
      <w:r w:rsidR="00764EB7">
        <w:rPr>
          <w:rFonts w:ascii="Calibri" w:hAnsi="Calibri" w:cs="Calibri"/>
        </w:rPr>
        <w:t xml:space="preserve">pastatas </w:t>
      </w:r>
      <w:r w:rsidR="000A0A56">
        <w:rPr>
          <w:rFonts w:ascii="Calibri" w:hAnsi="Calibri" w:cs="Calibri"/>
        </w:rPr>
        <w:t>nepate</w:t>
      </w:r>
      <w:r w:rsidR="004A4704">
        <w:rPr>
          <w:rFonts w:ascii="Calibri" w:hAnsi="Calibri" w:cs="Calibri"/>
        </w:rPr>
        <w:t xml:space="preserve">nka į </w:t>
      </w:r>
      <w:r w:rsidR="00764EB7">
        <w:rPr>
          <w:rFonts w:ascii="Calibri" w:hAnsi="Calibri" w:cs="Calibri"/>
        </w:rPr>
        <w:t xml:space="preserve"> </w:t>
      </w:r>
      <w:r w:rsidR="00764EB7" w:rsidRPr="00764EB7">
        <w:rPr>
          <w:rFonts w:ascii="Calibri" w:hAnsi="Calibri" w:cs="Calibri"/>
        </w:rPr>
        <w:t>kultūros paveldo objekto teritorij</w:t>
      </w:r>
      <w:r w:rsidR="004A4704">
        <w:rPr>
          <w:rFonts w:ascii="Calibri" w:hAnsi="Calibri" w:cs="Calibri"/>
        </w:rPr>
        <w:t>ą</w:t>
      </w:r>
      <w:r w:rsidR="00764EB7" w:rsidRPr="00764EB7">
        <w:rPr>
          <w:rFonts w:ascii="Calibri" w:hAnsi="Calibri" w:cs="Calibri"/>
        </w:rPr>
        <w:t>, jo apsaugos zon</w:t>
      </w:r>
      <w:r w:rsidR="004A4704">
        <w:rPr>
          <w:rFonts w:ascii="Calibri" w:hAnsi="Calibri" w:cs="Calibri"/>
        </w:rPr>
        <w:t>ą</w:t>
      </w:r>
      <w:r w:rsidR="00764EB7" w:rsidRPr="00764EB7">
        <w:rPr>
          <w:rFonts w:ascii="Calibri" w:hAnsi="Calibri" w:cs="Calibri"/>
        </w:rPr>
        <w:t>, kultūros paveldo vietov</w:t>
      </w:r>
      <w:r w:rsidR="004A4704">
        <w:rPr>
          <w:rFonts w:ascii="Calibri" w:hAnsi="Calibri" w:cs="Calibri"/>
        </w:rPr>
        <w:t xml:space="preserve">ę, ir ar </w:t>
      </w:r>
      <w:r w:rsidR="00764EB7">
        <w:rPr>
          <w:rFonts w:ascii="Calibri" w:hAnsi="Calibri" w:cs="Calibri"/>
        </w:rPr>
        <w:t xml:space="preserve"> </w:t>
      </w:r>
      <w:r w:rsidR="001F5F5A">
        <w:rPr>
          <w:rFonts w:ascii="Calibri" w:hAnsi="Calibri" w:cs="Calibri"/>
        </w:rPr>
        <w:t>kvalifikaci</w:t>
      </w:r>
      <w:r w:rsidR="004A4704">
        <w:rPr>
          <w:rFonts w:ascii="Calibri" w:hAnsi="Calibri" w:cs="Calibri"/>
        </w:rPr>
        <w:t>jos</w:t>
      </w:r>
      <w:r w:rsidR="001F5F5A">
        <w:rPr>
          <w:rFonts w:ascii="Calibri" w:hAnsi="Calibri" w:cs="Calibri"/>
        </w:rPr>
        <w:t xml:space="preserve"> reikalavimas </w:t>
      </w:r>
      <w:r w:rsidR="00086884">
        <w:rPr>
          <w:rFonts w:ascii="Calibri" w:hAnsi="Calibri" w:cs="Calibri"/>
        </w:rPr>
        <w:t>dėl teisės vers</w:t>
      </w:r>
      <w:r w:rsidR="004D5E1A">
        <w:rPr>
          <w:rFonts w:ascii="Calibri" w:hAnsi="Calibri" w:cs="Calibri"/>
        </w:rPr>
        <w:t xml:space="preserve">tis veikla </w:t>
      </w:r>
      <w:r w:rsidR="004A4704">
        <w:rPr>
          <w:rFonts w:ascii="Calibri" w:hAnsi="Calibri" w:cs="Calibri"/>
        </w:rPr>
        <w:t>ne</w:t>
      </w:r>
      <w:r w:rsidR="001F5F5A">
        <w:rPr>
          <w:rFonts w:ascii="Calibri" w:hAnsi="Calibri" w:cs="Calibri"/>
        </w:rPr>
        <w:t xml:space="preserve">turėtų būti formuluojamas atsižvelgiant į </w:t>
      </w:r>
      <w:r w:rsidR="002F6850">
        <w:rPr>
          <w:rFonts w:ascii="Calibri" w:hAnsi="Calibri" w:cs="Calibri"/>
        </w:rPr>
        <w:t>šią aplinkybę</w:t>
      </w:r>
      <w:r w:rsidR="001F5F5A">
        <w:rPr>
          <w:rFonts w:ascii="Calibri" w:hAnsi="Calibri" w:cs="Calibri"/>
        </w:rPr>
        <w:t>.</w:t>
      </w:r>
    </w:p>
    <w:p w14:paraId="2006F016" w14:textId="77777777" w:rsidR="00866617" w:rsidRDefault="00866617" w:rsidP="00866617">
      <w:pPr>
        <w:pStyle w:val="ListParagraph"/>
        <w:numPr>
          <w:ilvl w:val="0"/>
          <w:numId w:val="10"/>
        </w:numPr>
        <w:rPr>
          <w:rFonts w:ascii="Calibri" w:hAnsi="Calibri" w:cs="Calibri"/>
          <w:b/>
          <w:bCs/>
        </w:rPr>
      </w:pPr>
      <w:r w:rsidRPr="00866617">
        <w:rPr>
          <w:rFonts w:ascii="Calibri" w:hAnsi="Calibri" w:cs="Calibri"/>
          <w:b/>
          <w:bCs/>
        </w:rPr>
        <w:t>Dėl Sutarties projekto sąlygų</w:t>
      </w:r>
    </w:p>
    <w:p w14:paraId="4705CAD9" w14:textId="6682D928" w:rsidR="00280568" w:rsidRPr="00F93223" w:rsidRDefault="004E55B1" w:rsidP="00280568">
      <w:pPr>
        <w:spacing w:after="0"/>
        <w:rPr>
          <w:rFonts w:ascii="Calibri" w:hAnsi="Calibri" w:cs="Calibri"/>
        </w:rPr>
      </w:pPr>
      <w:r>
        <w:rPr>
          <w:rFonts w:ascii="Calibri" w:hAnsi="Calibri" w:cs="Calibri"/>
        </w:rPr>
        <w:t xml:space="preserve">Pagrindinės sutarties </w:t>
      </w:r>
      <w:r w:rsidR="00E84F86">
        <w:rPr>
          <w:rFonts w:ascii="Calibri" w:hAnsi="Calibri" w:cs="Calibri"/>
        </w:rPr>
        <w:t>B</w:t>
      </w:r>
      <w:r w:rsidR="004615A9">
        <w:rPr>
          <w:rFonts w:ascii="Calibri" w:hAnsi="Calibri" w:cs="Calibri"/>
        </w:rPr>
        <w:t>endrųjų</w:t>
      </w:r>
      <w:r>
        <w:rPr>
          <w:rFonts w:ascii="Calibri" w:hAnsi="Calibri" w:cs="Calibri"/>
        </w:rPr>
        <w:t xml:space="preserve"> sąlygų </w:t>
      </w:r>
      <w:r w:rsidR="00025823">
        <w:rPr>
          <w:rFonts w:ascii="Calibri" w:hAnsi="Calibri" w:cs="Calibri"/>
        </w:rPr>
        <w:t>13.2.4 papunktyje</w:t>
      </w:r>
      <w:r>
        <w:rPr>
          <w:rFonts w:ascii="Calibri" w:hAnsi="Calibri" w:cs="Calibri"/>
        </w:rPr>
        <w:t xml:space="preserve"> nustatyta</w:t>
      </w:r>
      <w:r w:rsidR="00D7696D">
        <w:rPr>
          <w:rFonts w:ascii="Calibri" w:hAnsi="Calibri" w:cs="Calibri"/>
        </w:rPr>
        <w:t xml:space="preserve">, jog </w:t>
      </w:r>
      <w:r w:rsidR="00684939">
        <w:rPr>
          <w:rFonts w:ascii="Calibri" w:hAnsi="Calibri" w:cs="Calibri"/>
        </w:rPr>
        <w:t>„</w:t>
      </w:r>
      <w:r w:rsidR="00684939" w:rsidRPr="00684939">
        <w:rPr>
          <w:rFonts w:ascii="Calibri" w:hAnsi="Calibri" w:cs="Calibri"/>
        </w:rPr>
        <w:t xml:space="preserve">Sutarties įvykdymo užtikrinimo suma turi būti ne mažesnė, </w:t>
      </w:r>
      <w:r w:rsidR="00684939" w:rsidRPr="007630CE">
        <w:rPr>
          <w:rFonts w:ascii="Calibri" w:hAnsi="Calibri" w:cs="Calibri"/>
        </w:rPr>
        <w:t>negu</w:t>
      </w:r>
      <w:r w:rsidR="00684939" w:rsidRPr="00016FC5">
        <w:rPr>
          <w:rFonts w:ascii="Calibri" w:hAnsi="Calibri" w:cs="Calibri"/>
          <w:b/>
          <w:bCs/>
        </w:rPr>
        <w:t xml:space="preserve"> Specialiosiose sąlygose nurodytas procentinis dydis nuo Pradinės sutarties vertės be PVM</w:t>
      </w:r>
      <w:r w:rsidR="00684939">
        <w:rPr>
          <w:rFonts w:ascii="Calibri" w:hAnsi="Calibri" w:cs="Calibri"/>
        </w:rPr>
        <w:t xml:space="preserve">“. </w:t>
      </w:r>
      <w:r w:rsidR="00280568" w:rsidRPr="00F93223">
        <w:rPr>
          <w:rFonts w:ascii="Calibri" w:hAnsi="Calibri" w:cs="Calibri"/>
        </w:rPr>
        <w:t xml:space="preserve">Pažymėtina, jog </w:t>
      </w:r>
      <w:r w:rsidR="004A4704">
        <w:rPr>
          <w:rFonts w:ascii="Calibri" w:hAnsi="Calibri" w:cs="Calibri"/>
        </w:rPr>
        <w:t xml:space="preserve">šiuo atveju </w:t>
      </w:r>
      <w:r w:rsidR="00661E16">
        <w:rPr>
          <w:rFonts w:ascii="Calibri" w:hAnsi="Calibri" w:cs="Calibri"/>
        </w:rPr>
        <w:t xml:space="preserve">Pagrindinės sutarties </w:t>
      </w:r>
      <w:r w:rsidR="00E97E2A">
        <w:rPr>
          <w:rFonts w:ascii="Calibri" w:hAnsi="Calibri" w:cs="Calibri"/>
        </w:rPr>
        <w:t>S</w:t>
      </w:r>
      <w:r w:rsidR="00661E16">
        <w:rPr>
          <w:rFonts w:ascii="Calibri" w:hAnsi="Calibri" w:cs="Calibri"/>
        </w:rPr>
        <w:t>pecialiosiose sąlygose</w:t>
      </w:r>
      <w:r w:rsidR="00280568" w:rsidRPr="00F93223">
        <w:rPr>
          <w:rFonts w:ascii="Calibri" w:hAnsi="Calibri" w:cs="Calibri"/>
        </w:rPr>
        <w:t xml:space="preserve"> </w:t>
      </w:r>
      <w:r w:rsidR="004A4704">
        <w:rPr>
          <w:rFonts w:ascii="Calibri" w:hAnsi="Calibri" w:cs="Calibri"/>
        </w:rPr>
        <w:t>tokios informacijos nėra</w:t>
      </w:r>
      <w:r w:rsidR="007A206A">
        <w:rPr>
          <w:rFonts w:ascii="Calibri" w:hAnsi="Calibri" w:cs="Calibri"/>
        </w:rPr>
        <w:t xml:space="preserve">, todėl nėra aišku, </w:t>
      </w:r>
      <w:r w:rsidR="00F417D4">
        <w:rPr>
          <w:rFonts w:ascii="Calibri" w:hAnsi="Calibri" w:cs="Calibri"/>
        </w:rPr>
        <w:t>kokio dydžio</w:t>
      </w:r>
      <w:r w:rsidR="000C2645">
        <w:rPr>
          <w:rFonts w:ascii="Calibri" w:hAnsi="Calibri" w:cs="Calibri"/>
        </w:rPr>
        <w:t xml:space="preserve"> </w:t>
      </w:r>
      <w:r w:rsidR="001A4740">
        <w:rPr>
          <w:rFonts w:ascii="Calibri" w:hAnsi="Calibri" w:cs="Calibri"/>
        </w:rPr>
        <w:t>Sutarties įvykdymo užtikrinimą</w:t>
      </w:r>
      <w:r w:rsidR="000C2645">
        <w:rPr>
          <w:rFonts w:ascii="Calibri" w:hAnsi="Calibri" w:cs="Calibri"/>
        </w:rPr>
        <w:t xml:space="preserve"> Tiekėjas turės pateikti</w:t>
      </w:r>
      <w:r w:rsidR="005E7869">
        <w:rPr>
          <w:rFonts w:ascii="Calibri" w:hAnsi="Calibri" w:cs="Calibri"/>
        </w:rPr>
        <w:t>.</w:t>
      </w:r>
    </w:p>
    <w:p w14:paraId="498D3C96" w14:textId="29361875" w:rsidR="00866617" w:rsidRPr="009919D3" w:rsidRDefault="00C13AF5" w:rsidP="00866617">
      <w:pPr>
        <w:rPr>
          <w:rFonts w:ascii="Calibri" w:hAnsi="Calibri" w:cs="Calibri"/>
          <w:lang w:val="lt"/>
        </w:rPr>
      </w:pPr>
      <w:r w:rsidRPr="00C13AF5">
        <w:rPr>
          <w:rFonts w:ascii="Calibri" w:hAnsi="Calibri" w:cs="Calibri"/>
          <w:lang w:val="lt"/>
        </w:rPr>
        <w:t xml:space="preserve">Siekiant užtikrinti Įstatymo 35 straipsnio 4 dalies nuostatos „&lt;...&gt; Pirkimo dokumentai turi būti tikslūs, aiškūs“ laikymąsi, Tarnyba rekomenduoja </w:t>
      </w:r>
      <w:r w:rsidR="00891F57">
        <w:rPr>
          <w:rFonts w:ascii="Calibri" w:hAnsi="Calibri" w:cs="Calibri"/>
          <w:lang w:val="lt"/>
        </w:rPr>
        <w:t xml:space="preserve">papildyti Pagrindinės sutarties </w:t>
      </w:r>
      <w:r w:rsidR="00E84F86">
        <w:rPr>
          <w:rFonts w:ascii="Calibri" w:hAnsi="Calibri" w:cs="Calibri"/>
          <w:lang w:val="lt"/>
        </w:rPr>
        <w:t>S</w:t>
      </w:r>
      <w:r w:rsidR="00891F57">
        <w:rPr>
          <w:rFonts w:ascii="Calibri" w:hAnsi="Calibri" w:cs="Calibri"/>
          <w:lang w:val="lt"/>
        </w:rPr>
        <w:t>peciali</w:t>
      </w:r>
      <w:r w:rsidR="0060115D">
        <w:rPr>
          <w:rFonts w:ascii="Calibri" w:hAnsi="Calibri" w:cs="Calibri"/>
          <w:lang w:val="lt"/>
        </w:rPr>
        <w:t xml:space="preserve">ąsias </w:t>
      </w:r>
      <w:r w:rsidR="00891F57">
        <w:rPr>
          <w:rFonts w:ascii="Calibri" w:hAnsi="Calibri" w:cs="Calibri"/>
          <w:lang w:val="lt"/>
        </w:rPr>
        <w:t xml:space="preserve"> </w:t>
      </w:r>
      <w:r w:rsidR="0060115D">
        <w:rPr>
          <w:rFonts w:ascii="Calibri" w:hAnsi="Calibri" w:cs="Calibri"/>
          <w:lang w:val="lt"/>
        </w:rPr>
        <w:t xml:space="preserve"> sąlygas </w:t>
      </w:r>
      <w:r w:rsidR="008945DE">
        <w:rPr>
          <w:rFonts w:ascii="Calibri" w:hAnsi="Calibri" w:cs="Calibri"/>
          <w:lang w:val="lt"/>
        </w:rPr>
        <w:t xml:space="preserve">nurodant Sutarties įvykdymo </w:t>
      </w:r>
      <w:r w:rsidR="009919D3">
        <w:rPr>
          <w:rFonts w:ascii="Calibri" w:hAnsi="Calibri" w:cs="Calibri"/>
          <w:lang w:val="lt"/>
        </w:rPr>
        <w:t>užtikrinimo dydį</w:t>
      </w:r>
      <w:r w:rsidRPr="00C13AF5">
        <w:rPr>
          <w:rFonts w:ascii="Calibri" w:hAnsi="Calibri" w:cs="Calibri"/>
          <w:lang w:val="lt"/>
        </w:rPr>
        <w:t>.</w:t>
      </w:r>
    </w:p>
    <w:p w14:paraId="356169FC" w14:textId="18FAADE1" w:rsidR="00866617" w:rsidRPr="00866617" w:rsidRDefault="00866617" w:rsidP="00866617">
      <w:pPr>
        <w:pStyle w:val="ListParagraph"/>
        <w:rPr>
          <w:rFonts w:ascii="Calibri" w:hAnsi="Calibri" w:cs="Calibri"/>
          <w:lang w:val="en-US"/>
        </w:rPr>
      </w:pPr>
    </w:p>
    <w:p w14:paraId="510601E5" w14:textId="0C003367" w:rsidR="00132086" w:rsidRPr="000B7A2A" w:rsidRDefault="00A05FAB" w:rsidP="00132086">
      <w:pPr>
        <w:pStyle w:val="ListParagraph"/>
        <w:numPr>
          <w:ilvl w:val="0"/>
          <w:numId w:val="10"/>
        </w:numPr>
        <w:rPr>
          <w:rFonts w:ascii="Calibri" w:hAnsi="Calibri" w:cs="Calibri"/>
          <w:b/>
          <w:bCs/>
        </w:rPr>
      </w:pPr>
      <w:r w:rsidRPr="00A05FAB">
        <w:rPr>
          <w:rFonts w:ascii="Calibri" w:hAnsi="Calibri" w:cs="Calibri"/>
          <w:b/>
          <w:bCs/>
        </w:rPr>
        <w:t>Dėl kitų Pirkimo sąlygų</w:t>
      </w:r>
    </w:p>
    <w:p w14:paraId="07CD4F43" w14:textId="50F806FF" w:rsidR="00BE4931" w:rsidRPr="00BE4931" w:rsidRDefault="00DA7CDC" w:rsidP="00BE4931">
      <w:pPr>
        <w:spacing w:after="0"/>
        <w:rPr>
          <w:rFonts w:ascii="Calibri" w:hAnsi="Calibri" w:cs="Calibri"/>
        </w:rPr>
      </w:pPr>
      <w:r>
        <w:rPr>
          <w:rFonts w:ascii="Calibri" w:hAnsi="Calibri" w:cs="Calibri"/>
        </w:rPr>
        <w:t xml:space="preserve">Atkreiptinas dėmesys, jog Pirkimo sąlygų 6.2 punkte </w:t>
      </w:r>
      <w:r w:rsidR="009F09E4">
        <w:rPr>
          <w:rFonts w:ascii="Calibri" w:hAnsi="Calibri" w:cs="Calibri"/>
        </w:rPr>
        <w:t>nustatyta, jog „</w:t>
      </w:r>
      <w:r w:rsidR="00BE4931" w:rsidRPr="00BE4931">
        <w:rPr>
          <w:rFonts w:ascii="Calibri" w:hAnsi="Calibri" w:cs="Calibri"/>
        </w:rPr>
        <w:t xml:space="preserve">Pasiūlymas </w:t>
      </w:r>
      <w:r w:rsidR="00BE4931" w:rsidRPr="00945E42">
        <w:rPr>
          <w:rFonts w:ascii="Calibri" w:hAnsi="Calibri" w:cs="Calibri"/>
          <w:b/>
          <w:bCs/>
        </w:rPr>
        <w:t>neturi būti pasirašytas</w:t>
      </w:r>
      <w:r w:rsidR="00BE4931" w:rsidRPr="00BE4931">
        <w:rPr>
          <w:rFonts w:ascii="Calibri" w:hAnsi="Calibri" w:cs="Calibri"/>
        </w:rPr>
        <w:t xml:space="preserve"> fiziniu parašu arba kvalifikuotu elektroniniu parašu</w:t>
      </w:r>
      <w:r w:rsidR="00BE4931">
        <w:rPr>
          <w:rFonts w:ascii="Calibri" w:hAnsi="Calibri" w:cs="Calibri"/>
        </w:rPr>
        <w:t>“</w:t>
      </w:r>
      <w:r w:rsidR="00BE4931" w:rsidRPr="00BE4931">
        <w:rPr>
          <w:rFonts w:ascii="Calibri" w:hAnsi="Calibri" w:cs="Calibri"/>
        </w:rPr>
        <w:t>.</w:t>
      </w:r>
      <w:r w:rsidR="00945E42">
        <w:rPr>
          <w:rFonts w:ascii="Calibri" w:hAnsi="Calibri" w:cs="Calibri"/>
        </w:rPr>
        <w:t xml:space="preserve"> </w:t>
      </w:r>
    </w:p>
    <w:p w14:paraId="5047EE10" w14:textId="26128DBA" w:rsidR="00E2376D" w:rsidRDefault="00CA151D" w:rsidP="00D546E8">
      <w:pPr>
        <w:spacing w:after="0"/>
        <w:rPr>
          <w:rFonts w:ascii="Calibri" w:hAnsi="Calibri" w:cs="Calibri"/>
        </w:rPr>
      </w:pPr>
      <w:r w:rsidRPr="00CA151D">
        <w:rPr>
          <w:rFonts w:ascii="Calibri" w:hAnsi="Calibri" w:cs="Calibri"/>
        </w:rPr>
        <w:lastRenderedPageBreak/>
        <w:t>Pažymėtina, kad pirkimo dokumentai turi būti tikslūs, aiškūs, be dviprasmybių</w:t>
      </w:r>
      <w:r>
        <w:rPr>
          <w:rFonts w:ascii="Calibri" w:hAnsi="Calibri" w:cs="Calibri"/>
        </w:rPr>
        <w:t xml:space="preserve">, todėl rekomenduotina </w:t>
      </w:r>
      <w:r w:rsidRPr="00CA151D">
        <w:rPr>
          <w:rFonts w:ascii="Calibri" w:hAnsi="Calibri" w:cs="Calibri"/>
        </w:rPr>
        <w:t xml:space="preserve">patikslinti Pirkimo dokumentus, aiškiai nurodant </w:t>
      </w:r>
      <w:r w:rsidR="004D58D0">
        <w:rPr>
          <w:rFonts w:ascii="Calibri" w:hAnsi="Calibri" w:cs="Calibri"/>
        </w:rPr>
        <w:t>pasiūlymo pasirašymo galimybes</w:t>
      </w:r>
      <w:r w:rsidRPr="00CA151D">
        <w:rPr>
          <w:rFonts w:ascii="Calibri" w:hAnsi="Calibri" w:cs="Calibri"/>
        </w:rPr>
        <w:t>.</w:t>
      </w:r>
    </w:p>
    <w:p w14:paraId="3FC04FF6" w14:textId="77777777" w:rsidR="007630CE" w:rsidRPr="000A500D" w:rsidRDefault="007630CE" w:rsidP="00D546E8">
      <w:pPr>
        <w:spacing w:after="0"/>
        <w:rPr>
          <w:rFonts w:ascii="Calibri" w:hAnsi="Calibri" w:cs="Calibri"/>
        </w:rPr>
      </w:pPr>
    </w:p>
    <w:p w14:paraId="06229EC3" w14:textId="77777777" w:rsidR="00074C91" w:rsidRDefault="0057785B" w:rsidP="0057785B">
      <w:pPr>
        <w:rPr>
          <w:rFonts w:ascii="Calibri" w:hAnsi="Calibri" w:cs="Calibri"/>
        </w:rPr>
      </w:pPr>
      <w:r w:rsidRPr="000A500D">
        <w:rPr>
          <w:rFonts w:ascii="Calibri" w:hAnsi="Calibri" w:cs="Calibri"/>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pasiūlymų pateikimo termino pratęsimo protingam laikotarpiui, per kurį potencialūs tiekėjai galėtų susipažinti su patikslintais Pirkimo dokumentais.</w:t>
      </w:r>
    </w:p>
    <w:p w14:paraId="18F6ED9A" w14:textId="6DFC6103" w:rsidR="0057785B" w:rsidRPr="000A500D" w:rsidRDefault="0057785B" w:rsidP="0057785B">
      <w:pPr>
        <w:rPr>
          <w:rFonts w:ascii="Calibri" w:hAnsi="Calibri" w:cs="Calibri"/>
        </w:rPr>
      </w:pPr>
      <w:r w:rsidRPr="000A500D">
        <w:rPr>
          <w:rFonts w:ascii="Calibri" w:hAnsi="Calibri" w:cs="Calibri"/>
        </w:rPr>
        <w:t>Pažymėtina, kad visais atvejais sprendimą dėl tolimesnio Pirkimo procedūrų vykdymo ar nutraukimo priima pati Perkančioji organizacija, vadovaudamasi Įstatymo 29 straipsnio 3</w:t>
      </w:r>
      <w:r w:rsidRPr="000A500D">
        <w:rPr>
          <w:rFonts w:ascii="Calibri" w:hAnsi="Calibri" w:cs="Calibri"/>
          <w:vertAlign w:val="superscript"/>
        </w:rPr>
        <w:footnoteReference w:id="2"/>
      </w:r>
      <w:r w:rsidRPr="000A500D">
        <w:rPr>
          <w:rFonts w:ascii="Calibri" w:hAnsi="Calibri" w:cs="Calibri"/>
        </w:rPr>
        <w:t xml:space="preserve"> ir 4</w:t>
      </w:r>
      <w:r w:rsidRPr="000A500D">
        <w:rPr>
          <w:rFonts w:ascii="Calibri" w:hAnsi="Calibri" w:cs="Calibri"/>
          <w:vertAlign w:val="superscript"/>
        </w:rPr>
        <w:footnoteReference w:id="3"/>
      </w:r>
      <w:r w:rsidRPr="000A500D">
        <w:rPr>
          <w:rFonts w:ascii="Calibri" w:hAnsi="Calibri" w:cs="Calibri"/>
          <w:vertAlign w:val="superscript"/>
        </w:rPr>
        <w:t xml:space="preserve"> </w:t>
      </w:r>
      <w:r w:rsidRPr="000A500D">
        <w:rPr>
          <w:rFonts w:ascii="Calibri" w:hAnsi="Calibri" w:cs="Calibri"/>
        </w:rPr>
        <w:t>dalių nuostatomis.</w:t>
      </w:r>
    </w:p>
    <w:p w14:paraId="27F841E2" w14:textId="77777777" w:rsidR="00095C59" w:rsidRPr="000A500D" w:rsidRDefault="00095C59" w:rsidP="0000092A">
      <w:pPr>
        <w:rPr>
          <w:rFonts w:ascii="Calibri" w:hAnsi="Calibri" w:cs="Calibri"/>
          <w:b/>
          <w:bCs/>
        </w:rPr>
      </w:pPr>
    </w:p>
    <w:p w14:paraId="766D5C5A" w14:textId="77777777" w:rsidR="000E4878" w:rsidRPr="000A500D" w:rsidRDefault="000E4878">
      <w:pPr>
        <w:rPr>
          <w:rFonts w:ascii="Calibri" w:hAnsi="Calibri" w:cs="Calibri"/>
        </w:rPr>
      </w:pPr>
    </w:p>
    <w:sectPr w:rsidR="000E4878" w:rsidRPr="000A50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9A76" w14:textId="77777777" w:rsidR="00C62DDF" w:rsidRPr="007252FD" w:rsidRDefault="00C62DDF" w:rsidP="000815D9">
      <w:pPr>
        <w:spacing w:after="0" w:line="240" w:lineRule="auto"/>
      </w:pPr>
      <w:r w:rsidRPr="007252FD">
        <w:separator/>
      </w:r>
    </w:p>
  </w:endnote>
  <w:endnote w:type="continuationSeparator" w:id="0">
    <w:p w14:paraId="7B086BC6" w14:textId="77777777" w:rsidR="00C62DDF" w:rsidRPr="007252FD" w:rsidRDefault="00C62DDF" w:rsidP="000815D9">
      <w:pPr>
        <w:spacing w:after="0" w:line="240" w:lineRule="auto"/>
      </w:pPr>
      <w:r w:rsidRPr="007252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DD5F" w14:textId="77777777" w:rsidR="00C62DDF" w:rsidRPr="007252FD" w:rsidRDefault="00C62DDF" w:rsidP="000815D9">
      <w:pPr>
        <w:spacing w:after="0" w:line="240" w:lineRule="auto"/>
      </w:pPr>
      <w:r w:rsidRPr="007252FD">
        <w:separator/>
      </w:r>
    </w:p>
  </w:footnote>
  <w:footnote w:type="continuationSeparator" w:id="0">
    <w:p w14:paraId="557ED776" w14:textId="77777777" w:rsidR="00C62DDF" w:rsidRPr="007252FD" w:rsidRDefault="00C62DDF" w:rsidP="000815D9">
      <w:pPr>
        <w:spacing w:after="0" w:line="240" w:lineRule="auto"/>
      </w:pPr>
      <w:r w:rsidRPr="007252FD">
        <w:continuationSeparator/>
      </w:r>
    </w:p>
  </w:footnote>
  <w:footnote w:id="1">
    <w:p w14:paraId="76BB2C0F" w14:textId="77777777" w:rsidR="0003224D" w:rsidRPr="008518AD" w:rsidRDefault="0003224D" w:rsidP="0003224D">
      <w:pPr>
        <w:spacing w:after="0" w:line="240" w:lineRule="auto"/>
        <w:rPr>
          <w:rFonts w:ascii="Calibri" w:hAnsi="Calibri" w:cs="Calibri"/>
          <w:sz w:val="20"/>
          <w:szCs w:val="20"/>
        </w:rPr>
      </w:pPr>
      <w:r w:rsidRPr="006A501C">
        <w:rPr>
          <w:rStyle w:val="FootnoteReference"/>
          <w:rFonts w:ascii="Calibri" w:hAnsi="Calibri" w:cs="Calibri"/>
          <w:sz w:val="20"/>
          <w:szCs w:val="20"/>
        </w:rPr>
        <w:footnoteRef/>
      </w:r>
      <w:r w:rsidRPr="008518AD">
        <w:rPr>
          <w:rFonts w:ascii="Calibri" w:hAnsi="Calibri" w:cs="Calibri"/>
          <w:sz w:val="20"/>
          <w:szCs w:val="20"/>
        </w:rPr>
        <w:t xml:space="preserve"> </w:t>
      </w:r>
      <w:r w:rsidRPr="00383B97">
        <w:rPr>
          <w:rFonts w:ascii="Calibri" w:eastAsia="Aptos" w:hAnsi="Calibri" w:cs="Calibri"/>
          <w:sz w:val="20"/>
          <w:szCs w:val="20"/>
          <w:lang w:val="lt"/>
        </w:rPr>
        <w:t>Tiekėjo kvalifikacijos reikalavimų nustatymo metodika, patvirtinta Viešųjų pirkimų tarnybos direktoriaus 2017 m. birželio 29 d. įsakymu Nr. 1S-105 „Dėl Tiekėjo kvalifikacijos reikalavimų nustatymo metodikos patvirtinimo“ (aktuali redakcija).</w:t>
      </w:r>
    </w:p>
  </w:footnote>
  <w:footnote w:id="2">
    <w:p w14:paraId="6627C10B" w14:textId="77777777" w:rsidR="0057785B" w:rsidRPr="007252FD" w:rsidRDefault="0057785B" w:rsidP="0057785B">
      <w:pPr>
        <w:pStyle w:val="FootnoteText"/>
        <w:rPr>
          <w:rFonts w:ascii="Calibri" w:hAnsi="Calibri" w:cs="Calibri"/>
          <w:sz w:val="16"/>
          <w:szCs w:val="16"/>
        </w:rPr>
      </w:pPr>
      <w:r w:rsidRPr="007252FD">
        <w:rPr>
          <w:rStyle w:val="FootnoteReference"/>
          <w:rFonts w:cstheme="minorHAnsi"/>
        </w:rPr>
        <w:footnoteRef/>
      </w:r>
      <w:r w:rsidRPr="007252FD">
        <w:rPr>
          <w:rFonts w:cstheme="minorHAnsi"/>
        </w:rPr>
        <w:t xml:space="preserve"> </w:t>
      </w:r>
      <w:r w:rsidRPr="007252FD">
        <w:rPr>
          <w:rFonts w:ascii="Calibri" w:hAnsi="Calibri" w:cs="Calibri"/>
          <w:sz w:val="16"/>
          <w:szCs w:val="16"/>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1E25BF88" w14:textId="77777777" w:rsidR="0057785B" w:rsidRPr="002E4662" w:rsidRDefault="0057785B" w:rsidP="0057785B">
      <w:pPr>
        <w:pStyle w:val="FootnoteText"/>
        <w:rPr>
          <w:rFonts w:ascii="Calibri" w:hAnsi="Calibri" w:cs="Calibri"/>
          <w:sz w:val="16"/>
          <w:szCs w:val="16"/>
        </w:rPr>
      </w:pPr>
      <w:r w:rsidRPr="007252FD">
        <w:rPr>
          <w:rStyle w:val="FootnoteReference"/>
          <w:rFonts w:ascii="Calibri" w:hAnsi="Calibri" w:cs="Calibri"/>
          <w:sz w:val="16"/>
          <w:szCs w:val="16"/>
        </w:rPr>
        <w:footnoteRef/>
      </w:r>
      <w:r w:rsidRPr="007252FD">
        <w:rPr>
          <w:rFonts w:ascii="Calibri" w:hAnsi="Calibri" w:cs="Calibri"/>
          <w:sz w:val="16"/>
          <w:szCs w:val="16"/>
        </w:rPr>
        <w:t xml:space="preserve"> Įstatymo 29 straipsnio 4 dalis „Perkančioji organizacija turi teisę savo iniciatyva </w:t>
      </w:r>
      <w:r w:rsidRPr="007252FD">
        <w:rPr>
          <w:rFonts w:ascii="Calibri" w:hAnsi="Calibri" w:cs="Calibri"/>
          <w:b/>
          <w:bCs/>
          <w:sz w:val="16"/>
          <w:szCs w:val="16"/>
        </w:rPr>
        <w:t>nutraukti pradėtas pirkimo</w:t>
      </w:r>
      <w:r w:rsidRPr="007252FD">
        <w:rPr>
          <w:rFonts w:ascii="Calibri" w:hAnsi="Calibri" w:cs="Calibri"/>
          <w:sz w:val="16"/>
          <w:szCs w:val="16"/>
        </w:rPr>
        <w:t xml:space="preserve"> ar projekto konkurso </w:t>
      </w:r>
      <w:r w:rsidRPr="007252FD">
        <w:rPr>
          <w:rFonts w:ascii="Calibri" w:hAnsi="Calibri" w:cs="Calibri"/>
          <w:b/>
          <w:bCs/>
          <w:sz w:val="16"/>
          <w:szCs w:val="16"/>
        </w:rPr>
        <w:t>procedūras</w:t>
      </w:r>
      <w:r w:rsidRPr="007252FD">
        <w:rPr>
          <w:rFonts w:ascii="Calibri" w:hAnsi="Calibri" w:cs="Calibri"/>
          <w:sz w:val="16"/>
          <w:szCs w:val="16"/>
        </w:rPr>
        <w:t xml:space="preserve">, jeigu atsirado aplinkybių, kurių nebuvo galima numatyti, arba pirkimo dokumentuose </w:t>
      </w:r>
      <w:r w:rsidRPr="007252FD">
        <w:rPr>
          <w:rFonts w:ascii="Calibri" w:hAnsi="Calibri" w:cs="Calibri"/>
          <w:b/>
          <w:bCs/>
          <w:sz w:val="16"/>
          <w:szCs w:val="16"/>
        </w:rPr>
        <w:t>padaryta esminių klaidų</w:t>
      </w:r>
      <w:r w:rsidRPr="007252FD">
        <w:rPr>
          <w:rFonts w:ascii="Calibri" w:hAnsi="Calibri" w:cs="Calibri"/>
          <w:sz w:val="16"/>
          <w:szCs w:val="16"/>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0" w:hanging="360"/>
      </w:pPr>
      <w:rPr>
        <w:rFonts w:hint="default"/>
        <w:b w:val="0"/>
        <w:bCs w:val="0"/>
      </w:rPr>
    </w:lvl>
    <w:lvl w:ilvl="1">
      <w:start w:val="1"/>
      <w:numFmt w:val="decimal"/>
      <w:lvlText w:val="%1.%2."/>
      <w:lvlJc w:val="left"/>
      <w:pPr>
        <w:ind w:left="710" w:hanging="360"/>
      </w:pPr>
      <w:rPr>
        <w:rFonts w:hint="default"/>
        <w:b w:val="0"/>
        <w:bCs w:val="0"/>
        <w:i w:val="0"/>
        <w:iCs w:val="0"/>
        <w:color w:val="auto"/>
      </w:rPr>
    </w:lvl>
    <w:lvl w:ilvl="2">
      <w:start w:val="1"/>
      <w:numFmt w:val="decimal"/>
      <w:lvlText w:val="%1.%2.%3."/>
      <w:lvlJc w:val="left"/>
      <w:pPr>
        <w:ind w:left="1780" w:hanging="720"/>
      </w:pPr>
      <w:rPr>
        <w:rFonts w:hint="default"/>
        <w:i w:val="0"/>
        <w:iCs/>
        <w:color w:val="auto"/>
      </w:rPr>
    </w:lvl>
    <w:lvl w:ilvl="3">
      <w:start w:val="1"/>
      <w:numFmt w:val="decimal"/>
      <w:lvlText w:val="%1.%2.%3.%4."/>
      <w:lvlJc w:val="left"/>
      <w:pPr>
        <w:ind w:left="249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340" w:hanging="1440"/>
      </w:pPr>
      <w:rPr>
        <w:rFonts w:hint="default"/>
      </w:rPr>
    </w:lvl>
    <w:lvl w:ilvl="7">
      <w:start w:val="1"/>
      <w:numFmt w:val="decimal"/>
      <w:lvlText w:val="%1.%2.%3.%4.%5.%6.%7.%8."/>
      <w:lvlJc w:val="left"/>
      <w:pPr>
        <w:ind w:left="6050" w:hanging="1440"/>
      </w:pPr>
      <w:rPr>
        <w:rFonts w:hint="default"/>
      </w:rPr>
    </w:lvl>
    <w:lvl w:ilvl="8">
      <w:start w:val="1"/>
      <w:numFmt w:val="decimal"/>
      <w:lvlText w:val="%1.%2.%3.%4.%5.%6.%7.%8.%9."/>
      <w:lvlJc w:val="left"/>
      <w:pPr>
        <w:ind w:left="7120" w:hanging="1800"/>
      </w:pPr>
      <w:rPr>
        <w:rFonts w:hint="default"/>
      </w:rPr>
    </w:lvl>
  </w:abstractNum>
  <w:abstractNum w:abstractNumId="1" w15:restartNumberingAfterBreak="0">
    <w:nsid w:val="0EDF37E2"/>
    <w:multiLevelType w:val="hybridMultilevel"/>
    <w:tmpl w:val="4F1C72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26D87"/>
    <w:multiLevelType w:val="hybridMultilevel"/>
    <w:tmpl w:val="3A20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A15A4"/>
    <w:multiLevelType w:val="multilevel"/>
    <w:tmpl w:val="F7E247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1B0DA9"/>
    <w:multiLevelType w:val="hybridMultilevel"/>
    <w:tmpl w:val="EF202714"/>
    <w:lvl w:ilvl="0" w:tplc="31700E3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63C3031D"/>
    <w:multiLevelType w:val="multilevel"/>
    <w:tmpl w:val="C16E234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68DB582E"/>
    <w:multiLevelType w:val="hybridMultilevel"/>
    <w:tmpl w:val="411C455A"/>
    <w:lvl w:ilvl="0" w:tplc="1CF679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886D42"/>
    <w:multiLevelType w:val="multilevel"/>
    <w:tmpl w:val="7F3C8C7A"/>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5525F"/>
    <w:multiLevelType w:val="multilevel"/>
    <w:tmpl w:val="FCFAD16C"/>
    <w:lvl w:ilvl="0">
      <w:start w:val="1"/>
      <w:numFmt w:val="decimal"/>
      <w:lvlText w:val="%1."/>
      <w:lvlJc w:val="left"/>
      <w:pPr>
        <w:tabs>
          <w:tab w:val="num" w:pos="2203"/>
        </w:tabs>
        <w:ind w:left="2203" w:hanging="360"/>
      </w:pPr>
      <w:rPr>
        <w:rFonts w:ascii="Calibri" w:hAnsi="Calibri" w:cs="Calibri" w:hint="default"/>
        <w:b/>
        <w:bCs/>
        <w:sz w:val="24"/>
        <w:szCs w:val="24"/>
      </w:rPr>
    </w:lvl>
    <w:lvl w:ilvl="1">
      <w:start w:val="1"/>
      <w:numFmt w:val="decimal"/>
      <w:lvlText w:val="%2."/>
      <w:lvlJc w:val="left"/>
      <w:pPr>
        <w:tabs>
          <w:tab w:val="num" w:pos="1646"/>
        </w:tabs>
        <w:ind w:left="1646" w:hanging="360"/>
      </w:pPr>
      <w:rPr>
        <w:b/>
        <w:bCs/>
      </w:rPr>
    </w:lvl>
    <w:lvl w:ilvl="2">
      <w:start w:val="1"/>
      <w:numFmt w:val="decimal"/>
      <w:lvlText w:val="%3."/>
      <w:lvlJc w:val="left"/>
      <w:pPr>
        <w:tabs>
          <w:tab w:val="num" w:pos="2203"/>
        </w:tabs>
        <w:ind w:left="2203" w:hanging="360"/>
      </w:pPr>
      <w:rPr>
        <w:b/>
        <w:bCs/>
      </w:rPr>
    </w:lvl>
    <w:lvl w:ilvl="3">
      <w:start w:val="1"/>
      <w:numFmt w:val="decimal"/>
      <w:lvlText w:val="%4."/>
      <w:lvlJc w:val="left"/>
      <w:pPr>
        <w:tabs>
          <w:tab w:val="num" w:pos="3620"/>
        </w:tabs>
        <w:ind w:left="3620" w:hanging="360"/>
      </w:pPr>
    </w:lvl>
    <w:lvl w:ilvl="4">
      <w:start w:val="1"/>
      <w:numFmt w:val="decimal"/>
      <w:lvlText w:val="%5."/>
      <w:lvlJc w:val="left"/>
      <w:pPr>
        <w:tabs>
          <w:tab w:val="num" w:pos="3806"/>
        </w:tabs>
        <w:ind w:left="3806" w:hanging="360"/>
      </w:pPr>
    </w:lvl>
    <w:lvl w:ilvl="5">
      <w:start w:val="1"/>
      <w:numFmt w:val="decimal"/>
      <w:lvlText w:val="%6."/>
      <w:lvlJc w:val="left"/>
      <w:pPr>
        <w:tabs>
          <w:tab w:val="num" w:pos="4526"/>
        </w:tabs>
        <w:ind w:left="4526" w:hanging="360"/>
      </w:pPr>
    </w:lvl>
    <w:lvl w:ilvl="6">
      <w:start w:val="1"/>
      <w:numFmt w:val="decimal"/>
      <w:lvlText w:val="%7."/>
      <w:lvlJc w:val="left"/>
      <w:pPr>
        <w:tabs>
          <w:tab w:val="num" w:pos="5246"/>
        </w:tabs>
        <w:ind w:left="5246" w:hanging="360"/>
      </w:pPr>
    </w:lvl>
    <w:lvl w:ilvl="7">
      <w:start w:val="1"/>
      <w:numFmt w:val="decimal"/>
      <w:lvlText w:val="%8."/>
      <w:lvlJc w:val="left"/>
      <w:pPr>
        <w:tabs>
          <w:tab w:val="num" w:pos="5966"/>
        </w:tabs>
        <w:ind w:left="5966" w:hanging="360"/>
      </w:pPr>
    </w:lvl>
    <w:lvl w:ilvl="8">
      <w:start w:val="1"/>
      <w:numFmt w:val="decimal"/>
      <w:lvlText w:val="%9."/>
      <w:lvlJc w:val="left"/>
      <w:pPr>
        <w:tabs>
          <w:tab w:val="num" w:pos="6686"/>
        </w:tabs>
        <w:ind w:left="6686" w:hanging="360"/>
      </w:pPr>
    </w:lvl>
  </w:abstractNum>
  <w:abstractNum w:abstractNumId="12" w15:restartNumberingAfterBreak="0">
    <w:nsid w:val="7B566349"/>
    <w:multiLevelType w:val="multilevel"/>
    <w:tmpl w:val="3D1E03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3259554">
    <w:abstractNumId w:val="11"/>
  </w:num>
  <w:num w:numId="2" w16cid:durableId="964698674">
    <w:abstractNumId w:val="12"/>
  </w:num>
  <w:num w:numId="3" w16cid:durableId="46808148">
    <w:abstractNumId w:val="7"/>
  </w:num>
  <w:num w:numId="4" w16cid:durableId="2086756339">
    <w:abstractNumId w:val="0"/>
  </w:num>
  <w:num w:numId="5" w16cid:durableId="1962033026">
    <w:abstractNumId w:val="6"/>
  </w:num>
  <w:num w:numId="6" w16cid:durableId="571888663">
    <w:abstractNumId w:val="5"/>
  </w:num>
  <w:num w:numId="7" w16cid:durableId="1157454198">
    <w:abstractNumId w:val="10"/>
  </w:num>
  <w:num w:numId="8" w16cid:durableId="185095117">
    <w:abstractNumId w:val="1"/>
  </w:num>
  <w:num w:numId="9" w16cid:durableId="1047683305">
    <w:abstractNumId w:val="2"/>
  </w:num>
  <w:num w:numId="10" w16cid:durableId="738021259">
    <w:abstractNumId w:val="3"/>
  </w:num>
  <w:num w:numId="11" w16cid:durableId="344406688">
    <w:abstractNumId w:val="8"/>
  </w:num>
  <w:num w:numId="12" w16cid:durableId="1727532172">
    <w:abstractNumId w:val="4"/>
  </w:num>
  <w:num w:numId="13" w16cid:durableId="2021618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0D"/>
    <w:rsid w:val="0000092A"/>
    <w:rsid w:val="00001307"/>
    <w:rsid w:val="000048F9"/>
    <w:rsid w:val="00004F61"/>
    <w:rsid w:val="000057A6"/>
    <w:rsid w:val="00010238"/>
    <w:rsid w:val="00010946"/>
    <w:rsid w:val="00011C2B"/>
    <w:rsid w:val="0001434F"/>
    <w:rsid w:val="00014720"/>
    <w:rsid w:val="00016FC5"/>
    <w:rsid w:val="000203D9"/>
    <w:rsid w:val="00025823"/>
    <w:rsid w:val="00026128"/>
    <w:rsid w:val="0002620C"/>
    <w:rsid w:val="00026FC1"/>
    <w:rsid w:val="0003224D"/>
    <w:rsid w:val="0003546C"/>
    <w:rsid w:val="00035DBE"/>
    <w:rsid w:val="00035FE6"/>
    <w:rsid w:val="00040754"/>
    <w:rsid w:val="00040D43"/>
    <w:rsid w:val="00045E07"/>
    <w:rsid w:val="0005381F"/>
    <w:rsid w:val="00062098"/>
    <w:rsid w:val="00064CDA"/>
    <w:rsid w:val="00065145"/>
    <w:rsid w:val="000652FD"/>
    <w:rsid w:val="00065DE9"/>
    <w:rsid w:val="000674D4"/>
    <w:rsid w:val="000703D7"/>
    <w:rsid w:val="00073B53"/>
    <w:rsid w:val="00074C91"/>
    <w:rsid w:val="0007574F"/>
    <w:rsid w:val="00077107"/>
    <w:rsid w:val="000815D9"/>
    <w:rsid w:val="00085D34"/>
    <w:rsid w:val="00086884"/>
    <w:rsid w:val="00086C7D"/>
    <w:rsid w:val="000873A7"/>
    <w:rsid w:val="00087BE6"/>
    <w:rsid w:val="00091B80"/>
    <w:rsid w:val="00095C59"/>
    <w:rsid w:val="00096957"/>
    <w:rsid w:val="000A0A56"/>
    <w:rsid w:val="000A2696"/>
    <w:rsid w:val="000A2B1A"/>
    <w:rsid w:val="000A500D"/>
    <w:rsid w:val="000A7E9C"/>
    <w:rsid w:val="000B0BC2"/>
    <w:rsid w:val="000B4F83"/>
    <w:rsid w:val="000B7A2A"/>
    <w:rsid w:val="000C1CB1"/>
    <w:rsid w:val="000C2645"/>
    <w:rsid w:val="000C5861"/>
    <w:rsid w:val="000D1B78"/>
    <w:rsid w:val="000D3749"/>
    <w:rsid w:val="000D4A7D"/>
    <w:rsid w:val="000E0F96"/>
    <w:rsid w:val="000E4878"/>
    <w:rsid w:val="000E5B7A"/>
    <w:rsid w:val="00102EDC"/>
    <w:rsid w:val="001119DD"/>
    <w:rsid w:val="00113D95"/>
    <w:rsid w:val="00114AE3"/>
    <w:rsid w:val="001152C7"/>
    <w:rsid w:val="001211C2"/>
    <w:rsid w:val="001241BD"/>
    <w:rsid w:val="00132086"/>
    <w:rsid w:val="00132DC8"/>
    <w:rsid w:val="00137381"/>
    <w:rsid w:val="00137D3F"/>
    <w:rsid w:val="00137E32"/>
    <w:rsid w:val="00141B3A"/>
    <w:rsid w:val="0014249A"/>
    <w:rsid w:val="001431F4"/>
    <w:rsid w:val="0014507A"/>
    <w:rsid w:val="00147178"/>
    <w:rsid w:val="00153872"/>
    <w:rsid w:val="00154669"/>
    <w:rsid w:val="00155080"/>
    <w:rsid w:val="00163AA8"/>
    <w:rsid w:val="00163F0D"/>
    <w:rsid w:val="0016415C"/>
    <w:rsid w:val="001655D7"/>
    <w:rsid w:val="00165769"/>
    <w:rsid w:val="001663A3"/>
    <w:rsid w:val="00167FB8"/>
    <w:rsid w:val="00170437"/>
    <w:rsid w:val="001728A8"/>
    <w:rsid w:val="00180A74"/>
    <w:rsid w:val="00187663"/>
    <w:rsid w:val="001A4740"/>
    <w:rsid w:val="001A5B41"/>
    <w:rsid w:val="001A5C2A"/>
    <w:rsid w:val="001B0398"/>
    <w:rsid w:val="001B26FA"/>
    <w:rsid w:val="001B4B2A"/>
    <w:rsid w:val="001C2E69"/>
    <w:rsid w:val="001D12FE"/>
    <w:rsid w:val="001D1977"/>
    <w:rsid w:val="001D2301"/>
    <w:rsid w:val="001D48D9"/>
    <w:rsid w:val="001D6393"/>
    <w:rsid w:val="001E02C5"/>
    <w:rsid w:val="001E22AB"/>
    <w:rsid w:val="001E3136"/>
    <w:rsid w:val="001E654D"/>
    <w:rsid w:val="001E70EC"/>
    <w:rsid w:val="001F012B"/>
    <w:rsid w:val="001F1C96"/>
    <w:rsid w:val="001F5F38"/>
    <w:rsid w:val="001F5F5A"/>
    <w:rsid w:val="001F63F0"/>
    <w:rsid w:val="00202D22"/>
    <w:rsid w:val="00205E3C"/>
    <w:rsid w:val="00210209"/>
    <w:rsid w:val="0021054D"/>
    <w:rsid w:val="00215494"/>
    <w:rsid w:val="00220397"/>
    <w:rsid w:val="00226D1B"/>
    <w:rsid w:val="00230E40"/>
    <w:rsid w:val="00231177"/>
    <w:rsid w:val="00236EDE"/>
    <w:rsid w:val="0024019C"/>
    <w:rsid w:val="00247867"/>
    <w:rsid w:val="0025201B"/>
    <w:rsid w:val="00253C56"/>
    <w:rsid w:val="00255F1D"/>
    <w:rsid w:val="00257CF9"/>
    <w:rsid w:val="0026002B"/>
    <w:rsid w:val="00265A2E"/>
    <w:rsid w:val="00272FC2"/>
    <w:rsid w:val="00280568"/>
    <w:rsid w:val="002819DD"/>
    <w:rsid w:val="0029190C"/>
    <w:rsid w:val="00291A38"/>
    <w:rsid w:val="00294529"/>
    <w:rsid w:val="00297BDC"/>
    <w:rsid w:val="002A790A"/>
    <w:rsid w:val="002B0A61"/>
    <w:rsid w:val="002C0B7D"/>
    <w:rsid w:val="002C1A05"/>
    <w:rsid w:val="002C4561"/>
    <w:rsid w:val="002C6673"/>
    <w:rsid w:val="002C7DBB"/>
    <w:rsid w:val="002D1807"/>
    <w:rsid w:val="002D3CB0"/>
    <w:rsid w:val="002D4996"/>
    <w:rsid w:val="002D7CDC"/>
    <w:rsid w:val="002D7DD0"/>
    <w:rsid w:val="002E2929"/>
    <w:rsid w:val="002E4662"/>
    <w:rsid w:val="002E6191"/>
    <w:rsid w:val="002F43DA"/>
    <w:rsid w:val="002F6850"/>
    <w:rsid w:val="002F7246"/>
    <w:rsid w:val="0030270D"/>
    <w:rsid w:val="00305FCA"/>
    <w:rsid w:val="003138F7"/>
    <w:rsid w:val="00314A4D"/>
    <w:rsid w:val="00315E1C"/>
    <w:rsid w:val="00320622"/>
    <w:rsid w:val="003206D2"/>
    <w:rsid w:val="00323B0B"/>
    <w:rsid w:val="00323C07"/>
    <w:rsid w:val="00330734"/>
    <w:rsid w:val="003337D0"/>
    <w:rsid w:val="00335645"/>
    <w:rsid w:val="003374A4"/>
    <w:rsid w:val="003402CE"/>
    <w:rsid w:val="00341DEC"/>
    <w:rsid w:val="003532D0"/>
    <w:rsid w:val="00353DDA"/>
    <w:rsid w:val="00356B4F"/>
    <w:rsid w:val="003646AC"/>
    <w:rsid w:val="00367432"/>
    <w:rsid w:val="00371772"/>
    <w:rsid w:val="00371F72"/>
    <w:rsid w:val="00381BB5"/>
    <w:rsid w:val="003828AF"/>
    <w:rsid w:val="003867CF"/>
    <w:rsid w:val="00386BF3"/>
    <w:rsid w:val="00391A38"/>
    <w:rsid w:val="00391AAE"/>
    <w:rsid w:val="00392A98"/>
    <w:rsid w:val="00392E0B"/>
    <w:rsid w:val="00394077"/>
    <w:rsid w:val="00396688"/>
    <w:rsid w:val="00397A95"/>
    <w:rsid w:val="003A52C7"/>
    <w:rsid w:val="003A6B50"/>
    <w:rsid w:val="003A7733"/>
    <w:rsid w:val="003B6C3E"/>
    <w:rsid w:val="003C6B0F"/>
    <w:rsid w:val="003D05DC"/>
    <w:rsid w:val="003D2255"/>
    <w:rsid w:val="003D7103"/>
    <w:rsid w:val="003D718D"/>
    <w:rsid w:val="003D7D0D"/>
    <w:rsid w:val="003E16EF"/>
    <w:rsid w:val="003E1AA7"/>
    <w:rsid w:val="003E480F"/>
    <w:rsid w:val="003E6163"/>
    <w:rsid w:val="003E701D"/>
    <w:rsid w:val="003E7D70"/>
    <w:rsid w:val="003F420D"/>
    <w:rsid w:val="00400668"/>
    <w:rsid w:val="004017B6"/>
    <w:rsid w:val="0040406D"/>
    <w:rsid w:val="00410B04"/>
    <w:rsid w:val="00410FA7"/>
    <w:rsid w:val="004112D0"/>
    <w:rsid w:val="00411404"/>
    <w:rsid w:val="00411D40"/>
    <w:rsid w:val="00413997"/>
    <w:rsid w:val="00414D83"/>
    <w:rsid w:val="00415451"/>
    <w:rsid w:val="00416F63"/>
    <w:rsid w:val="004217B3"/>
    <w:rsid w:val="00422571"/>
    <w:rsid w:val="0042454A"/>
    <w:rsid w:val="0042590F"/>
    <w:rsid w:val="004301F6"/>
    <w:rsid w:val="00435585"/>
    <w:rsid w:val="0044363C"/>
    <w:rsid w:val="00444B17"/>
    <w:rsid w:val="00445900"/>
    <w:rsid w:val="00451BCC"/>
    <w:rsid w:val="00453BE5"/>
    <w:rsid w:val="00455B1F"/>
    <w:rsid w:val="00456E7E"/>
    <w:rsid w:val="004615A9"/>
    <w:rsid w:val="004624D8"/>
    <w:rsid w:val="00464025"/>
    <w:rsid w:val="004676C1"/>
    <w:rsid w:val="0047033D"/>
    <w:rsid w:val="00472D0E"/>
    <w:rsid w:val="00474B88"/>
    <w:rsid w:val="00477A36"/>
    <w:rsid w:val="00485218"/>
    <w:rsid w:val="00490DA0"/>
    <w:rsid w:val="00495459"/>
    <w:rsid w:val="004A127D"/>
    <w:rsid w:val="004A13D5"/>
    <w:rsid w:val="004A302A"/>
    <w:rsid w:val="004A4704"/>
    <w:rsid w:val="004A6407"/>
    <w:rsid w:val="004A6A0F"/>
    <w:rsid w:val="004B0CBE"/>
    <w:rsid w:val="004B4A19"/>
    <w:rsid w:val="004B517A"/>
    <w:rsid w:val="004B7711"/>
    <w:rsid w:val="004C0027"/>
    <w:rsid w:val="004C120D"/>
    <w:rsid w:val="004C2542"/>
    <w:rsid w:val="004D52B8"/>
    <w:rsid w:val="004D58D0"/>
    <w:rsid w:val="004D5E1A"/>
    <w:rsid w:val="004D71E9"/>
    <w:rsid w:val="004E0A0B"/>
    <w:rsid w:val="004E2C9D"/>
    <w:rsid w:val="004E55B1"/>
    <w:rsid w:val="004E69E0"/>
    <w:rsid w:val="004E7254"/>
    <w:rsid w:val="004F1E9E"/>
    <w:rsid w:val="004F4A45"/>
    <w:rsid w:val="0050572C"/>
    <w:rsid w:val="005067DD"/>
    <w:rsid w:val="005069DE"/>
    <w:rsid w:val="00506D95"/>
    <w:rsid w:val="00510873"/>
    <w:rsid w:val="00513970"/>
    <w:rsid w:val="00517E28"/>
    <w:rsid w:val="00520D50"/>
    <w:rsid w:val="00522CDC"/>
    <w:rsid w:val="00524C3A"/>
    <w:rsid w:val="00526436"/>
    <w:rsid w:val="005303B8"/>
    <w:rsid w:val="00531762"/>
    <w:rsid w:val="0053423D"/>
    <w:rsid w:val="0053440D"/>
    <w:rsid w:val="00534A0D"/>
    <w:rsid w:val="00534EEB"/>
    <w:rsid w:val="005358E6"/>
    <w:rsid w:val="00536B9F"/>
    <w:rsid w:val="00537135"/>
    <w:rsid w:val="00537B47"/>
    <w:rsid w:val="005418D2"/>
    <w:rsid w:val="00544AE6"/>
    <w:rsid w:val="00545F48"/>
    <w:rsid w:val="00547342"/>
    <w:rsid w:val="0055074E"/>
    <w:rsid w:val="005517FF"/>
    <w:rsid w:val="0055660D"/>
    <w:rsid w:val="005566C4"/>
    <w:rsid w:val="00557D8B"/>
    <w:rsid w:val="00567607"/>
    <w:rsid w:val="00570D4B"/>
    <w:rsid w:val="00571CA5"/>
    <w:rsid w:val="005730D7"/>
    <w:rsid w:val="0057785B"/>
    <w:rsid w:val="005812F7"/>
    <w:rsid w:val="00581E84"/>
    <w:rsid w:val="00586893"/>
    <w:rsid w:val="005930B6"/>
    <w:rsid w:val="0059401C"/>
    <w:rsid w:val="005A0305"/>
    <w:rsid w:val="005A3509"/>
    <w:rsid w:val="005B118A"/>
    <w:rsid w:val="005B2162"/>
    <w:rsid w:val="005B25E1"/>
    <w:rsid w:val="005B2817"/>
    <w:rsid w:val="005B70A5"/>
    <w:rsid w:val="005B7E12"/>
    <w:rsid w:val="005C0387"/>
    <w:rsid w:val="005C08E7"/>
    <w:rsid w:val="005C339F"/>
    <w:rsid w:val="005C4CBC"/>
    <w:rsid w:val="005C70EE"/>
    <w:rsid w:val="005E3BD4"/>
    <w:rsid w:val="005E3EAB"/>
    <w:rsid w:val="005E7869"/>
    <w:rsid w:val="005F2B3F"/>
    <w:rsid w:val="005F6195"/>
    <w:rsid w:val="005F6A68"/>
    <w:rsid w:val="005F7021"/>
    <w:rsid w:val="005F7135"/>
    <w:rsid w:val="005F76EF"/>
    <w:rsid w:val="0060115D"/>
    <w:rsid w:val="00603179"/>
    <w:rsid w:val="00604B02"/>
    <w:rsid w:val="00605B76"/>
    <w:rsid w:val="006137A4"/>
    <w:rsid w:val="0061414A"/>
    <w:rsid w:val="00622576"/>
    <w:rsid w:val="00622F8C"/>
    <w:rsid w:val="006234B3"/>
    <w:rsid w:val="006234CF"/>
    <w:rsid w:val="00626427"/>
    <w:rsid w:val="00634FEB"/>
    <w:rsid w:val="00635C87"/>
    <w:rsid w:val="00636F9E"/>
    <w:rsid w:val="00641949"/>
    <w:rsid w:val="00645A85"/>
    <w:rsid w:val="00646925"/>
    <w:rsid w:val="0065064F"/>
    <w:rsid w:val="00651DEE"/>
    <w:rsid w:val="00652B22"/>
    <w:rsid w:val="006546B0"/>
    <w:rsid w:val="00656189"/>
    <w:rsid w:val="00661E16"/>
    <w:rsid w:val="00663129"/>
    <w:rsid w:val="00667D5D"/>
    <w:rsid w:val="00671143"/>
    <w:rsid w:val="00673C45"/>
    <w:rsid w:val="00674277"/>
    <w:rsid w:val="006743DD"/>
    <w:rsid w:val="00680E3C"/>
    <w:rsid w:val="00681068"/>
    <w:rsid w:val="0068154C"/>
    <w:rsid w:val="006839A1"/>
    <w:rsid w:val="00683BC1"/>
    <w:rsid w:val="00684939"/>
    <w:rsid w:val="00685232"/>
    <w:rsid w:val="0068570B"/>
    <w:rsid w:val="006857C5"/>
    <w:rsid w:val="00685A9C"/>
    <w:rsid w:val="00687C14"/>
    <w:rsid w:val="00691183"/>
    <w:rsid w:val="006913BD"/>
    <w:rsid w:val="00696EF6"/>
    <w:rsid w:val="00697210"/>
    <w:rsid w:val="006A14A7"/>
    <w:rsid w:val="006A52EB"/>
    <w:rsid w:val="006A5674"/>
    <w:rsid w:val="006B0B08"/>
    <w:rsid w:val="006B1642"/>
    <w:rsid w:val="006B2DBB"/>
    <w:rsid w:val="006C1BB9"/>
    <w:rsid w:val="006D329D"/>
    <w:rsid w:val="006D3EF8"/>
    <w:rsid w:val="006D421D"/>
    <w:rsid w:val="006E0183"/>
    <w:rsid w:val="006E0C9B"/>
    <w:rsid w:val="006E107A"/>
    <w:rsid w:val="006E210A"/>
    <w:rsid w:val="006E21C8"/>
    <w:rsid w:val="006E254A"/>
    <w:rsid w:val="006E487D"/>
    <w:rsid w:val="006E4EE6"/>
    <w:rsid w:val="006E5593"/>
    <w:rsid w:val="006E7C96"/>
    <w:rsid w:val="006F1C5E"/>
    <w:rsid w:val="006F1FBD"/>
    <w:rsid w:val="006F504A"/>
    <w:rsid w:val="006F665B"/>
    <w:rsid w:val="00700652"/>
    <w:rsid w:val="0070388F"/>
    <w:rsid w:val="007166A4"/>
    <w:rsid w:val="0072009B"/>
    <w:rsid w:val="00724A0A"/>
    <w:rsid w:val="007252FD"/>
    <w:rsid w:val="00727916"/>
    <w:rsid w:val="00731859"/>
    <w:rsid w:val="0073316E"/>
    <w:rsid w:val="00733FA4"/>
    <w:rsid w:val="00737469"/>
    <w:rsid w:val="00740134"/>
    <w:rsid w:val="007467B7"/>
    <w:rsid w:val="007506E1"/>
    <w:rsid w:val="007630CE"/>
    <w:rsid w:val="007644E1"/>
    <w:rsid w:val="00764A6A"/>
    <w:rsid w:val="00764EB7"/>
    <w:rsid w:val="007752E3"/>
    <w:rsid w:val="00783D22"/>
    <w:rsid w:val="00785CD9"/>
    <w:rsid w:val="00790BDE"/>
    <w:rsid w:val="00790F1B"/>
    <w:rsid w:val="00792183"/>
    <w:rsid w:val="007A206A"/>
    <w:rsid w:val="007A2821"/>
    <w:rsid w:val="007A489B"/>
    <w:rsid w:val="007B5DA2"/>
    <w:rsid w:val="007B6A51"/>
    <w:rsid w:val="007C0FF6"/>
    <w:rsid w:val="007C3019"/>
    <w:rsid w:val="007C3C0D"/>
    <w:rsid w:val="007D0127"/>
    <w:rsid w:val="007D3859"/>
    <w:rsid w:val="007D6C7C"/>
    <w:rsid w:val="007D7323"/>
    <w:rsid w:val="007D78C0"/>
    <w:rsid w:val="007E0FE5"/>
    <w:rsid w:val="007E1051"/>
    <w:rsid w:val="007E4D7B"/>
    <w:rsid w:val="007E59B5"/>
    <w:rsid w:val="007E7B89"/>
    <w:rsid w:val="007F596B"/>
    <w:rsid w:val="00800A0E"/>
    <w:rsid w:val="008012DB"/>
    <w:rsid w:val="00802993"/>
    <w:rsid w:val="00804190"/>
    <w:rsid w:val="008046B8"/>
    <w:rsid w:val="0080512D"/>
    <w:rsid w:val="008052EB"/>
    <w:rsid w:val="00806AC9"/>
    <w:rsid w:val="008141C2"/>
    <w:rsid w:val="00822FC6"/>
    <w:rsid w:val="00825937"/>
    <w:rsid w:val="0083019B"/>
    <w:rsid w:val="00830954"/>
    <w:rsid w:val="00831D0B"/>
    <w:rsid w:val="00832139"/>
    <w:rsid w:val="00832918"/>
    <w:rsid w:val="00833A18"/>
    <w:rsid w:val="00833EF6"/>
    <w:rsid w:val="0085029D"/>
    <w:rsid w:val="00850E9E"/>
    <w:rsid w:val="00854FC3"/>
    <w:rsid w:val="008606C5"/>
    <w:rsid w:val="008635BB"/>
    <w:rsid w:val="00866617"/>
    <w:rsid w:val="008713C2"/>
    <w:rsid w:val="00872A40"/>
    <w:rsid w:val="00872BDD"/>
    <w:rsid w:val="00873784"/>
    <w:rsid w:val="008738AD"/>
    <w:rsid w:val="00873CAE"/>
    <w:rsid w:val="008809BD"/>
    <w:rsid w:val="008810CF"/>
    <w:rsid w:val="00882E84"/>
    <w:rsid w:val="008877D9"/>
    <w:rsid w:val="00891F57"/>
    <w:rsid w:val="008945DE"/>
    <w:rsid w:val="00897769"/>
    <w:rsid w:val="008B178B"/>
    <w:rsid w:val="008B6B15"/>
    <w:rsid w:val="008B7669"/>
    <w:rsid w:val="008C004A"/>
    <w:rsid w:val="008C526D"/>
    <w:rsid w:val="008C618F"/>
    <w:rsid w:val="008D2158"/>
    <w:rsid w:val="008D668B"/>
    <w:rsid w:val="008D6735"/>
    <w:rsid w:val="008D7A8E"/>
    <w:rsid w:val="008E3AF1"/>
    <w:rsid w:val="008F0D2B"/>
    <w:rsid w:val="008F1CA8"/>
    <w:rsid w:val="008F35F5"/>
    <w:rsid w:val="008F4518"/>
    <w:rsid w:val="008F5961"/>
    <w:rsid w:val="008F59F0"/>
    <w:rsid w:val="008F646E"/>
    <w:rsid w:val="00902EC4"/>
    <w:rsid w:val="00905F14"/>
    <w:rsid w:val="00906A65"/>
    <w:rsid w:val="0090793C"/>
    <w:rsid w:val="009142FA"/>
    <w:rsid w:val="009158AF"/>
    <w:rsid w:val="00915B81"/>
    <w:rsid w:val="00917B2D"/>
    <w:rsid w:val="00925C14"/>
    <w:rsid w:val="00926AC7"/>
    <w:rsid w:val="00926EFC"/>
    <w:rsid w:val="0093629C"/>
    <w:rsid w:val="009364CE"/>
    <w:rsid w:val="00940B78"/>
    <w:rsid w:val="00941033"/>
    <w:rsid w:val="00942138"/>
    <w:rsid w:val="009427B9"/>
    <w:rsid w:val="00945E42"/>
    <w:rsid w:val="009465D4"/>
    <w:rsid w:val="009509F4"/>
    <w:rsid w:val="00952546"/>
    <w:rsid w:val="009532CB"/>
    <w:rsid w:val="009546AC"/>
    <w:rsid w:val="00957933"/>
    <w:rsid w:val="0097094F"/>
    <w:rsid w:val="00973310"/>
    <w:rsid w:val="00975632"/>
    <w:rsid w:val="00976C78"/>
    <w:rsid w:val="009806F8"/>
    <w:rsid w:val="0098149C"/>
    <w:rsid w:val="009827D9"/>
    <w:rsid w:val="0098580B"/>
    <w:rsid w:val="00986ED9"/>
    <w:rsid w:val="0099073E"/>
    <w:rsid w:val="00991313"/>
    <w:rsid w:val="009919D3"/>
    <w:rsid w:val="00992493"/>
    <w:rsid w:val="0099369B"/>
    <w:rsid w:val="00993DEE"/>
    <w:rsid w:val="00996C04"/>
    <w:rsid w:val="00997996"/>
    <w:rsid w:val="009A1D4E"/>
    <w:rsid w:val="009A495F"/>
    <w:rsid w:val="009A7310"/>
    <w:rsid w:val="009B1562"/>
    <w:rsid w:val="009C3CE4"/>
    <w:rsid w:val="009C73E6"/>
    <w:rsid w:val="009D680D"/>
    <w:rsid w:val="009E0449"/>
    <w:rsid w:val="009E1E1A"/>
    <w:rsid w:val="009E7350"/>
    <w:rsid w:val="009F09E4"/>
    <w:rsid w:val="009F0D56"/>
    <w:rsid w:val="009F0DEF"/>
    <w:rsid w:val="009F75E0"/>
    <w:rsid w:val="00A01D7D"/>
    <w:rsid w:val="00A03DD2"/>
    <w:rsid w:val="00A05A0A"/>
    <w:rsid w:val="00A05FAB"/>
    <w:rsid w:val="00A12A68"/>
    <w:rsid w:val="00A137A0"/>
    <w:rsid w:val="00A177EF"/>
    <w:rsid w:val="00A23281"/>
    <w:rsid w:val="00A24792"/>
    <w:rsid w:val="00A30AC1"/>
    <w:rsid w:val="00A31E21"/>
    <w:rsid w:val="00A442AF"/>
    <w:rsid w:val="00A44BCF"/>
    <w:rsid w:val="00A53AD7"/>
    <w:rsid w:val="00A55E15"/>
    <w:rsid w:val="00A60976"/>
    <w:rsid w:val="00A60CA7"/>
    <w:rsid w:val="00A64142"/>
    <w:rsid w:val="00A66086"/>
    <w:rsid w:val="00A660F0"/>
    <w:rsid w:val="00A6688B"/>
    <w:rsid w:val="00A917F8"/>
    <w:rsid w:val="00A91AD9"/>
    <w:rsid w:val="00A93F99"/>
    <w:rsid w:val="00A941EF"/>
    <w:rsid w:val="00A95938"/>
    <w:rsid w:val="00A965F2"/>
    <w:rsid w:val="00AA0166"/>
    <w:rsid w:val="00AA2D60"/>
    <w:rsid w:val="00AA7E74"/>
    <w:rsid w:val="00AB20D5"/>
    <w:rsid w:val="00AB2AF9"/>
    <w:rsid w:val="00AB2C32"/>
    <w:rsid w:val="00AB4110"/>
    <w:rsid w:val="00AB4F9F"/>
    <w:rsid w:val="00AC419D"/>
    <w:rsid w:val="00AC43E3"/>
    <w:rsid w:val="00AC471F"/>
    <w:rsid w:val="00AC4DB8"/>
    <w:rsid w:val="00AC58E1"/>
    <w:rsid w:val="00AC68ED"/>
    <w:rsid w:val="00AD0A01"/>
    <w:rsid w:val="00AE0C8C"/>
    <w:rsid w:val="00AE6EC7"/>
    <w:rsid w:val="00AF23FC"/>
    <w:rsid w:val="00AF6628"/>
    <w:rsid w:val="00AF7159"/>
    <w:rsid w:val="00B0174D"/>
    <w:rsid w:val="00B06539"/>
    <w:rsid w:val="00B07C59"/>
    <w:rsid w:val="00B11715"/>
    <w:rsid w:val="00B231DF"/>
    <w:rsid w:val="00B317B8"/>
    <w:rsid w:val="00B33B56"/>
    <w:rsid w:val="00B35367"/>
    <w:rsid w:val="00B37D23"/>
    <w:rsid w:val="00B41EAD"/>
    <w:rsid w:val="00B47454"/>
    <w:rsid w:val="00B52607"/>
    <w:rsid w:val="00B5356B"/>
    <w:rsid w:val="00B57F40"/>
    <w:rsid w:val="00B6322F"/>
    <w:rsid w:val="00B63985"/>
    <w:rsid w:val="00B65B00"/>
    <w:rsid w:val="00B769B6"/>
    <w:rsid w:val="00B77E47"/>
    <w:rsid w:val="00B80837"/>
    <w:rsid w:val="00B84930"/>
    <w:rsid w:val="00B86732"/>
    <w:rsid w:val="00B8695F"/>
    <w:rsid w:val="00B87C41"/>
    <w:rsid w:val="00B90665"/>
    <w:rsid w:val="00B918DA"/>
    <w:rsid w:val="00B9460C"/>
    <w:rsid w:val="00B97725"/>
    <w:rsid w:val="00B97CB1"/>
    <w:rsid w:val="00BA059B"/>
    <w:rsid w:val="00BA2092"/>
    <w:rsid w:val="00BA37C2"/>
    <w:rsid w:val="00BA7288"/>
    <w:rsid w:val="00BB0221"/>
    <w:rsid w:val="00BB1238"/>
    <w:rsid w:val="00BB2A67"/>
    <w:rsid w:val="00BC3FA5"/>
    <w:rsid w:val="00BD1579"/>
    <w:rsid w:val="00BD22C5"/>
    <w:rsid w:val="00BD6D25"/>
    <w:rsid w:val="00BD7E11"/>
    <w:rsid w:val="00BE032B"/>
    <w:rsid w:val="00BE3F12"/>
    <w:rsid w:val="00BE4931"/>
    <w:rsid w:val="00BE5C9D"/>
    <w:rsid w:val="00BE5F64"/>
    <w:rsid w:val="00BF2D17"/>
    <w:rsid w:val="00BF391A"/>
    <w:rsid w:val="00BF4229"/>
    <w:rsid w:val="00BF6C13"/>
    <w:rsid w:val="00C00957"/>
    <w:rsid w:val="00C01940"/>
    <w:rsid w:val="00C02091"/>
    <w:rsid w:val="00C04FA4"/>
    <w:rsid w:val="00C12162"/>
    <w:rsid w:val="00C1329D"/>
    <w:rsid w:val="00C135CF"/>
    <w:rsid w:val="00C13AF5"/>
    <w:rsid w:val="00C13D6B"/>
    <w:rsid w:val="00C14227"/>
    <w:rsid w:val="00C16536"/>
    <w:rsid w:val="00C16D06"/>
    <w:rsid w:val="00C214F3"/>
    <w:rsid w:val="00C22A0F"/>
    <w:rsid w:val="00C240B3"/>
    <w:rsid w:val="00C24796"/>
    <w:rsid w:val="00C25ACD"/>
    <w:rsid w:val="00C261DD"/>
    <w:rsid w:val="00C26B57"/>
    <w:rsid w:val="00C30D4B"/>
    <w:rsid w:val="00C36567"/>
    <w:rsid w:val="00C37501"/>
    <w:rsid w:val="00C5022C"/>
    <w:rsid w:val="00C50507"/>
    <w:rsid w:val="00C51287"/>
    <w:rsid w:val="00C5179F"/>
    <w:rsid w:val="00C52579"/>
    <w:rsid w:val="00C5289A"/>
    <w:rsid w:val="00C54256"/>
    <w:rsid w:val="00C552BA"/>
    <w:rsid w:val="00C5781D"/>
    <w:rsid w:val="00C62C72"/>
    <w:rsid w:val="00C62DDF"/>
    <w:rsid w:val="00C651EB"/>
    <w:rsid w:val="00C704FE"/>
    <w:rsid w:val="00C72778"/>
    <w:rsid w:val="00C76D98"/>
    <w:rsid w:val="00C76FAB"/>
    <w:rsid w:val="00C77FC1"/>
    <w:rsid w:val="00C90698"/>
    <w:rsid w:val="00C926C9"/>
    <w:rsid w:val="00CA151D"/>
    <w:rsid w:val="00CA42C8"/>
    <w:rsid w:val="00CA58B9"/>
    <w:rsid w:val="00CB1927"/>
    <w:rsid w:val="00CB1B67"/>
    <w:rsid w:val="00CB4E2C"/>
    <w:rsid w:val="00CB72D6"/>
    <w:rsid w:val="00CC180C"/>
    <w:rsid w:val="00CC207F"/>
    <w:rsid w:val="00CC5FB8"/>
    <w:rsid w:val="00CC6DBC"/>
    <w:rsid w:val="00CD1FBF"/>
    <w:rsid w:val="00CD473C"/>
    <w:rsid w:val="00CD5302"/>
    <w:rsid w:val="00CD67D2"/>
    <w:rsid w:val="00CE2818"/>
    <w:rsid w:val="00CE65D8"/>
    <w:rsid w:val="00CE73B6"/>
    <w:rsid w:val="00CF0328"/>
    <w:rsid w:val="00CF13B1"/>
    <w:rsid w:val="00CF1DFF"/>
    <w:rsid w:val="00CF4242"/>
    <w:rsid w:val="00CF5015"/>
    <w:rsid w:val="00D03919"/>
    <w:rsid w:val="00D07C9B"/>
    <w:rsid w:val="00D25344"/>
    <w:rsid w:val="00D27D24"/>
    <w:rsid w:val="00D33F48"/>
    <w:rsid w:val="00D350BE"/>
    <w:rsid w:val="00D36D54"/>
    <w:rsid w:val="00D4038C"/>
    <w:rsid w:val="00D42193"/>
    <w:rsid w:val="00D423FA"/>
    <w:rsid w:val="00D44AD5"/>
    <w:rsid w:val="00D459BF"/>
    <w:rsid w:val="00D5066F"/>
    <w:rsid w:val="00D51E7B"/>
    <w:rsid w:val="00D546E8"/>
    <w:rsid w:val="00D54D94"/>
    <w:rsid w:val="00D6103D"/>
    <w:rsid w:val="00D64C65"/>
    <w:rsid w:val="00D7696D"/>
    <w:rsid w:val="00D811DD"/>
    <w:rsid w:val="00D81A97"/>
    <w:rsid w:val="00D82AF3"/>
    <w:rsid w:val="00D82F65"/>
    <w:rsid w:val="00D83C9F"/>
    <w:rsid w:val="00D859CE"/>
    <w:rsid w:val="00D86945"/>
    <w:rsid w:val="00D9020B"/>
    <w:rsid w:val="00D93E67"/>
    <w:rsid w:val="00D9579B"/>
    <w:rsid w:val="00D97522"/>
    <w:rsid w:val="00D97A45"/>
    <w:rsid w:val="00DA0937"/>
    <w:rsid w:val="00DA09C7"/>
    <w:rsid w:val="00DA4796"/>
    <w:rsid w:val="00DA4EAF"/>
    <w:rsid w:val="00DA7CDC"/>
    <w:rsid w:val="00DB184C"/>
    <w:rsid w:val="00DB1D84"/>
    <w:rsid w:val="00DB34B3"/>
    <w:rsid w:val="00DB5B08"/>
    <w:rsid w:val="00DC33FC"/>
    <w:rsid w:val="00DC4AE5"/>
    <w:rsid w:val="00DC589B"/>
    <w:rsid w:val="00DD1D1D"/>
    <w:rsid w:val="00DD4EFD"/>
    <w:rsid w:val="00DD79A4"/>
    <w:rsid w:val="00DE456D"/>
    <w:rsid w:val="00DE5915"/>
    <w:rsid w:val="00DE628B"/>
    <w:rsid w:val="00DF052A"/>
    <w:rsid w:val="00DF1234"/>
    <w:rsid w:val="00DF12A0"/>
    <w:rsid w:val="00DF144B"/>
    <w:rsid w:val="00DF49E1"/>
    <w:rsid w:val="00DF7857"/>
    <w:rsid w:val="00DF7BF6"/>
    <w:rsid w:val="00E03497"/>
    <w:rsid w:val="00E10017"/>
    <w:rsid w:val="00E12F4D"/>
    <w:rsid w:val="00E20299"/>
    <w:rsid w:val="00E216E5"/>
    <w:rsid w:val="00E2376D"/>
    <w:rsid w:val="00E2429B"/>
    <w:rsid w:val="00E25863"/>
    <w:rsid w:val="00E265D1"/>
    <w:rsid w:val="00E27E55"/>
    <w:rsid w:val="00E33EF1"/>
    <w:rsid w:val="00E3412A"/>
    <w:rsid w:val="00E360C4"/>
    <w:rsid w:val="00E40C62"/>
    <w:rsid w:val="00E44559"/>
    <w:rsid w:val="00E45109"/>
    <w:rsid w:val="00E547E5"/>
    <w:rsid w:val="00E5718C"/>
    <w:rsid w:val="00E608EC"/>
    <w:rsid w:val="00E61D7B"/>
    <w:rsid w:val="00E708EE"/>
    <w:rsid w:val="00E70C22"/>
    <w:rsid w:val="00E82CB3"/>
    <w:rsid w:val="00E832A2"/>
    <w:rsid w:val="00E84F86"/>
    <w:rsid w:val="00E85665"/>
    <w:rsid w:val="00E859CC"/>
    <w:rsid w:val="00E92F2C"/>
    <w:rsid w:val="00E93477"/>
    <w:rsid w:val="00E934B4"/>
    <w:rsid w:val="00E93F60"/>
    <w:rsid w:val="00E946BF"/>
    <w:rsid w:val="00E947E1"/>
    <w:rsid w:val="00E9699D"/>
    <w:rsid w:val="00E97E2A"/>
    <w:rsid w:val="00EA01A2"/>
    <w:rsid w:val="00EA0528"/>
    <w:rsid w:val="00EA2BF6"/>
    <w:rsid w:val="00EA2D1F"/>
    <w:rsid w:val="00EA313F"/>
    <w:rsid w:val="00EA423F"/>
    <w:rsid w:val="00EA66E7"/>
    <w:rsid w:val="00EB1BE6"/>
    <w:rsid w:val="00EB5D0F"/>
    <w:rsid w:val="00EB7399"/>
    <w:rsid w:val="00EC1762"/>
    <w:rsid w:val="00EC2083"/>
    <w:rsid w:val="00EC4AD1"/>
    <w:rsid w:val="00EC5A0E"/>
    <w:rsid w:val="00EC62E0"/>
    <w:rsid w:val="00EC64AA"/>
    <w:rsid w:val="00ED0B45"/>
    <w:rsid w:val="00ED1394"/>
    <w:rsid w:val="00ED3894"/>
    <w:rsid w:val="00ED4BDF"/>
    <w:rsid w:val="00EE43CF"/>
    <w:rsid w:val="00EE4D00"/>
    <w:rsid w:val="00EE68C4"/>
    <w:rsid w:val="00EE791A"/>
    <w:rsid w:val="00EF1577"/>
    <w:rsid w:val="00EF2B9C"/>
    <w:rsid w:val="00EF4226"/>
    <w:rsid w:val="00EF72A1"/>
    <w:rsid w:val="00F023DD"/>
    <w:rsid w:val="00F05842"/>
    <w:rsid w:val="00F07ECD"/>
    <w:rsid w:val="00F11149"/>
    <w:rsid w:val="00F127E6"/>
    <w:rsid w:val="00F1289C"/>
    <w:rsid w:val="00F146B9"/>
    <w:rsid w:val="00F14AC1"/>
    <w:rsid w:val="00F3256D"/>
    <w:rsid w:val="00F35C92"/>
    <w:rsid w:val="00F37A88"/>
    <w:rsid w:val="00F405CD"/>
    <w:rsid w:val="00F417D4"/>
    <w:rsid w:val="00F43BB1"/>
    <w:rsid w:val="00F448B4"/>
    <w:rsid w:val="00F45D95"/>
    <w:rsid w:val="00F46E6B"/>
    <w:rsid w:val="00F47D9F"/>
    <w:rsid w:val="00F60A3E"/>
    <w:rsid w:val="00F63DE9"/>
    <w:rsid w:val="00F67450"/>
    <w:rsid w:val="00F70184"/>
    <w:rsid w:val="00F7172B"/>
    <w:rsid w:val="00F76A85"/>
    <w:rsid w:val="00F80007"/>
    <w:rsid w:val="00F81353"/>
    <w:rsid w:val="00F8745A"/>
    <w:rsid w:val="00F91786"/>
    <w:rsid w:val="00F924F3"/>
    <w:rsid w:val="00FA01D8"/>
    <w:rsid w:val="00FA1749"/>
    <w:rsid w:val="00FA19E7"/>
    <w:rsid w:val="00FA2E53"/>
    <w:rsid w:val="00FA527C"/>
    <w:rsid w:val="00FA5CD2"/>
    <w:rsid w:val="00FC02E9"/>
    <w:rsid w:val="00FC27DB"/>
    <w:rsid w:val="00FC36F2"/>
    <w:rsid w:val="00FC6015"/>
    <w:rsid w:val="00FC62AA"/>
    <w:rsid w:val="00FD0CFD"/>
    <w:rsid w:val="00FD58D3"/>
    <w:rsid w:val="00FD61AA"/>
    <w:rsid w:val="00FD75C9"/>
    <w:rsid w:val="00FD7670"/>
    <w:rsid w:val="00FE12CD"/>
    <w:rsid w:val="00FE2C12"/>
    <w:rsid w:val="00FE72E1"/>
    <w:rsid w:val="00FF0653"/>
    <w:rsid w:val="00FF0AD9"/>
    <w:rsid w:val="00FF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E1FF"/>
  <w15:chartTrackingRefBased/>
  <w15:docId w15:val="{FC17BAC7-6B57-4288-8586-A0D8FE77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E69"/>
    <w:rPr>
      <w:lang w:val="lt-LT"/>
    </w:rPr>
  </w:style>
  <w:style w:type="paragraph" w:styleId="Heading1">
    <w:name w:val="heading 1"/>
    <w:basedOn w:val="Normal"/>
    <w:next w:val="Normal"/>
    <w:link w:val="Heading1Char"/>
    <w:uiPriority w:val="9"/>
    <w:qFormat/>
    <w:rsid w:val="007C3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C0D"/>
    <w:rPr>
      <w:rFonts w:eastAsiaTheme="majorEastAsia" w:cstheme="majorBidi"/>
      <w:color w:val="272727" w:themeColor="text1" w:themeTint="D8"/>
    </w:rPr>
  </w:style>
  <w:style w:type="paragraph" w:styleId="Title">
    <w:name w:val="Title"/>
    <w:basedOn w:val="Normal"/>
    <w:next w:val="Normal"/>
    <w:link w:val="TitleChar"/>
    <w:uiPriority w:val="10"/>
    <w:qFormat/>
    <w:rsid w:val="007C3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C0D"/>
    <w:pPr>
      <w:spacing w:before="160"/>
      <w:jc w:val="center"/>
    </w:pPr>
    <w:rPr>
      <w:i/>
      <w:iCs/>
      <w:color w:val="404040" w:themeColor="text1" w:themeTint="BF"/>
    </w:rPr>
  </w:style>
  <w:style w:type="character" w:customStyle="1" w:styleId="QuoteChar">
    <w:name w:val="Quote Char"/>
    <w:basedOn w:val="DefaultParagraphFont"/>
    <w:link w:val="Quote"/>
    <w:uiPriority w:val="29"/>
    <w:rsid w:val="007C3C0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7C3C0D"/>
    <w:pPr>
      <w:ind w:left="720"/>
      <w:contextualSpacing/>
    </w:pPr>
  </w:style>
  <w:style w:type="character" w:styleId="IntenseEmphasis">
    <w:name w:val="Intense Emphasis"/>
    <w:basedOn w:val="DefaultParagraphFont"/>
    <w:uiPriority w:val="21"/>
    <w:qFormat/>
    <w:rsid w:val="007C3C0D"/>
    <w:rPr>
      <w:i/>
      <w:iCs/>
      <w:color w:val="0F4761" w:themeColor="accent1" w:themeShade="BF"/>
    </w:rPr>
  </w:style>
  <w:style w:type="paragraph" w:styleId="IntenseQuote">
    <w:name w:val="Intense Quote"/>
    <w:basedOn w:val="Normal"/>
    <w:next w:val="Normal"/>
    <w:link w:val="IntenseQuoteChar"/>
    <w:uiPriority w:val="30"/>
    <w:qFormat/>
    <w:rsid w:val="007C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C0D"/>
    <w:rPr>
      <w:i/>
      <w:iCs/>
      <w:color w:val="0F4761" w:themeColor="accent1" w:themeShade="BF"/>
    </w:rPr>
  </w:style>
  <w:style w:type="character" w:styleId="IntenseReference">
    <w:name w:val="Intense Reference"/>
    <w:basedOn w:val="DefaultParagraphFont"/>
    <w:uiPriority w:val="32"/>
    <w:qFormat/>
    <w:rsid w:val="007C3C0D"/>
    <w:rPr>
      <w:b/>
      <w:bCs/>
      <w:smallCaps/>
      <w:color w:val="0F4761" w:themeColor="accent1" w:themeShade="BF"/>
      <w:spacing w:val="5"/>
    </w:rPr>
  </w:style>
  <w:style w:type="character" w:styleId="CommentReference">
    <w:name w:val="annotation reference"/>
    <w:uiPriority w:val="99"/>
    <w:rsid w:val="00926EFC"/>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Diagrama,Diagrama Diagrama Char Char"/>
    <w:basedOn w:val="Normal"/>
    <w:link w:val="CommentTextChar"/>
    <w:uiPriority w:val="99"/>
    <w:rsid w:val="00926EFC"/>
    <w:pPr>
      <w:spacing w:before="120"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Diagrama Char"/>
    <w:basedOn w:val="DefaultParagraphFont"/>
    <w:link w:val="CommentText"/>
    <w:uiPriority w:val="99"/>
    <w:rsid w:val="00926EFC"/>
    <w:rPr>
      <w:rFonts w:ascii="Times New Roman" w:eastAsia="Times New Roman" w:hAnsi="Times New Roman" w:cs="Times New Roman"/>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815D9"/>
    <w:rPr>
      <w:vertAlign w:val="superscript"/>
    </w:rPr>
  </w:style>
  <w:style w:type="character" w:styleId="Hyperlink">
    <w:name w:val="Hyperlink"/>
    <w:basedOn w:val="DefaultParagraphFont"/>
    <w:uiPriority w:val="99"/>
    <w:unhideWhenUsed/>
    <w:rsid w:val="000815D9"/>
    <w:rPr>
      <w:color w:val="467886" w:themeColor="hyperlink"/>
      <w:u w:val="single"/>
    </w:rPr>
  </w:style>
  <w:style w:type="character" w:styleId="UnresolvedMention">
    <w:name w:val="Unresolved Mention"/>
    <w:basedOn w:val="DefaultParagraphFont"/>
    <w:uiPriority w:val="99"/>
    <w:semiHidden/>
    <w:unhideWhenUsed/>
    <w:rsid w:val="000815D9"/>
    <w:rPr>
      <w:color w:val="605E5C"/>
      <w:shd w:val="clear" w:color="auto" w:fill="E1DFDD"/>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57785B"/>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57785B"/>
    <w:rPr>
      <w:sz w:val="20"/>
      <w:szCs w:val="20"/>
    </w:rPr>
  </w:style>
  <w:style w:type="paragraph" w:styleId="Revision">
    <w:name w:val="Revision"/>
    <w:hidden/>
    <w:uiPriority w:val="99"/>
    <w:semiHidden/>
    <w:rsid w:val="0053423D"/>
    <w:pPr>
      <w:spacing w:after="0" w:line="240" w:lineRule="auto"/>
    </w:pPr>
  </w:style>
  <w:style w:type="paragraph" w:styleId="CommentSubject">
    <w:name w:val="annotation subject"/>
    <w:basedOn w:val="CommentText"/>
    <w:next w:val="CommentText"/>
    <w:link w:val="CommentSubjectChar"/>
    <w:uiPriority w:val="99"/>
    <w:semiHidden/>
    <w:unhideWhenUsed/>
    <w:rsid w:val="00205E3C"/>
    <w:pPr>
      <w:spacing w:before="0"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205E3C"/>
    <w:rPr>
      <w:rFonts w:ascii="Times New Roman" w:eastAsia="Times New Roman" w:hAnsi="Times New Roman" w:cs="Times New Roman"/>
      <w:b/>
      <w:bCs/>
      <w:kern w:val="0"/>
      <w:sz w:val="20"/>
      <w:szCs w:val="20"/>
      <w:lang w:val="lt-LT"/>
      <w14:ligatures w14:val="none"/>
    </w:rPr>
  </w:style>
  <w:style w:type="paragraph" w:styleId="NoSpacing">
    <w:name w:val="No Spacing"/>
    <w:uiPriority w:val="1"/>
    <w:qFormat/>
    <w:rsid w:val="009C73E6"/>
    <w:pPr>
      <w:spacing w:after="0" w:line="240" w:lineRule="auto"/>
    </w:pPr>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D459BF"/>
    <w:rPr>
      <w:color w:val="96607D"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F0D2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4354">
      <w:bodyDiv w:val="1"/>
      <w:marLeft w:val="0"/>
      <w:marRight w:val="0"/>
      <w:marTop w:val="0"/>
      <w:marBottom w:val="0"/>
      <w:divBdr>
        <w:top w:val="none" w:sz="0" w:space="0" w:color="auto"/>
        <w:left w:val="none" w:sz="0" w:space="0" w:color="auto"/>
        <w:bottom w:val="none" w:sz="0" w:space="0" w:color="auto"/>
        <w:right w:val="none" w:sz="0" w:space="0" w:color="auto"/>
      </w:divBdr>
    </w:div>
    <w:div w:id="1106773715">
      <w:bodyDiv w:val="1"/>
      <w:marLeft w:val="0"/>
      <w:marRight w:val="0"/>
      <w:marTop w:val="0"/>
      <w:marBottom w:val="0"/>
      <w:divBdr>
        <w:top w:val="none" w:sz="0" w:space="0" w:color="auto"/>
        <w:left w:val="none" w:sz="0" w:space="0" w:color="auto"/>
        <w:bottom w:val="none" w:sz="0" w:space="0" w:color="auto"/>
        <w:right w:val="none" w:sz="0" w:space="0" w:color="auto"/>
      </w:divBdr>
    </w:div>
    <w:div w:id="14677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7646024/19373/Prane%C5%A1imas_apie_pakeitimus_2025_05_19.pptx" TargetMode="External"/><Relationship Id="rId13" Type="http://schemas.openxmlformats.org/officeDocument/2006/relationships/hyperlink" Target="https://vpt.lrv.lt/uploads/vpt/documents/files/mp/Statybos_darbu_gaires_2023-07-3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674ebaf05d7111e79198ffdb108a3753/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metodine-pagalba/pavyzdiniai-dokumentai-3/pasalinimo-pagrindu-lente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public/canonical/1747646024/19373/Prane%C5%A1imas_apie_pakeitimus_2025_05_19.pptx" TargetMode="External"/><Relationship Id="rId4" Type="http://schemas.openxmlformats.org/officeDocument/2006/relationships/settings" Target="settings.xml"/><Relationship Id="rId9" Type="http://schemas.openxmlformats.org/officeDocument/2006/relationships/hyperlink" Target="https://vpt.lrv.lt/public/canonical/1743522381/19113/Skelbimas_apie_pirkim%C4%85_2025_04_01.ppt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3D064-6EB7-41F0-BC9D-C2DB6297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7851</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2025-07-25T05:53:00Z</dcterms:created>
  <dcterms:modified xsi:type="dcterms:W3CDTF">2025-07-25T06:03:00Z</dcterms:modified>
</cp:coreProperties>
</file>