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B3F7" w14:textId="77777777" w:rsidR="0050244E" w:rsidRPr="00E56BA3" w:rsidRDefault="0050244E" w:rsidP="0050244E">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493D32">
        <w:rPr>
          <w:rStyle w:val="normaltextrun"/>
          <w:rFonts w:ascii="Calibri" w:eastAsiaTheme="majorEastAsia" w:hAnsi="Calibri" w:cs="Calibri"/>
          <w:lang w:val="lt-LT"/>
        </w:rPr>
        <w:t xml:space="preserve">Viešųjų pirkimų tarnyba (toliau – Tarnyba), vadovaudamasi Lietuvos Respublikos viešųjų pirkimų įstatymo (toliau – Įstatymas) 95 straipsnio 1 dalies 2 punkto nuostatomis, vykdo Įstatymo ir su </w:t>
      </w:r>
      <w:r w:rsidRPr="00E56BA3">
        <w:rPr>
          <w:rStyle w:val="normaltextrun"/>
          <w:rFonts w:ascii="Calibri" w:eastAsiaTheme="majorEastAsia" w:hAnsi="Calibri" w:cs="Calibri"/>
          <w:lang w:val="lt-LT"/>
        </w:rPr>
        <w:t>jo įgyvendinimu susijusių teisės aktų pažeidimų prevenciją.</w:t>
      </w:r>
    </w:p>
    <w:p w14:paraId="1CBDC40E" w14:textId="77777777" w:rsidR="0050244E" w:rsidRPr="00E56BA3" w:rsidRDefault="0050244E" w:rsidP="0050244E">
      <w:pPr>
        <w:pStyle w:val="paragraph"/>
        <w:spacing w:before="0" w:beforeAutospacing="0" w:after="0" w:afterAutospacing="0" w:line="276" w:lineRule="auto"/>
        <w:ind w:firstLine="720"/>
        <w:textAlignment w:val="baseline"/>
        <w:rPr>
          <w:rFonts w:ascii="Calibri" w:hAnsi="Calibri" w:cs="Calibri"/>
          <w:lang w:val="lt-LT"/>
        </w:rPr>
      </w:pPr>
      <w:bookmarkStart w:id="0" w:name="_Hlk194474617"/>
      <w:r w:rsidRPr="00E56BA3">
        <w:rPr>
          <w:rStyle w:val="normaltextrun"/>
          <w:rFonts w:ascii="Calibri" w:eastAsiaTheme="majorEastAsia" w:hAnsi="Calibri" w:cs="Calibri"/>
          <w:lang w:val="lt-LT"/>
        </w:rPr>
        <w:t xml:space="preserve">Vadovaujantis Tarnybai Įstatyme nustatyta pažeidimų prevencijos funkcija, šiuo metu atliekama Valstybės įmonės Valstybinių miškų urėdijos </w:t>
      </w:r>
      <w:r w:rsidRPr="00E56BA3">
        <w:rPr>
          <w:rFonts w:ascii="Calibri" w:hAnsi="Calibri" w:cs="Calibri"/>
          <w:lang w:val="lt-LT"/>
        </w:rPr>
        <w:t xml:space="preserve">(toliau – Perkančioji organizacija) konkrečių pirkimų </w:t>
      </w:r>
      <w:r w:rsidRPr="00E56BA3">
        <w:rPr>
          <w:rFonts w:ascii="Calibri" w:hAnsi="Calibri" w:cs="Calibri"/>
          <w:b/>
          <w:bCs/>
          <w:lang w:val="lt-LT"/>
        </w:rPr>
        <w:t>Nr. 3566803 „VMU Kontrahentų informacinės sistemos programavimo paslaugos“</w:t>
      </w:r>
      <w:r w:rsidRPr="00E56BA3">
        <w:rPr>
          <w:rFonts w:ascii="Calibri" w:hAnsi="Calibri" w:cs="Calibri"/>
          <w:lang w:val="lt-LT"/>
        </w:rPr>
        <w:t xml:space="preserve">, </w:t>
      </w:r>
      <w:r w:rsidRPr="00E56BA3">
        <w:rPr>
          <w:rFonts w:ascii="Calibri" w:hAnsi="Calibri" w:cs="Calibri"/>
          <w:b/>
          <w:bCs/>
          <w:lang w:val="lt-LT"/>
        </w:rPr>
        <w:t>Nr. 3549232 „Programavimo paslaugos (informacinių sistemų vystymo paslaugos)</w:t>
      </w:r>
      <w:r w:rsidRPr="00E56BA3">
        <w:rPr>
          <w:rFonts w:ascii="Calibri" w:hAnsi="Calibri" w:cs="Calibri"/>
          <w:lang w:val="lt-LT"/>
        </w:rPr>
        <w:t>“ (toliau kartu – Konkretūs pirkimai), vykdomų sukurtoje dinaminėje pirkimų sistemoje Nr. 1253565 „Programavimo paslaugų pirkimas (Nr. PU-230/2025)“ (toliau – DPS pirkimas), ir DPS pirkimo dokumentų atitikties Įstatymui ir jį įgyvendinantiems teisės aktams peržiūra  (peržiūra prevenciniais tikslais atliekama tam tikra apimtimi).</w:t>
      </w:r>
    </w:p>
    <w:bookmarkEnd w:id="0"/>
    <w:p w14:paraId="3716FED7" w14:textId="77777777" w:rsidR="0050244E" w:rsidRPr="00E56BA3" w:rsidRDefault="0050244E" w:rsidP="0050244E">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E56BA3">
        <w:rPr>
          <w:rStyle w:val="normaltextrun"/>
          <w:rFonts w:ascii="Calibri" w:eastAsiaTheme="majorEastAsia" w:hAnsi="Calibri" w:cs="Calibri"/>
          <w:lang w:val="lt-LT"/>
        </w:rPr>
        <w:t xml:space="preserve">Tarnyba, prevencine tvarka peržiūrėjusi Konkrečių pirkimų ir DPS pirkimo dokumentus, teikia </w:t>
      </w:r>
      <w:r w:rsidRPr="00E56BA3">
        <w:rPr>
          <w:rFonts w:ascii="Calibri" w:hAnsi="Calibri" w:cs="Calibri"/>
          <w:lang w:val="lt-LT" w:eastAsia="lt-LT"/>
        </w:rPr>
        <w:t>rekomendacijas ir prašo pateikti informaciją dėl DPS pirkimo nuostatų</w:t>
      </w:r>
      <w:r w:rsidRPr="00E56BA3">
        <w:rPr>
          <w:rStyle w:val="normaltextrun"/>
          <w:rFonts w:ascii="Calibri" w:eastAsiaTheme="majorEastAsia" w:hAnsi="Calibri" w:cs="Calibri"/>
          <w:lang w:val="lt-LT"/>
        </w:rPr>
        <w:t xml:space="preserve"> (toliau – Rekomendacija)</w:t>
      </w:r>
      <w:r>
        <w:rPr>
          <w:rStyle w:val="normaltextrun"/>
          <w:rFonts w:ascii="Calibri" w:eastAsiaTheme="majorEastAsia" w:hAnsi="Calibri" w:cs="Calibri"/>
          <w:lang w:val="lt-LT"/>
        </w:rPr>
        <w:t>:</w:t>
      </w:r>
    </w:p>
    <w:p w14:paraId="656ACA73" w14:textId="77777777" w:rsidR="0050244E" w:rsidRPr="00A673EC" w:rsidRDefault="0050244E" w:rsidP="0050244E">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Pr>
          <w:rStyle w:val="normaltextrun"/>
          <w:rFonts w:ascii="Calibri" w:eastAsiaTheme="majorEastAsia" w:hAnsi="Calibri" w:cs="Calibri"/>
          <w:b/>
          <w:bCs/>
          <w:lang w:val="lt-LT"/>
        </w:rPr>
        <w:t>1</w:t>
      </w:r>
      <w:r w:rsidRPr="00A04621">
        <w:rPr>
          <w:rStyle w:val="normaltextrun"/>
          <w:rFonts w:ascii="Calibri" w:eastAsiaTheme="majorEastAsia" w:hAnsi="Calibri" w:cs="Calibri"/>
          <w:b/>
          <w:bCs/>
          <w:lang w:val="lt-LT"/>
        </w:rPr>
        <w:t>.</w:t>
      </w:r>
      <w:r>
        <w:rPr>
          <w:rStyle w:val="normaltextrun"/>
          <w:rFonts w:ascii="Calibri" w:eastAsiaTheme="majorEastAsia" w:hAnsi="Calibri" w:cs="Calibri"/>
          <w:lang w:val="lt-LT"/>
        </w:rPr>
        <w:t xml:space="preserve"> pateikti informaciją apie </w:t>
      </w:r>
      <w:r w:rsidRPr="00A673EC">
        <w:rPr>
          <w:rStyle w:val="normaltextrun"/>
          <w:rFonts w:ascii="Calibri" w:eastAsiaTheme="majorEastAsia" w:hAnsi="Calibri" w:cs="Calibri"/>
          <w:lang w:val="lt-LT"/>
        </w:rPr>
        <w:t xml:space="preserve"> tiekėjus, kuriems leista dalyvauti sukurtoje dinaminėje pirkimų sistemoje</w:t>
      </w:r>
      <w:r>
        <w:rPr>
          <w:rStyle w:val="normaltextrun"/>
          <w:rFonts w:ascii="Calibri" w:eastAsiaTheme="majorEastAsia" w:hAnsi="Calibri" w:cs="Calibri"/>
          <w:lang w:val="lt-LT"/>
        </w:rPr>
        <w:t xml:space="preserve"> kiekvienoje kategorijoje</w:t>
      </w:r>
      <w:r w:rsidRPr="00A673EC">
        <w:rPr>
          <w:rStyle w:val="normaltextrun"/>
          <w:rFonts w:ascii="Calibri" w:eastAsiaTheme="majorEastAsia" w:hAnsi="Calibri" w:cs="Calibri"/>
          <w:lang w:val="lt-LT"/>
        </w:rPr>
        <w:t>.</w:t>
      </w:r>
    </w:p>
    <w:p w14:paraId="4CE589C0" w14:textId="77777777" w:rsidR="0050244E" w:rsidRPr="00A673EC" w:rsidRDefault="0050244E" w:rsidP="0050244E">
      <w:pPr>
        <w:pStyle w:val="paragraph"/>
        <w:spacing w:before="0" w:beforeAutospacing="0" w:after="0" w:afterAutospacing="0" w:line="276" w:lineRule="auto"/>
        <w:ind w:firstLine="720"/>
        <w:textAlignment w:val="baseline"/>
        <w:rPr>
          <w:rFonts w:ascii="Calibri" w:hAnsi="Calibri" w:cs="Calibri"/>
          <w:color w:val="000000"/>
          <w:lang w:val="lt-LT"/>
        </w:rPr>
      </w:pPr>
      <w:r>
        <w:rPr>
          <w:rStyle w:val="normaltextrun"/>
          <w:rFonts w:ascii="Calibri" w:eastAsiaTheme="majorEastAsia" w:hAnsi="Calibri" w:cs="Calibri"/>
          <w:b/>
          <w:bCs/>
          <w:lang w:val="lt-LT"/>
        </w:rPr>
        <w:t>2</w:t>
      </w:r>
      <w:r w:rsidRPr="00A673EC">
        <w:rPr>
          <w:rStyle w:val="normaltextrun"/>
          <w:rFonts w:ascii="Calibri" w:eastAsiaTheme="majorEastAsia" w:hAnsi="Calibri" w:cs="Calibri"/>
          <w:b/>
          <w:bCs/>
          <w:lang w:val="lt-LT"/>
        </w:rPr>
        <w:t>.</w:t>
      </w:r>
      <w:r w:rsidRPr="00A673EC">
        <w:rPr>
          <w:rFonts w:ascii="Calibri" w:hAnsi="Calibri" w:cs="Calibri"/>
          <w:color w:val="000000"/>
          <w:lang w:val="lt-LT"/>
        </w:rPr>
        <w:t xml:space="preserve"> pateikti informaciją apie jau įvykusius konkrečius pirkimus (jei tokie pirkimai buvo vykdomi) sukurtoje dinaminėje pirkimų sistemoje (</w:t>
      </w:r>
      <w:r w:rsidRPr="00A673EC">
        <w:rPr>
          <w:rFonts w:ascii="Calibri" w:hAnsi="Calibri" w:cs="Calibri"/>
          <w:lang w:val="lt-LT"/>
        </w:rPr>
        <w:t xml:space="preserve">Nr. </w:t>
      </w:r>
      <w:r>
        <w:rPr>
          <w:rFonts w:ascii="Calibri" w:hAnsi="Calibri" w:cs="Calibri"/>
          <w:lang w:val="lt-LT"/>
        </w:rPr>
        <w:t>1253565</w:t>
      </w:r>
      <w:r w:rsidRPr="00A673EC">
        <w:rPr>
          <w:rFonts w:ascii="Calibri" w:hAnsi="Calibri" w:cs="Calibri"/>
          <w:lang w:val="lt-LT"/>
        </w:rPr>
        <w:t xml:space="preserve"> „</w:t>
      </w:r>
      <w:r>
        <w:rPr>
          <w:rFonts w:ascii="Calibri" w:hAnsi="Calibri" w:cs="Calibri"/>
          <w:lang w:val="lt-LT"/>
        </w:rPr>
        <w:t>Programavimo paslaugų pirkimas (Nr. PU-230/2025</w:t>
      </w:r>
      <w:r w:rsidRPr="00A673EC">
        <w:rPr>
          <w:rFonts w:ascii="Calibri" w:hAnsi="Calibri" w:cs="Calibri"/>
          <w:lang w:val="lt-LT"/>
        </w:rPr>
        <w:t>“)</w:t>
      </w:r>
      <w:r w:rsidRPr="00A673EC">
        <w:rPr>
          <w:rFonts w:ascii="Calibri" w:hAnsi="Calibri" w:cs="Calibri"/>
          <w:color w:val="000000"/>
          <w:lang w:val="lt-LT"/>
        </w:rPr>
        <w:t xml:space="preserve">, nurodant </w:t>
      </w:r>
      <w:r>
        <w:rPr>
          <w:rFonts w:ascii="Calibri" w:hAnsi="Calibri" w:cs="Calibri"/>
          <w:color w:val="000000"/>
          <w:lang w:val="lt-LT"/>
        </w:rPr>
        <w:t>dinaminės pirkimų sistemos kategorijas, kuriose vykdyti konkretūs pirkimai,</w:t>
      </w:r>
      <w:r w:rsidRPr="00A673EC">
        <w:rPr>
          <w:rFonts w:ascii="Calibri" w:hAnsi="Calibri" w:cs="Calibri"/>
          <w:color w:val="000000"/>
          <w:lang w:val="lt-LT"/>
        </w:rPr>
        <w:t xml:space="preserve"> konkrečių pirkimų pavadinimus,</w:t>
      </w:r>
      <w:r>
        <w:rPr>
          <w:rFonts w:ascii="Calibri" w:hAnsi="Calibri" w:cs="Calibri"/>
          <w:color w:val="000000"/>
          <w:lang w:val="lt-LT"/>
        </w:rPr>
        <w:t xml:space="preserve"> </w:t>
      </w:r>
      <w:r w:rsidRPr="00A673EC">
        <w:rPr>
          <w:rFonts w:ascii="Calibri" w:hAnsi="Calibri" w:cs="Calibri"/>
          <w:color w:val="000000"/>
          <w:lang w:val="lt-LT"/>
        </w:rPr>
        <w:t>jų įvykdymo datas, pasiūlymus pateikusius tiekėjus kiekviename konkrečiame pirkime ir pateikiant informaciją apie konkrečių pirkimų laimėtojus.</w:t>
      </w:r>
    </w:p>
    <w:p w14:paraId="1CE25AC7" w14:textId="77777777" w:rsidR="0050244E" w:rsidRDefault="0050244E" w:rsidP="0050244E">
      <w:pPr>
        <w:pStyle w:val="paragraph"/>
        <w:spacing w:before="0" w:beforeAutospacing="0" w:after="0" w:afterAutospacing="0" w:line="276" w:lineRule="auto"/>
        <w:ind w:firstLine="720"/>
        <w:textAlignment w:val="baseline"/>
        <w:rPr>
          <w:rFonts w:ascii="Calibri" w:eastAsia="Aptos" w:hAnsi="Calibri" w:cs="Calibri"/>
          <w:lang w:val="lt-LT"/>
        </w:rPr>
      </w:pPr>
      <w:r w:rsidRPr="008734F8">
        <w:rPr>
          <w:rFonts w:ascii="Calibri" w:eastAsia="Calibri" w:hAnsi="Calibri" w:cs="Calibri"/>
          <w:b/>
          <w:bCs/>
          <w:lang w:val="lt"/>
        </w:rPr>
        <w:t xml:space="preserve">3. </w:t>
      </w:r>
      <w:r w:rsidRPr="00DC37C1">
        <w:rPr>
          <w:rFonts w:ascii="Calibri" w:eastAsia="Calibri" w:hAnsi="Calibri" w:cs="Calibri"/>
          <w:lang w:val="lt"/>
        </w:rPr>
        <w:t>Konkrečių pirkimų</w:t>
      </w:r>
      <w:r>
        <w:rPr>
          <w:rFonts w:ascii="Calibri" w:eastAsia="Calibri" w:hAnsi="Calibri" w:cs="Calibri"/>
          <w:b/>
          <w:bCs/>
          <w:lang w:val="lt"/>
        </w:rPr>
        <w:t xml:space="preserve"> </w:t>
      </w:r>
      <w:r w:rsidRPr="00493D32">
        <w:rPr>
          <w:rFonts w:ascii="Calibri" w:eastAsia="Aptos" w:hAnsi="Calibri" w:cs="Calibri"/>
          <w:lang w:val="lt-LT"/>
        </w:rPr>
        <w:t xml:space="preserve">Specialiųjų </w:t>
      </w:r>
      <w:r w:rsidRPr="00FF1BFE">
        <w:rPr>
          <w:rFonts w:ascii="Calibri" w:eastAsia="Aptos" w:hAnsi="Calibri" w:cs="Calibri"/>
          <w:lang w:val="lt-LT"/>
        </w:rPr>
        <w:t>sutarties sąlygų 5.3.3.1 punktuose nurodyta</w:t>
      </w:r>
      <w:r w:rsidRPr="00493D32">
        <w:rPr>
          <w:rFonts w:ascii="Calibri" w:eastAsia="Aptos" w:hAnsi="Calibri" w:cs="Calibri"/>
          <w:lang w:val="lt-LT"/>
        </w:rPr>
        <w:t xml:space="preserve">, kad Pirkimo sutarties galiojimo metu paslaugų įkainių perskaičiavimas atliekamas, jeigu </w:t>
      </w:r>
      <w:r w:rsidRPr="00493D32">
        <w:rPr>
          <w:rFonts w:ascii="Calibri" w:eastAsia="Aptos" w:hAnsi="Calibri" w:cs="Calibri"/>
          <w:b/>
          <w:bCs/>
          <w:lang w:val="lt-LT"/>
        </w:rPr>
        <w:t>Vartojimo prekių ir paslaugų kainų pokytis</w:t>
      </w:r>
      <w:r w:rsidRPr="00493D32">
        <w:rPr>
          <w:rFonts w:ascii="Calibri" w:eastAsia="Aptos" w:hAnsi="Calibri" w:cs="Calibri"/>
          <w:lang w:val="lt-LT"/>
        </w:rPr>
        <w:t xml:space="preserve"> (k), apskaičiuotas kaip nustatyta</w:t>
      </w:r>
      <w:r>
        <w:rPr>
          <w:rFonts w:ascii="Calibri" w:eastAsia="Aptos" w:hAnsi="Calibri" w:cs="Calibri"/>
          <w:lang w:val="lt-LT"/>
        </w:rPr>
        <w:t xml:space="preserve"> Sutarties Specialiųjų sąlygų 5.3.3.6 punkte</w:t>
      </w:r>
      <w:r w:rsidRPr="00493D32">
        <w:rPr>
          <w:rFonts w:ascii="Calibri" w:eastAsia="Aptos" w:hAnsi="Calibri" w:cs="Calibri"/>
          <w:lang w:val="lt-LT"/>
        </w:rPr>
        <w:t xml:space="preserve">  viršija 10 procentų. </w:t>
      </w:r>
    </w:p>
    <w:p w14:paraId="32C13778" w14:textId="77777777" w:rsidR="0050244E" w:rsidRPr="00493D32" w:rsidRDefault="0050244E" w:rsidP="0050244E">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493D32">
        <w:rPr>
          <w:rStyle w:val="normaltextrun"/>
          <w:rFonts w:ascii="Calibri" w:eastAsiaTheme="majorEastAsia" w:hAnsi="Calibri" w:cs="Calibri"/>
          <w:lang w:val="lt-LT"/>
        </w:rPr>
        <w:t xml:space="preserve">Atsižvelgiant į tai, kad Specialiųjų sutarties sąlygų </w:t>
      </w:r>
      <w:r>
        <w:rPr>
          <w:rStyle w:val="normaltextrun"/>
          <w:rFonts w:ascii="Calibri" w:eastAsiaTheme="majorEastAsia" w:hAnsi="Calibri" w:cs="Calibri"/>
          <w:lang w:val="lt-LT"/>
        </w:rPr>
        <w:t>5.3.3.1</w:t>
      </w:r>
      <w:r w:rsidRPr="00493D32">
        <w:rPr>
          <w:rStyle w:val="normaltextrun"/>
          <w:rFonts w:ascii="Calibri" w:eastAsiaTheme="majorEastAsia" w:hAnsi="Calibri" w:cs="Calibri"/>
          <w:lang w:val="lt-LT"/>
        </w:rPr>
        <w:t xml:space="preserve"> punkte nurodytas indeksas atspindi vartojimo prekių ir paslaugų kainų indekso pokytį, Tarnyba rekomenduoja ateityje vykdant konkrečius pirkimus svarstyti galimybę šiuo atveju perkamų paslaugų įkainių perskaičiavimui rinktis indeksą, labiau atitinkantį pirkimo objektą.</w:t>
      </w:r>
    </w:p>
    <w:p w14:paraId="3979D2C2" w14:textId="77777777" w:rsidR="0050244E" w:rsidRPr="00493D32" w:rsidRDefault="0050244E" w:rsidP="0050244E">
      <w:pPr>
        <w:pStyle w:val="paragraph"/>
        <w:spacing w:before="0" w:beforeAutospacing="0" w:after="0" w:afterAutospacing="0" w:line="276" w:lineRule="auto"/>
        <w:ind w:firstLine="720"/>
        <w:textAlignment w:val="baseline"/>
        <w:rPr>
          <w:rFonts w:ascii="Calibri" w:eastAsia="Calibri" w:hAnsi="Calibri" w:cs="Calibri"/>
          <w:lang w:val="lt-LT"/>
        </w:rPr>
      </w:pPr>
      <w:r w:rsidRPr="00493D32">
        <w:rPr>
          <w:rFonts w:ascii="Calibri" w:eastAsia="Calibri" w:hAnsi="Calibri" w:cs="Calibri"/>
          <w:lang w:val="lt-LT"/>
        </w:rPr>
        <w:t>Detaliau apie kainų (įkainių) peržiūrą informacija pateikiama pranešime „</w:t>
      </w:r>
      <w:hyperlink r:id="rId6" w:history="1">
        <w:r w:rsidRPr="00493D32">
          <w:rPr>
            <w:rStyle w:val="Hyperlink"/>
            <w:rFonts w:ascii="Calibri" w:eastAsia="Calibri" w:hAnsi="Calibri" w:cs="Calibri"/>
            <w:lang w:val="lt-LT"/>
          </w:rPr>
          <w:t>Dėl kainų perskaičiavimo taisyklių sutartyse</w:t>
        </w:r>
      </w:hyperlink>
      <w:r w:rsidRPr="00493D32">
        <w:rPr>
          <w:rFonts w:ascii="Calibri" w:eastAsia="Calibri" w:hAnsi="Calibri" w:cs="Calibri"/>
          <w:lang w:val="lt-LT"/>
        </w:rPr>
        <w:t>“.</w:t>
      </w:r>
    </w:p>
    <w:p w14:paraId="11971FFD" w14:textId="77777777" w:rsidR="0050244E" w:rsidRPr="00493D32" w:rsidRDefault="0050244E" w:rsidP="0050244E">
      <w:pPr>
        <w:pStyle w:val="paragraph"/>
        <w:spacing w:before="0" w:beforeAutospacing="0" w:after="0" w:afterAutospacing="0" w:line="276" w:lineRule="auto"/>
        <w:ind w:firstLine="720"/>
        <w:textAlignment w:val="baseline"/>
        <w:rPr>
          <w:rFonts w:ascii="Calibri" w:eastAsia="Calibri" w:hAnsi="Calibri" w:cs="Calibri"/>
          <w:highlight w:val="yellow"/>
          <w:lang w:val="lt"/>
        </w:rPr>
      </w:pPr>
      <w:r w:rsidRPr="00493D32">
        <w:rPr>
          <w:rFonts w:ascii="Calibri" w:eastAsia="Calibri" w:hAnsi="Calibri" w:cs="Calibri"/>
          <w:lang w:val="lt"/>
        </w:rPr>
        <w:t xml:space="preserve">Atsižvelgdama į tai, kas nurodyta, Tarnyba rekomenduoja peržiūrėti ir </w:t>
      </w:r>
      <w:r>
        <w:rPr>
          <w:rFonts w:ascii="Calibri" w:eastAsia="Calibri" w:hAnsi="Calibri" w:cs="Calibri"/>
          <w:lang w:val="lt"/>
        </w:rPr>
        <w:t xml:space="preserve">įvertinti rekomendaciją </w:t>
      </w:r>
      <w:r w:rsidRPr="00493D32">
        <w:rPr>
          <w:rFonts w:ascii="Calibri" w:eastAsia="Calibri" w:hAnsi="Calibri" w:cs="Calibri"/>
          <w:lang w:val="lt"/>
        </w:rPr>
        <w:t xml:space="preserve">ateityje vykdomų konkrečių pirkimų dokumentus </w:t>
      </w:r>
      <w:r>
        <w:rPr>
          <w:rFonts w:ascii="Calibri" w:eastAsia="Calibri" w:hAnsi="Calibri" w:cs="Calibri"/>
          <w:lang w:val="lt"/>
        </w:rPr>
        <w:t xml:space="preserve">patikslinti </w:t>
      </w:r>
      <w:r w:rsidRPr="00493D32">
        <w:rPr>
          <w:rFonts w:ascii="Calibri" w:eastAsia="Calibri" w:hAnsi="Calibri" w:cs="Calibri"/>
          <w:lang w:val="lt"/>
        </w:rPr>
        <w:t xml:space="preserve">pagal šioje Rekomendacijoje pateiktas pastabas. </w:t>
      </w:r>
    </w:p>
    <w:p w14:paraId="6DB2F9A2" w14:textId="77777777" w:rsidR="0050244E" w:rsidRPr="00493D32" w:rsidRDefault="0050244E" w:rsidP="0050244E">
      <w:pPr>
        <w:pStyle w:val="paragraph"/>
        <w:spacing w:before="0" w:beforeAutospacing="0" w:after="0" w:afterAutospacing="0" w:line="276" w:lineRule="auto"/>
        <w:ind w:firstLine="720"/>
        <w:textAlignment w:val="baseline"/>
        <w:rPr>
          <w:rFonts w:ascii="Calibri" w:hAnsi="Calibri" w:cs="Calibri"/>
          <w:lang w:val="lt-LT" w:eastAsia="lt-LT"/>
        </w:rPr>
      </w:pPr>
      <w:r w:rsidRPr="00493D32">
        <w:rPr>
          <w:rFonts w:ascii="Calibri" w:hAnsi="Calibri" w:cs="Calibri"/>
          <w:lang w:val="lt-LT" w:eastAsia="lt-LT"/>
        </w:rPr>
        <w:t>Visais atvejais sprendimą dėl tolimesnio Pirkimų procedūrų vykdymo ar nutraukimo priima pati Perkančioji organizacija, vadovaudamasi Įstatymo 29 straipsnio 3</w:t>
      </w:r>
      <w:r w:rsidRPr="00493D32">
        <w:rPr>
          <w:rStyle w:val="FootnoteReference"/>
          <w:rFonts w:ascii="Calibri" w:eastAsiaTheme="majorEastAsia" w:hAnsi="Calibri" w:cs="Calibri"/>
          <w:lang w:val="lt-LT" w:eastAsia="lt-LT"/>
        </w:rPr>
        <w:footnoteReference w:id="1"/>
      </w:r>
      <w:r w:rsidRPr="00493D32">
        <w:rPr>
          <w:rFonts w:ascii="Calibri" w:hAnsi="Calibri" w:cs="Calibri"/>
          <w:lang w:val="lt-LT" w:eastAsia="lt-LT"/>
        </w:rPr>
        <w:t xml:space="preserve"> ir 4</w:t>
      </w:r>
      <w:r w:rsidRPr="00493D32">
        <w:rPr>
          <w:rStyle w:val="FootnoteReference"/>
          <w:rFonts w:ascii="Calibri" w:eastAsiaTheme="majorEastAsia" w:hAnsi="Calibri" w:cs="Calibri"/>
          <w:lang w:val="lt-LT" w:eastAsia="lt-LT"/>
        </w:rPr>
        <w:footnoteReference w:id="2"/>
      </w:r>
      <w:r w:rsidRPr="00493D32">
        <w:rPr>
          <w:rFonts w:ascii="Calibri" w:hAnsi="Calibri" w:cs="Calibri"/>
          <w:lang w:val="lt-LT" w:eastAsia="lt-LT"/>
        </w:rPr>
        <w:t xml:space="preserve"> dalių nuostatomis.</w:t>
      </w:r>
    </w:p>
    <w:sectPr w:rsidR="0050244E" w:rsidRPr="00493D32" w:rsidSect="0050244E">
      <w:headerReference w:type="default" r:id="rId7"/>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7ACA" w14:textId="77777777" w:rsidR="0050244E" w:rsidRDefault="0050244E" w:rsidP="0050244E">
      <w:r>
        <w:separator/>
      </w:r>
    </w:p>
  </w:endnote>
  <w:endnote w:type="continuationSeparator" w:id="0">
    <w:p w14:paraId="2BFF813C" w14:textId="77777777" w:rsidR="0050244E" w:rsidRDefault="0050244E" w:rsidP="005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372B" w14:textId="77777777" w:rsidR="0050244E" w:rsidRDefault="0050244E" w:rsidP="0050244E">
      <w:r>
        <w:separator/>
      </w:r>
    </w:p>
  </w:footnote>
  <w:footnote w:type="continuationSeparator" w:id="0">
    <w:p w14:paraId="77A99411" w14:textId="77777777" w:rsidR="0050244E" w:rsidRDefault="0050244E" w:rsidP="0050244E">
      <w:r>
        <w:continuationSeparator/>
      </w:r>
    </w:p>
  </w:footnote>
  <w:footnote w:id="1">
    <w:p w14:paraId="558741C3" w14:textId="77777777" w:rsidR="0050244E" w:rsidRPr="00543F44" w:rsidRDefault="0050244E" w:rsidP="0050244E">
      <w:pPr>
        <w:pStyle w:val="FootnoteText"/>
        <w:rPr>
          <w:rFonts w:ascii="Calibri" w:hAnsi="Calibri" w:cs="Calibri"/>
        </w:rPr>
      </w:pPr>
      <w:r w:rsidRPr="00543F44">
        <w:rPr>
          <w:rStyle w:val="FootnoteReference"/>
          <w:rFonts w:ascii="Calibri" w:hAnsi="Calibri" w:cs="Calibri"/>
        </w:rPr>
        <w:footnoteRef/>
      </w:r>
      <w:r w:rsidRPr="00543F44">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2">
    <w:p w14:paraId="40F2C855" w14:textId="77777777" w:rsidR="0050244E" w:rsidRDefault="0050244E" w:rsidP="0050244E">
      <w:pPr>
        <w:pStyle w:val="FootnoteText"/>
      </w:pPr>
      <w:r w:rsidRPr="00543F44">
        <w:rPr>
          <w:rStyle w:val="FootnoteReference"/>
          <w:rFonts w:ascii="Calibri" w:hAnsi="Calibri" w:cs="Calibri"/>
        </w:rPr>
        <w:footnoteRef/>
      </w:r>
      <w:r w:rsidRPr="00543F44">
        <w:rPr>
          <w:rFonts w:ascii="Calibri" w:hAnsi="Calibri" w:cs="Calibri"/>
        </w:rPr>
        <w:t xml:space="preserve"> </w:t>
      </w:r>
      <w:r w:rsidRPr="00543F44">
        <w:rPr>
          <w:rFonts w:ascii="Calibri" w:hAnsi="Calibri" w:cs="Calibri"/>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3CFC2D56" w14:textId="77777777" w:rsidR="0050244E" w:rsidRDefault="0050244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640885" w14:textId="77777777" w:rsidR="0050244E" w:rsidRDefault="00502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4E"/>
    <w:rsid w:val="0050244E"/>
    <w:rsid w:val="00901068"/>
    <w:rsid w:val="009919AC"/>
    <w:rsid w:val="00A0134C"/>
    <w:rsid w:val="00A47A00"/>
    <w:rsid w:val="00BB0E8B"/>
    <w:rsid w:val="00C11424"/>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D918"/>
  <w15:chartTrackingRefBased/>
  <w15:docId w15:val="{3E734F86-C0BD-42DD-9FD1-0EE81E16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4E"/>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50244E"/>
    <w:pPr>
      <w:keepNext/>
      <w:keepLines/>
      <w:pBdr>
        <w:top w:val="none" w:sz="0" w:space="0" w:color="auto"/>
        <w:left w:val="none" w:sz="0" w:space="0" w:color="auto"/>
        <w:bottom w:val="none" w:sz="0" w:space="0" w:color="auto"/>
        <w:right w:val="none" w:sz="0" w:space="0" w:color="auto"/>
      </w:pBdr>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0244E"/>
    <w:pPr>
      <w:keepNext/>
      <w:keepLines/>
      <w:pBdr>
        <w:top w:val="none" w:sz="0" w:space="0" w:color="auto"/>
        <w:left w:val="none" w:sz="0" w:space="0" w:color="auto"/>
        <w:bottom w:val="none" w:sz="0" w:space="0" w:color="auto"/>
        <w:right w:val="none" w:sz="0" w:space="0" w:color="auto"/>
      </w:pBdr>
      <w:spacing w:line="278" w:lineRule="auto"/>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4E"/>
    <w:rPr>
      <w:rFonts w:eastAsiaTheme="majorEastAsia" w:cstheme="majorBidi"/>
      <w:color w:val="272727" w:themeColor="text1" w:themeTint="D8"/>
    </w:rPr>
  </w:style>
  <w:style w:type="paragraph" w:styleId="Title">
    <w:name w:val="Title"/>
    <w:basedOn w:val="Normal"/>
    <w:next w:val="Normal"/>
    <w:link w:val="TitleChar"/>
    <w:uiPriority w:val="10"/>
    <w:qFormat/>
    <w:rsid w:val="0050244E"/>
    <w:pPr>
      <w:pBdr>
        <w:top w:val="none" w:sz="0" w:space="0" w:color="auto"/>
        <w:left w:val="none" w:sz="0" w:space="0" w:color="auto"/>
        <w:bottom w:val="none" w:sz="0" w:space="0" w:color="auto"/>
        <w:right w:val="none" w:sz="0" w:space="0" w:color="auto"/>
      </w:pBd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02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4E"/>
    <w:pPr>
      <w:numPr>
        <w:ilvl w:val="1"/>
      </w:numPr>
      <w:pBdr>
        <w:top w:val="none" w:sz="0" w:space="0" w:color="auto"/>
        <w:left w:val="none" w:sz="0" w:space="0" w:color="auto"/>
        <w:bottom w:val="none" w:sz="0" w:space="0" w:color="auto"/>
        <w:right w:val="none" w:sz="0" w:space="0" w:color="auto"/>
      </w:pBd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02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4E"/>
    <w:pPr>
      <w:pBdr>
        <w:top w:val="none" w:sz="0" w:space="0" w:color="auto"/>
        <w:left w:val="none" w:sz="0" w:space="0" w:color="auto"/>
        <w:bottom w:val="none" w:sz="0" w:space="0" w:color="auto"/>
        <w:right w:val="none" w:sz="0" w:space="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0244E"/>
    <w:rPr>
      <w:i/>
      <w:iCs/>
      <w:color w:val="404040" w:themeColor="text1" w:themeTint="BF"/>
    </w:rPr>
  </w:style>
  <w:style w:type="paragraph" w:styleId="ListParagraph">
    <w:name w:val="List Paragraph"/>
    <w:basedOn w:val="Normal"/>
    <w:uiPriority w:val="34"/>
    <w:qFormat/>
    <w:rsid w:val="0050244E"/>
    <w:pPr>
      <w:pBdr>
        <w:top w:val="none" w:sz="0" w:space="0" w:color="auto"/>
        <w:left w:val="none" w:sz="0" w:space="0" w:color="auto"/>
        <w:bottom w:val="none" w:sz="0" w:space="0" w:color="auto"/>
        <w:right w:val="none" w:sz="0" w:space="0" w:color="auto"/>
      </w:pBdr>
      <w:spacing w:after="160" w:line="278" w:lineRule="auto"/>
      <w:ind w:left="72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0244E"/>
    <w:rPr>
      <w:i/>
      <w:iCs/>
      <w:color w:val="0F4761" w:themeColor="accent1" w:themeShade="BF"/>
    </w:rPr>
  </w:style>
  <w:style w:type="paragraph" w:styleId="IntenseQuote">
    <w:name w:val="Intense Quote"/>
    <w:basedOn w:val="Normal"/>
    <w:next w:val="Normal"/>
    <w:link w:val="IntenseQuoteChar"/>
    <w:uiPriority w:val="30"/>
    <w:qFormat/>
    <w:rsid w:val="0050244E"/>
    <w:pPr>
      <w:pBdr>
        <w:top w:val="single" w:sz="4" w:space="10" w:color="0F4761" w:themeColor="accent1" w:themeShade="BF"/>
        <w:left w:val="none" w:sz="0" w:space="0" w:color="auto"/>
        <w:bottom w:val="single" w:sz="4" w:space="10" w:color="0F4761" w:themeColor="accent1" w:themeShade="BF"/>
        <w:right w:val="none" w:sz="0" w:space="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0244E"/>
    <w:rPr>
      <w:i/>
      <w:iCs/>
      <w:color w:val="0F4761" w:themeColor="accent1" w:themeShade="BF"/>
    </w:rPr>
  </w:style>
  <w:style w:type="character" w:styleId="IntenseReference">
    <w:name w:val="Intense Reference"/>
    <w:basedOn w:val="DefaultParagraphFont"/>
    <w:uiPriority w:val="32"/>
    <w:qFormat/>
    <w:rsid w:val="0050244E"/>
    <w:rPr>
      <w:b/>
      <w:bCs/>
      <w:smallCaps/>
      <w:color w:val="0F4761" w:themeColor="accent1" w:themeShade="BF"/>
      <w:spacing w:val="5"/>
    </w:rPr>
  </w:style>
  <w:style w:type="paragraph" w:customStyle="1" w:styleId="paragraph">
    <w:name w:val="paragraph"/>
    <w:basedOn w:val="Normal"/>
    <w:rsid w:val="0050244E"/>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50244E"/>
  </w:style>
  <w:style w:type="character" w:styleId="Hyperlink">
    <w:name w:val="Hyperlink"/>
    <w:basedOn w:val="DefaultParagraphFont"/>
    <w:uiPriority w:val="99"/>
    <w:unhideWhenUsed/>
    <w:rsid w:val="0050244E"/>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0244E"/>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0244E"/>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0244E"/>
    <w:rPr>
      <w:vertAlign w:val="superscript"/>
    </w:rPr>
  </w:style>
  <w:style w:type="paragraph" w:styleId="Header">
    <w:name w:val="header"/>
    <w:basedOn w:val="Normal"/>
    <w:link w:val="HeaderChar"/>
    <w:uiPriority w:val="99"/>
    <w:unhideWhenUsed/>
    <w:rsid w:val="0050244E"/>
    <w:pPr>
      <w:tabs>
        <w:tab w:val="center" w:pos="4513"/>
        <w:tab w:val="right" w:pos="9026"/>
      </w:tabs>
    </w:pPr>
  </w:style>
  <w:style w:type="character" w:customStyle="1" w:styleId="HeaderChar">
    <w:name w:val="Header Char"/>
    <w:basedOn w:val="DefaultParagraphFont"/>
    <w:link w:val="Header"/>
    <w:uiPriority w:val="99"/>
    <w:rsid w:val="0050244E"/>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3/del-kainu-perskaiciavimo-taisykliu-sutarty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2025-07-22T08:27:00Z</dcterms:created>
  <dcterms:modified xsi:type="dcterms:W3CDTF">2025-07-22T08:29:00Z</dcterms:modified>
</cp:coreProperties>
</file>