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5C2E0" w14:textId="73C48010" w:rsidR="00EC7A31" w:rsidRPr="00192CFA" w:rsidRDefault="00EC7A31" w:rsidP="00192CFA">
      <w:pPr>
        <w:ind w:firstLine="720"/>
        <w:rPr>
          <w:sz w:val="24"/>
          <w:szCs w:val="24"/>
        </w:rPr>
      </w:pPr>
      <w:r w:rsidRPr="00192CFA">
        <w:rPr>
          <w:sz w:val="24"/>
          <w:szCs w:val="24"/>
        </w:rPr>
        <w:t xml:space="preserve">Viešųjų pirkimų tarnyba (toliau – Tarnyba), vadovaudamasi Lietuvos Respublikos viešųjų pirkimų įstatymo (toliau – Įstatymas) 95 straipsnio 1 dalies 2 punkto nuostatomis, vykdo Įstatymo ir su jo įgyvendinimu susijusių teisės aktų pažeidimų prevenciją. Vadovaujantis Tarnybai Įstatyme nustatyta pažeidimų prevencijos funkcija, šiuo metu atliekama Panevėžio mokymo centro (toliau – Perkančioji organizacija) vykdomo pirkimo </w:t>
      </w:r>
      <w:r w:rsidRPr="00192CFA">
        <w:rPr>
          <w:b/>
          <w:bCs/>
          <w:sz w:val="24"/>
          <w:szCs w:val="24"/>
        </w:rPr>
        <w:t xml:space="preserve">Nr. </w:t>
      </w:r>
      <w:r w:rsidR="00FF0EC9" w:rsidRPr="00192CFA">
        <w:rPr>
          <w:b/>
          <w:bCs/>
          <w:sz w:val="24"/>
          <w:szCs w:val="24"/>
        </w:rPr>
        <w:t>3587140</w:t>
      </w:r>
      <w:r w:rsidRPr="00192CFA">
        <w:rPr>
          <w:b/>
          <w:bCs/>
          <w:sz w:val="24"/>
          <w:szCs w:val="24"/>
        </w:rPr>
        <w:t xml:space="preserve"> „</w:t>
      </w:r>
      <w:r w:rsidR="00C35EF7" w:rsidRPr="00192CFA">
        <w:rPr>
          <w:b/>
          <w:bCs/>
          <w:sz w:val="24"/>
          <w:szCs w:val="24"/>
        </w:rPr>
        <w:t>Kapitalinio remonto</w:t>
      </w:r>
      <w:r w:rsidR="007C052D" w:rsidRPr="00192CFA">
        <w:rPr>
          <w:b/>
          <w:bCs/>
          <w:sz w:val="24"/>
          <w:szCs w:val="24"/>
        </w:rPr>
        <w:t xml:space="preserve"> ir atnaujinimo darbai Bendrabučio, adresu Danutės g. 40A, Panevėžys, atnaujinimo (modernizavimo) ir paprastojo remonto darbų pirkimas“</w:t>
      </w:r>
      <w:r w:rsidR="00296535" w:rsidRPr="00192CFA">
        <w:rPr>
          <w:b/>
          <w:bCs/>
          <w:sz w:val="24"/>
          <w:szCs w:val="24"/>
        </w:rPr>
        <w:t xml:space="preserve"> </w:t>
      </w:r>
      <w:r w:rsidRPr="00192CFA">
        <w:rPr>
          <w:sz w:val="24"/>
          <w:szCs w:val="24"/>
        </w:rPr>
        <w:t>dokumentų atitikties Įstatymui ir jį įgyvendinantiems teisės aktams peržiūra (peržiūra prevenciniais tikslais atliekama tam tikra apimtimi).</w:t>
      </w:r>
    </w:p>
    <w:p w14:paraId="3A76EB15" w14:textId="7A156ED6" w:rsidR="007102FB" w:rsidRPr="00192CFA" w:rsidRDefault="00EC7A31" w:rsidP="00192CFA">
      <w:pPr>
        <w:ind w:firstLine="720"/>
        <w:rPr>
          <w:rFonts w:eastAsia="Times New Roman"/>
          <w:b/>
          <w:bCs/>
          <w:color w:val="000000" w:themeColor="text1"/>
          <w:sz w:val="24"/>
          <w:szCs w:val="24"/>
          <w:u w:val="single"/>
        </w:rPr>
      </w:pPr>
      <w:r w:rsidRPr="00192CFA">
        <w:rPr>
          <w:sz w:val="24"/>
          <w:szCs w:val="24"/>
        </w:rPr>
        <w:t>Tarnyba, prevencine tvarka peržiūrėjusi Pirkimo dokumentus, teikia rekomendacijas dėl Pirkimo dokumentų nuostatų</w:t>
      </w:r>
      <w:r w:rsidR="00F74731">
        <w:rPr>
          <w:sz w:val="24"/>
          <w:szCs w:val="24"/>
        </w:rPr>
        <w:t xml:space="preserve"> (toliau – Rekomendacija)</w:t>
      </w:r>
      <w:r w:rsidRPr="00192CFA">
        <w:rPr>
          <w:sz w:val="24"/>
          <w:szCs w:val="24"/>
        </w:rPr>
        <w:t>.</w:t>
      </w:r>
    </w:p>
    <w:p w14:paraId="55B4A9A3" w14:textId="77777777" w:rsidR="007102FB" w:rsidRPr="00192CFA" w:rsidRDefault="007102FB" w:rsidP="00192CFA">
      <w:pPr>
        <w:ind w:firstLine="720"/>
        <w:rPr>
          <w:rFonts w:eastAsia="Times New Roman"/>
          <w:b/>
          <w:bCs/>
          <w:color w:val="000000" w:themeColor="text1"/>
          <w:sz w:val="24"/>
          <w:szCs w:val="24"/>
          <w:u w:val="single"/>
        </w:rPr>
      </w:pPr>
    </w:p>
    <w:p w14:paraId="4DC565E8" w14:textId="35477DAF" w:rsidR="007102FB" w:rsidRPr="00192CFA" w:rsidRDefault="007102FB" w:rsidP="00AE509B">
      <w:pPr>
        <w:tabs>
          <w:tab w:val="left" w:pos="1080"/>
        </w:tabs>
        <w:ind w:firstLine="720"/>
        <w:rPr>
          <w:rFonts w:eastAsia="Times New Roman"/>
          <w:sz w:val="24"/>
          <w:szCs w:val="24"/>
        </w:rPr>
      </w:pPr>
      <w:r w:rsidRPr="00192CFA">
        <w:rPr>
          <w:rFonts w:eastAsia="Times New Roman"/>
          <w:sz w:val="24"/>
          <w:szCs w:val="24"/>
        </w:rPr>
        <w:t xml:space="preserve">Įstatymo 47 straipsnio 1 dalyje nustatyta, kad „&lt;..&gt; Perkančioji organizacija privalo išsiaiškinti, ar tiekėjas yra kompetentingas, patikimas ir pajėgus įvykdyti pirkimo sąlygas, todėl ji turi teisę &lt;..&gt; nustatyti </w:t>
      </w:r>
      <w:r w:rsidRPr="00192CFA">
        <w:rPr>
          <w:rFonts w:eastAsia="Times New Roman"/>
          <w:b/>
          <w:bCs/>
          <w:sz w:val="24"/>
          <w:szCs w:val="24"/>
        </w:rPr>
        <w:t>būtinus</w:t>
      </w:r>
      <w:r w:rsidRPr="00192CFA">
        <w:rPr>
          <w:rFonts w:eastAsia="Times New Roman"/>
          <w:sz w:val="24"/>
          <w:szCs w:val="24"/>
        </w:rPr>
        <w:t xml:space="preserve"> kandidatų ar dalyvių kvalifikacijos </w:t>
      </w:r>
      <w:r w:rsidRPr="00192CFA">
        <w:rPr>
          <w:rFonts w:eastAsia="Times New Roman"/>
          <w:b/>
          <w:bCs/>
          <w:sz w:val="24"/>
          <w:szCs w:val="24"/>
        </w:rPr>
        <w:t>reikalavimus</w:t>
      </w:r>
      <w:r w:rsidRPr="00192CFA">
        <w:rPr>
          <w:rFonts w:eastAsia="Times New Roman"/>
          <w:sz w:val="24"/>
          <w:szCs w:val="24"/>
        </w:rPr>
        <w:t xml:space="preserve"> ir šių reikalavimų </w:t>
      </w:r>
      <w:r w:rsidRPr="00192CFA">
        <w:rPr>
          <w:rFonts w:eastAsia="Times New Roman"/>
          <w:b/>
          <w:bCs/>
          <w:sz w:val="24"/>
          <w:szCs w:val="24"/>
        </w:rPr>
        <w:t>atitiktį patvirtinančius dokumentus</w:t>
      </w:r>
      <w:r w:rsidRPr="00192CFA">
        <w:rPr>
          <w:rFonts w:eastAsia="Times New Roman"/>
          <w:sz w:val="24"/>
          <w:szCs w:val="24"/>
        </w:rPr>
        <w:t xml:space="preserve"> ar informaciją. Perkančiosios organizacijos nustatyti kandidatų ar dalyvių kvalifikacijos reikalavimai negali dirbtinai riboti konkurencijos, turi būti proporcingi ir susiję su pirkimo objektu, </w:t>
      </w:r>
      <w:r w:rsidRPr="00192CFA">
        <w:rPr>
          <w:rFonts w:eastAsia="Times New Roman"/>
          <w:b/>
          <w:bCs/>
          <w:sz w:val="24"/>
          <w:szCs w:val="24"/>
        </w:rPr>
        <w:t>tikslūs ir aiškūs</w:t>
      </w:r>
      <w:r w:rsidRPr="00192CFA">
        <w:rPr>
          <w:rFonts w:eastAsia="Times New Roman"/>
          <w:sz w:val="24"/>
          <w:szCs w:val="24"/>
        </w:rPr>
        <w:t xml:space="preserve"> &lt;..&gt;“, 7 dalyje nustatyta, kad „Tiekėjo kvalifikacijos reikalavimai nustatomi pagal Viešųjų pirkimų tarnybos patvirtintą tiekėjo kvalifikacijos reikalavimų nustatymo metodiką“</w:t>
      </w:r>
      <w:r w:rsidR="008C1D1C" w:rsidRPr="00192CFA">
        <w:rPr>
          <w:rFonts w:eastAsia="Times New Roman"/>
          <w:sz w:val="24"/>
          <w:szCs w:val="24"/>
        </w:rPr>
        <w:t xml:space="preserve"> (toliau – Metodika</w:t>
      </w:r>
      <w:r w:rsidR="008C1D1C" w:rsidRPr="00192CFA">
        <w:rPr>
          <w:rStyle w:val="FootnoteReference"/>
          <w:rFonts w:eastAsia="Times New Roman"/>
          <w:sz w:val="24"/>
          <w:szCs w:val="24"/>
        </w:rPr>
        <w:footnoteReference w:id="1"/>
      </w:r>
      <w:r w:rsidR="008C1D1C" w:rsidRPr="00192CFA">
        <w:rPr>
          <w:rFonts w:eastAsia="Times New Roman"/>
          <w:sz w:val="24"/>
          <w:szCs w:val="24"/>
        </w:rPr>
        <w:t>)</w:t>
      </w:r>
      <w:r w:rsidRPr="00192CFA">
        <w:rPr>
          <w:rFonts w:eastAsia="Times New Roman"/>
          <w:sz w:val="24"/>
          <w:szCs w:val="24"/>
        </w:rPr>
        <w:t>.</w:t>
      </w:r>
    </w:p>
    <w:p w14:paraId="5A959B8B" w14:textId="3F899E68" w:rsidR="00C95E05" w:rsidRPr="00192CFA" w:rsidRDefault="00296535" w:rsidP="00AE509B">
      <w:pPr>
        <w:pStyle w:val="ListParagraph"/>
        <w:numPr>
          <w:ilvl w:val="0"/>
          <w:numId w:val="7"/>
        </w:numPr>
        <w:tabs>
          <w:tab w:val="left" w:pos="1080"/>
          <w:tab w:val="left" w:pos="1170"/>
        </w:tabs>
        <w:ind w:left="0" w:firstLine="720"/>
        <w:rPr>
          <w:sz w:val="24"/>
          <w:szCs w:val="24"/>
        </w:rPr>
      </w:pPr>
      <w:r w:rsidRPr="00192CFA">
        <w:rPr>
          <w:rFonts w:eastAsia="Times New Roman"/>
          <w:sz w:val="24"/>
          <w:szCs w:val="24"/>
        </w:rPr>
        <w:t xml:space="preserve">Pirkimo </w:t>
      </w:r>
      <w:r w:rsidRPr="00F74731">
        <w:rPr>
          <w:rFonts w:eastAsia="Times New Roman"/>
          <w:sz w:val="24"/>
          <w:szCs w:val="24"/>
        </w:rPr>
        <w:t xml:space="preserve">sąlygų </w:t>
      </w:r>
      <w:r w:rsidR="008548AB" w:rsidRPr="00F74731">
        <w:rPr>
          <w:sz w:val="24"/>
          <w:szCs w:val="24"/>
        </w:rPr>
        <w:t>5.1.1</w:t>
      </w:r>
      <w:r w:rsidRPr="00F74731">
        <w:rPr>
          <w:sz w:val="24"/>
          <w:szCs w:val="24"/>
        </w:rPr>
        <w:t xml:space="preserve"> papunktyje</w:t>
      </w:r>
      <w:r w:rsidR="00C95E05">
        <w:rPr>
          <w:sz w:val="24"/>
          <w:szCs w:val="24"/>
        </w:rPr>
        <w:t xml:space="preserve"> </w:t>
      </w:r>
      <w:r w:rsidR="00C95E05" w:rsidRPr="00F74731">
        <w:rPr>
          <w:sz w:val="24"/>
          <w:szCs w:val="24"/>
        </w:rPr>
        <w:t>nustatytas kvalifikacijos reikalavimas</w:t>
      </w:r>
      <w:r w:rsidR="00C95E05" w:rsidRPr="00192CFA">
        <w:rPr>
          <w:b/>
          <w:bCs/>
          <w:sz w:val="24"/>
          <w:szCs w:val="24"/>
        </w:rPr>
        <w:t xml:space="preserve"> </w:t>
      </w:r>
      <w:r w:rsidR="00C95E05" w:rsidRPr="00F74731">
        <w:rPr>
          <w:sz w:val="24"/>
          <w:szCs w:val="24"/>
        </w:rPr>
        <w:t>„</w:t>
      </w:r>
      <w:r w:rsidR="00C95E05" w:rsidRPr="00192CFA">
        <w:rPr>
          <w:sz w:val="24"/>
          <w:szCs w:val="24"/>
        </w:rPr>
        <w:t>Tiekėjas turi turėti vadovaujančius specialistus statybos darbams atlikti (</w:t>
      </w:r>
      <w:r w:rsidR="00C95E05" w:rsidRPr="00EE4314">
        <w:rPr>
          <w:b/>
          <w:bCs/>
          <w:sz w:val="24"/>
          <w:szCs w:val="24"/>
        </w:rPr>
        <w:t>paskirtis Gyvenamasis pastatas, pastato paskirties grupė ir pastato paskirtis – įvairių socialinių grupių</w:t>
      </w:r>
      <w:r w:rsidR="00C95E05" w:rsidRPr="00192CFA">
        <w:rPr>
          <w:sz w:val="24"/>
          <w:szCs w:val="24"/>
        </w:rPr>
        <w:t xml:space="preserve">): a) Statinio statybos darbų vadovą; b) Statinio statybos specialiųjų darbų (šildymo, vėdinimo, vandentiekio ir nuotekų, elektros, gaisrinės saugos (signalizacijos), inžinerinių sistemų įrengimo) vadovus”. </w:t>
      </w:r>
      <w:r w:rsidR="004E727A">
        <w:rPr>
          <w:sz w:val="24"/>
          <w:szCs w:val="24"/>
        </w:rPr>
        <w:t xml:space="preserve">Siekdamas įrodyti atitiktį nustatytam reikalavimui tiekėjas </w:t>
      </w:r>
      <w:r w:rsidR="007965EE">
        <w:rPr>
          <w:sz w:val="24"/>
          <w:szCs w:val="24"/>
        </w:rPr>
        <w:t xml:space="preserve">turi pateikti </w:t>
      </w:r>
      <w:r w:rsidR="00C95E05" w:rsidRPr="00192CFA">
        <w:rPr>
          <w:b/>
          <w:bCs/>
          <w:sz w:val="24"/>
          <w:szCs w:val="24"/>
        </w:rPr>
        <w:t>„</w:t>
      </w:r>
      <w:r w:rsidR="00C95E05" w:rsidRPr="00192CFA">
        <w:rPr>
          <w:sz w:val="24"/>
          <w:szCs w:val="24"/>
        </w:rPr>
        <w:t>&lt;..&gt; LR Aplinkos ministerijos ar VĮ „Statybos sektoriaus vystymo agentūra“ nustatyta tvarka išduoti ir galiojantys kvalifikacijos atestatai arba lygiaverčiai dokumentai (4 priedas). Jei dalyvauja kitos šalies tiekėjai – jie turi pateikti jų kilmės šalyje siūlomo (-ų) specialisto (-ų) turimą teisę užsiimti atitinkama veikla patvirtinantį (-</w:t>
      </w:r>
      <w:proofErr w:type="spellStart"/>
      <w:r w:rsidR="00C95E05" w:rsidRPr="00192CFA">
        <w:rPr>
          <w:sz w:val="24"/>
          <w:szCs w:val="24"/>
        </w:rPr>
        <w:t>čius</w:t>
      </w:r>
      <w:proofErr w:type="spellEnd"/>
      <w:r w:rsidR="00C95E05" w:rsidRPr="00192CFA">
        <w:rPr>
          <w:sz w:val="24"/>
          <w:szCs w:val="24"/>
        </w:rPr>
        <w:t>) dokumentą (-</w:t>
      </w:r>
      <w:proofErr w:type="spellStart"/>
      <w:r w:rsidR="00C95E05" w:rsidRPr="00192CFA">
        <w:rPr>
          <w:sz w:val="24"/>
          <w:szCs w:val="24"/>
        </w:rPr>
        <w:t>us</w:t>
      </w:r>
      <w:proofErr w:type="spellEnd"/>
      <w:r w:rsidR="00C95E05" w:rsidRPr="00192CFA">
        <w:rPr>
          <w:sz w:val="24"/>
          <w:szCs w:val="24"/>
        </w:rPr>
        <w:t xml:space="preserve">) ir Lietuvos Respublikos aplinkos ministerijos nustatyta tvarka </w:t>
      </w:r>
      <w:proofErr w:type="spellStart"/>
      <w:r w:rsidR="00C95E05" w:rsidRPr="00192CFA">
        <w:rPr>
          <w:sz w:val="24"/>
          <w:szCs w:val="24"/>
        </w:rPr>
        <w:t>išduotą</w:t>
      </w:r>
      <w:proofErr w:type="spellEnd"/>
      <w:r w:rsidR="00C95E05" w:rsidRPr="00192CFA">
        <w:rPr>
          <w:sz w:val="24"/>
          <w:szCs w:val="24"/>
        </w:rPr>
        <w:t xml:space="preserve"> </w:t>
      </w:r>
      <w:proofErr w:type="spellStart"/>
      <w:r w:rsidR="00C95E05" w:rsidRPr="00192CFA">
        <w:rPr>
          <w:sz w:val="24"/>
          <w:szCs w:val="24"/>
        </w:rPr>
        <w:t>teisės</w:t>
      </w:r>
      <w:proofErr w:type="spellEnd"/>
      <w:r w:rsidR="00C95E05" w:rsidRPr="00192CFA">
        <w:rPr>
          <w:sz w:val="24"/>
          <w:szCs w:val="24"/>
        </w:rPr>
        <w:t xml:space="preserve"> pripažinimo dokumentą, kuris turi būti pateiktas iki sutarties pasirašymo dienos. &lt;..&gt;“.</w:t>
      </w:r>
      <w:r w:rsidR="0029017B">
        <w:rPr>
          <w:sz w:val="24"/>
          <w:szCs w:val="24"/>
        </w:rPr>
        <w:t xml:space="preserve"> </w:t>
      </w:r>
      <w:r w:rsidR="007965EE" w:rsidRPr="00192CFA">
        <w:rPr>
          <w:sz w:val="24"/>
          <w:szCs w:val="24"/>
        </w:rPr>
        <w:t>Taip pat nurodyta, kad šį reikalavimą turi atitikti</w:t>
      </w:r>
      <w:r w:rsidR="0029017B" w:rsidRPr="00192CFA">
        <w:rPr>
          <w:sz w:val="24"/>
          <w:szCs w:val="24"/>
        </w:rPr>
        <w:t xml:space="preserve"> </w:t>
      </w:r>
      <w:r w:rsidR="0029017B" w:rsidRPr="00192CFA">
        <w:rPr>
          <w:b/>
          <w:bCs/>
          <w:sz w:val="24"/>
          <w:szCs w:val="24"/>
        </w:rPr>
        <w:t>„</w:t>
      </w:r>
      <w:r w:rsidR="0029017B" w:rsidRPr="00192CFA">
        <w:rPr>
          <w:sz w:val="24"/>
          <w:szCs w:val="24"/>
        </w:rPr>
        <w:t xml:space="preserve">Jeigu pasiūlymą teikia ūkio subjektų grupė – reikalavimą turi atitikti </w:t>
      </w:r>
      <w:r w:rsidR="0029017B" w:rsidRPr="00192CFA">
        <w:rPr>
          <w:b/>
          <w:bCs/>
          <w:sz w:val="24"/>
          <w:szCs w:val="24"/>
        </w:rPr>
        <w:t>kiekvienas ūkio subjektų grupės narys (-</w:t>
      </w:r>
      <w:proofErr w:type="spellStart"/>
      <w:r w:rsidR="0029017B" w:rsidRPr="00192CFA">
        <w:rPr>
          <w:b/>
          <w:bCs/>
          <w:sz w:val="24"/>
          <w:szCs w:val="24"/>
        </w:rPr>
        <w:t>iai</w:t>
      </w:r>
      <w:proofErr w:type="spellEnd"/>
      <w:r w:rsidR="0029017B" w:rsidRPr="00192CFA">
        <w:rPr>
          <w:b/>
          <w:bCs/>
          <w:sz w:val="24"/>
          <w:szCs w:val="24"/>
        </w:rPr>
        <w:t>)</w:t>
      </w:r>
      <w:r w:rsidR="0029017B" w:rsidRPr="00192CFA">
        <w:rPr>
          <w:sz w:val="24"/>
          <w:szCs w:val="24"/>
        </w:rPr>
        <w:t>, pagal jų prisiimamus įsipareigojimus pirkimo sutarčiai vykdyti &lt;..&gt;“.</w:t>
      </w:r>
    </w:p>
    <w:p w14:paraId="54F57E06" w14:textId="7F20A20B" w:rsidR="005A0670" w:rsidRPr="002C275C" w:rsidRDefault="002C275C" w:rsidP="00AE509B">
      <w:pPr>
        <w:pStyle w:val="ListParagraph"/>
        <w:numPr>
          <w:ilvl w:val="1"/>
          <w:numId w:val="7"/>
        </w:numPr>
        <w:tabs>
          <w:tab w:val="left" w:pos="1080"/>
          <w:tab w:val="left" w:pos="1170"/>
        </w:tabs>
        <w:ind w:left="0" w:firstLine="720"/>
        <w:rPr>
          <w:sz w:val="24"/>
          <w:szCs w:val="24"/>
        </w:rPr>
      </w:pPr>
      <w:r>
        <w:rPr>
          <w:rStyle w:val="normaltextrun"/>
          <w:rFonts w:eastAsiaTheme="majorEastAsia"/>
          <w:sz w:val="24"/>
          <w:szCs w:val="24"/>
        </w:rPr>
        <w:t xml:space="preserve"> </w:t>
      </w:r>
      <w:r w:rsidR="00940CDA" w:rsidRPr="002C275C">
        <w:rPr>
          <w:rStyle w:val="normaltextrun"/>
          <w:rFonts w:eastAsiaTheme="majorEastAsia"/>
          <w:sz w:val="24"/>
          <w:szCs w:val="24"/>
        </w:rPr>
        <w:t xml:space="preserve">Įvertinus pasikeitusi statybos </w:t>
      </w:r>
      <w:r w:rsidR="004A0CB2">
        <w:rPr>
          <w:rStyle w:val="normaltextrun"/>
          <w:rFonts w:eastAsiaTheme="majorEastAsia"/>
          <w:sz w:val="24"/>
          <w:szCs w:val="24"/>
        </w:rPr>
        <w:t xml:space="preserve">srities </w:t>
      </w:r>
      <w:r w:rsidR="00940CDA" w:rsidRPr="002C275C">
        <w:rPr>
          <w:rStyle w:val="normaltextrun"/>
          <w:rFonts w:eastAsiaTheme="majorEastAsia"/>
          <w:sz w:val="24"/>
          <w:szCs w:val="24"/>
        </w:rPr>
        <w:t xml:space="preserve">teisės reglamentavimą bei siekiant užtikrinti aiškumą, </w:t>
      </w:r>
      <w:r w:rsidR="005A0670" w:rsidRPr="002C275C">
        <w:rPr>
          <w:rFonts w:eastAsia="Calibri"/>
          <w:sz w:val="24"/>
          <w:szCs w:val="24"/>
        </w:rPr>
        <w:t xml:space="preserve">kaip bus vertinami tiekėjo specialistų kvalifikacijos atestatai, </w:t>
      </w:r>
      <w:r w:rsidR="00D76E70">
        <w:rPr>
          <w:rFonts w:eastAsia="Calibri"/>
          <w:sz w:val="24"/>
          <w:szCs w:val="24"/>
        </w:rPr>
        <w:t xml:space="preserve">rekomenduotina reikalavimą </w:t>
      </w:r>
      <w:r w:rsidR="00D76E70" w:rsidRPr="00D76E70">
        <w:rPr>
          <w:rFonts w:eastAsia="Calibri"/>
          <w:sz w:val="24"/>
          <w:szCs w:val="24"/>
        </w:rPr>
        <w:t xml:space="preserve">papildyti pastaba, kad </w:t>
      </w:r>
      <w:r w:rsidR="004A0CB2">
        <w:rPr>
          <w:rFonts w:eastAsia="Calibri"/>
          <w:sz w:val="24"/>
          <w:szCs w:val="24"/>
        </w:rPr>
        <w:t>„K</w:t>
      </w:r>
      <w:r w:rsidR="00D76E70" w:rsidRPr="00D76E70">
        <w:rPr>
          <w:rFonts w:eastAsia="Calibri"/>
          <w:sz w:val="24"/>
          <w:szCs w:val="24"/>
        </w:rPr>
        <w:t>aip kvalifikaciją atitinkantys dokumentai bus priimtini ir atestatai, kuriuose nurodyta visa reikalaujama statinių grupė</w:t>
      </w:r>
      <w:r w:rsidR="00D76E70">
        <w:rPr>
          <w:rFonts w:eastAsia="Calibri"/>
          <w:sz w:val="24"/>
          <w:szCs w:val="24"/>
        </w:rPr>
        <w:t>/pastato paskirtis</w:t>
      </w:r>
      <w:r w:rsidR="00D76E70" w:rsidRPr="00D76E70">
        <w:rPr>
          <w:rFonts w:eastAsia="Calibri"/>
          <w:sz w:val="24"/>
          <w:szCs w:val="24"/>
        </w:rPr>
        <w:t xml:space="preserve"> (neišskirti/nenurodyti pogrupiai</w:t>
      </w:r>
      <w:r w:rsidR="00D76E70">
        <w:rPr>
          <w:rFonts w:eastAsia="Calibri"/>
          <w:sz w:val="24"/>
          <w:szCs w:val="24"/>
        </w:rPr>
        <w:t>/paskirties grupė</w:t>
      </w:r>
      <w:r w:rsidR="00D76E70" w:rsidRPr="00D76E70">
        <w:rPr>
          <w:rFonts w:eastAsia="Calibri"/>
          <w:sz w:val="24"/>
          <w:szCs w:val="24"/>
        </w:rPr>
        <w:t>) bei atestatai, suteikiantys teisę atlikti darbus konkrečiame gyvenamųjų pastatų pogrupyje</w:t>
      </w:r>
      <w:r w:rsidR="004A0CB2">
        <w:rPr>
          <w:rFonts w:eastAsia="Calibri"/>
          <w:sz w:val="24"/>
          <w:szCs w:val="24"/>
        </w:rPr>
        <w:t>/paskirties grupėje</w:t>
      </w:r>
      <w:r w:rsidR="00D76E70" w:rsidRPr="00D76E70">
        <w:rPr>
          <w:rFonts w:eastAsia="Calibri"/>
          <w:sz w:val="24"/>
          <w:szCs w:val="24"/>
        </w:rPr>
        <w:t>. Taip pat bus tinkamu laikomas ir atestatas, kuriame nu</w:t>
      </w:r>
      <w:r w:rsidR="004A0CB2">
        <w:rPr>
          <w:rFonts w:eastAsia="Calibri"/>
          <w:sz w:val="24"/>
          <w:szCs w:val="24"/>
        </w:rPr>
        <w:t>rodyta pastatų paskirtis</w:t>
      </w:r>
      <w:r w:rsidR="00D76E70" w:rsidRPr="00D76E70">
        <w:rPr>
          <w:rFonts w:eastAsia="Calibri"/>
          <w:sz w:val="24"/>
          <w:szCs w:val="24"/>
        </w:rPr>
        <w:t xml:space="preserve"> „gyvenamieji ir negyvenamieji pastatai“.</w:t>
      </w:r>
      <w:r w:rsidR="004A0CB2">
        <w:rPr>
          <w:rFonts w:eastAsia="Calibri"/>
          <w:sz w:val="24"/>
          <w:szCs w:val="24"/>
        </w:rPr>
        <w:t xml:space="preserve"> </w:t>
      </w:r>
    </w:p>
    <w:p w14:paraId="2F7CF7AD" w14:textId="21AE428C" w:rsidR="00683223" w:rsidRPr="00192CFA" w:rsidRDefault="00683223" w:rsidP="00FF3851">
      <w:pPr>
        <w:pStyle w:val="paragraph"/>
        <w:numPr>
          <w:ilvl w:val="1"/>
          <w:numId w:val="7"/>
        </w:numPr>
        <w:tabs>
          <w:tab w:val="left" w:pos="990"/>
          <w:tab w:val="left" w:pos="1170"/>
        </w:tabs>
        <w:spacing w:before="0" w:beforeAutospacing="0" w:after="0" w:afterAutospacing="0"/>
        <w:ind w:left="0" w:firstLine="720"/>
        <w:textAlignment w:val="baseline"/>
        <w:rPr>
          <w:rFonts w:ascii="Calibri" w:hAnsi="Calibri" w:cs="Calibri"/>
          <w:lang w:val="lt-LT" w:eastAsia="lt-LT"/>
        </w:rPr>
      </w:pPr>
      <w:r w:rsidRPr="00192CFA">
        <w:rPr>
          <w:rFonts w:ascii="Calibri" w:hAnsi="Calibri" w:cs="Calibri"/>
          <w:lang w:val="lt-LT"/>
        </w:rPr>
        <w:lastRenderedPageBreak/>
        <w:t xml:space="preserve">Tarnyba rekomenduoja patikslinti </w:t>
      </w:r>
      <w:r w:rsidR="00EE4314">
        <w:rPr>
          <w:rFonts w:ascii="Calibri" w:hAnsi="Calibri" w:cs="Calibri"/>
          <w:lang w:val="lt-LT"/>
        </w:rPr>
        <w:t>atitiktį</w:t>
      </w:r>
      <w:r w:rsidR="00EE4314" w:rsidRPr="00192CFA">
        <w:rPr>
          <w:rFonts w:ascii="Calibri" w:hAnsi="Calibri" w:cs="Calibri"/>
          <w:lang w:val="lt-LT"/>
        </w:rPr>
        <w:t xml:space="preserve"> </w:t>
      </w:r>
      <w:r w:rsidRPr="00192CFA">
        <w:rPr>
          <w:rFonts w:ascii="Calibri" w:hAnsi="Calibri" w:cs="Calibri"/>
          <w:lang w:val="lt-LT"/>
        </w:rPr>
        <w:t xml:space="preserve">kvalifikacijos </w:t>
      </w:r>
      <w:r w:rsidR="00EE4314" w:rsidRPr="00192CFA">
        <w:rPr>
          <w:rFonts w:ascii="Calibri" w:hAnsi="Calibri" w:cs="Calibri"/>
          <w:lang w:val="lt-LT"/>
        </w:rPr>
        <w:t>reikalavim</w:t>
      </w:r>
      <w:r w:rsidR="00EE4314">
        <w:rPr>
          <w:rFonts w:ascii="Calibri" w:hAnsi="Calibri" w:cs="Calibri"/>
          <w:lang w:val="lt-LT"/>
        </w:rPr>
        <w:t>ui</w:t>
      </w:r>
      <w:r w:rsidR="00EE4314" w:rsidRPr="00192CFA">
        <w:rPr>
          <w:rFonts w:ascii="Calibri" w:hAnsi="Calibri" w:cs="Calibri"/>
          <w:lang w:val="lt-LT"/>
        </w:rPr>
        <w:t xml:space="preserve"> </w:t>
      </w:r>
      <w:r w:rsidRPr="00192CFA">
        <w:rPr>
          <w:rFonts w:ascii="Calibri" w:hAnsi="Calibri" w:cs="Calibri"/>
          <w:lang w:val="lt-LT"/>
        </w:rPr>
        <w:t xml:space="preserve">pagrindžiančius dokumentus, juose nurodant kokius dokumentus turi pateikti ne tik Lietuvos Respublikos ir užsienio šalių specialistai, bet taip pat ir trečiųjų šalių piliečiai. </w:t>
      </w:r>
      <w:r w:rsidRPr="00192CFA">
        <w:rPr>
          <w:rFonts w:ascii="Calibri" w:hAnsi="Calibri" w:cs="Calibri"/>
          <w:lang w:val="lt-LT" w:eastAsia="lt-LT"/>
        </w:rPr>
        <w:t xml:space="preserve">Tarnybos parengtose </w:t>
      </w:r>
      <w:hyperlink r:id="rId8" w:history="1">
        <w:r w:rsidRPr="00192CFA">
          <w:rPr>
            <w:rStyle w:val="Hyperlink"/>
            <w:rFonts w:ascii="Calibri" w:eastAsiaTheme="majorEastAsia" w:hAnsi="Calibri" w:cs="Calibri"/>
            <w:lang w:val="lt-LT" w:eastAsia="lt-LT"/>
          </w:rPr>
          <w:t>Statybos darbų pirkimo gairėse</w:t>
        </w:r>
      </w:hyperlink>
      <w:r w:rsidRPr="00192CFA">
        <w:rPr>
          <w:rFonts w:ascii="Calibri" w:hAnsi="Calibri" w:cs="Calibri"/>
          <w:lang w:val="lt-LT" w:eastAsia="lt-LT"/>
        </w:rPr>
        <w:t xml:space="preserve"> nurodyta, kas laikoma užsienio šalies tiekėjais / specialistais, bei nurodyta kokie reikalavimai taikomi trečiųjų šalių juridiniams asmenis / piliečiams ir kitiems fiziniams asmenims. </w:t>
      </w:r>
    </w:p>
    <w:p w14:paraId="4F48ED4A" w14:textId="023BFB41" w:rsidR="00450CCB" w:rsidRPr="00192CFA" w:rsidRDefault="007E409B" w:rsidP="00AE509B">
      <w:pPr>
        <w:pStyle w:val="ListParagraph"/>
        <w:numPr>
          <w:ilvl w:val="1"/>
          <w:numId w:val="7"/>
        </w:numPr>
        <w:shd w:val="clear" w:color="auto" w:fill="FFFFFF" w:themeFill="background1"/>
        <w:tabs>
          <w:tab w:val="left" w:pos="990"/>
          <w:tab w:val="left" w:pos="1170"/>
        </w:tabs>
        <w:ind w:left="0" w:firstLine="720"/>
        <w:rPr>
          <w:sz w:val="24"/>
          <w:szCs w:val="24"/>
        </w:rPr>
      </w:pPr>
      <w:r w:rsidRPr="00192CFA">
        <w:rPr>
          <w:sz w:val="24"/>
          <w:szCs w:val="24"/>
        </w:rPr>
        <w:t xml:space="preserve"> </w:t>
      </w:r>
      <w:r w:rsidR="007349F9" w:rsidRPr="00192CFA">
        <w:rPr>
          <w:sz w:val="24"/>
          <w:szCs w:val="24"/>
        </w:rPr>
        <w:t xml:space="preserve">Siekiant aiškumo, Tarnyba rekomenduoja </w:t>
      </w:r>
      <w:r w:rsidR="008B6819" w:rsidRPr="00192CFA">
        <w:rPr>
          <w:sz w:val="24"/>
          <w:szCs w:val="24"/>
        </w:rPr>
        <w:t xml:space="preserve">iš </w:t>
      </w:r>
      <w:r w:rsidR="0029017B">
        <w:rPr>
          <w:sz w:val="24"/>
          <w:szCs w:val="24"/>
        </w:rPr>
        <w:t xml:space="preserve">sakinio </w:t>
      </w:r>
      <w:r w:rsidR="0029017B" w:rsidRPr="00192CFA">
        <w:rPr>
          <w:b/>
          <w:bCs/>
          <w:sz w:val="24"/>
          <w:szCs w:val="24"/>
        </w:rPr>
        <w:t>„</w:t>
      </w:r>
      <w:r w:rsidR="0029017B" w:rsidRPr="00192CFA">
        <w:rPr>
          <w:sz w:val="24"/>
          <w:szCs w:val="24"/>
        </w:rPr>
        <w:t xml:space="preserve">Jeigu pasiūlymą teikia ūkio subjektų grupė – reikalavimą turi atitikti </w:t>
      </w:r>
      <w:r w:rsidR="0029017B" w:rsidRPr="00192CFA">
        <w:rPr>
          <w:b/>
          <w:bCs/>
          <w:sz w:val="24"/>
          <w:szCs w:val="24"/>
        </w:rPr>
        <w:t>kiekvienas ūkio subjektų grupės narys (-</w:t>
      </w:r>
      <w:proofErr w:type="spellStart"/>
      <w:r w:rsidR="0029017B" w:rsidRPr="00192CFA">
        <w:rPr>
          <w:b/>
          <w:bCs/>
          <w:sz w:val="24"/>
          <w:szCs w:val="24"/>
        </w:rPr>
        <w:t>iai</w:t>
      </w:r>
      <w:proofErr w:type="spellEnd"/>
      <w:r w:rsidR="0029017B" w:rsidRPr="00192CFA">
        <w:rPr>
          <w:b/>
          <w:bCs/>
          <w:sz w:val="24"/>
          <w:szCs w:val="24"/>
        </w:rPr>
        <w:t>)</w:t>
      </w:r>
      <w:r w:rsidR="0029017B" w:rsidRPr="00192CFA">
        <w:rPr>
          <w:sz w:val="24"/>
          <w:szCs w:val="24"/>
        </w:rPr>
        <w:t>, pagal jų prisiimamus įsipareigojimus pirkimo sutarčiai vykdyti; &lt;...&gt;“</w:t>
      </w:r>
      <w:r w:rsidR="008B6819" w:rsidRPr="00192CFA">
        <w:rPr>
          <w:sz w:val="24"/>
          <w:szCs w:val="24"/>
        </w:rPr>
        <w:t xml:space="preserve"> išbraukti žodį </w:t>
      </w:r>
      <w:r w:rsidR="007349F9" w:rsidRPr="00192CFA">
        <w:rPr>
          <w:sz w:val="24"/>
          <w:szCs w:val="24"/>
        </w:rPr>
        <w:t>„kiekvienas“</w:t>
      </w:r>
      <w:r w:rsidR="008B6819" w:rsidRPr="00192CFA">
        <w:rPr>
          <w:sz w:val="24"/>
          <w:szCs w:val="24"/>
        </w:rPr>
        <w:t xml:space="preserve">, </w:t>
      </w:r>
      <w:r w:rsidR="004A0CB2">
        <w:rPr>
          <w:sz w:val="24"/>
          <w:szCs w:val="24"/>
        </w:rPr>
        <w:t>o</w:t>
      </w:r>
      <w:r w:rsidR="008B6819" w:rsidRPr="00192CFA">
        <w:rPr>
          <w:sz w:val="24"/>
          <w:szCs w:val="24"/>
        </w:rPr>
        <w:t xml:space="preserve"> ateityje nustatant reikalavimus</w:t>
      </w:r>
      <w:r w:rsidR="00307C33" w:rsidRPr="00192CFA">
        <w:rPr>
          <w:sz w:val="24"/>
          <w:szCs w:val="24"/>
        </w:rPr>
        <w:t xml:space="preserve"> ir dokumentus įrodančius atitiktį nustatytiems</w:t>
      </w:r>
      <w:r w:rsidR="008B6819" w:rsidRPr="00192CFA">
        <w:rPr>
          <w:sz w:val="24"/>
          <w:szCs w:val="24"/>
        </w:rPr>
        <w:t xml:space="preserve"> </w:t>
      </w:r>
      <w:r w:rsidR="00307C33" w:rsidRPr="00192CFA">
        <w:rPr>
          <w:sz w:val="24"/>
          <w:szCs w:val="24"/>
        </w:rPr>
        <w:t>tiekėjų kvalifikacijos reikalavimams, formul</w:t>
      </w:r>
      <w:r w:rsidR="008C1D1C" w:rsidRPr="00192CFA">
        <w:rPr>
          <w:sz w:val="24"/>
          <w:szCs w:val="24"/>
        </w:rPr>
        <w:t xml:space="preserve">uoti </w:t>
      </w:r>
      <w:r w:rsidR="00580C10" w:rsidRPr="00192CFA">
        <w:rPr>
          <w:sz w:val="24"/>
          <w:szCs w:val="24"/>
        </w:rPr>
        <w:t xml:space="preserve">ir nustatyti </w:t>
      </w:r>
      <w:r w:rsidR="008C1D1C" w:rsidRPr="00192CFA">
        <w:rPr>
          <w:sz w:val="24"/>
          <w:szCs w:val="24"/>
        </w:rPr>
        <w:t>vadovaujantis Metodika</w:t>
      </w:r>
      <w:r w:rsidR="00DC77EB" w:rsidRPr="00192CFA">
        <w:rPr>
          <w:sz w:val="24"/>
          <w:szCs w:val="24"/>
        </w:rPr>
        <w:t xml:space="preserve"> </w:t>
      </w:r>
      <w:r w:rsidR="00AE509B">
        <w:rPr>
          <w:sz w:val="24"/>
          <w:szCs w:val="24"/>
        </w:rPr>
        <w:t xml:space="preserve">ir </w:t>
      </w:r>
      <w:r w:rsidR="00DC77EB" w:rsidRPr="00192CFA">
        <w:rPr>
          <w:sz w:val="24"/>
          <w:szCs w:val="24"/>
        </w:rPr>
        <w:t xml:space="preserve">gerąją praktiką </w:t>
      </w:r>
      <w:r w:rsidR="004A0CB2">
        <w:rPr>
          <w:sz w:val="24"/>
          <w:szCs w:val="24"/>
        </w:rPr>
        <w:t xml:space="preserve">atsižvelgiant į </w:t>
      </w:r>
      <w:r w:rsidR="00DC77EB" w:rsidRPr="00192CFA">
        <w:rPr>
          <w:sz w:val="24"/>
          <w:szCs w:val="24"/>
        </w:rPr>
        <w:t xml:space="preserve"> </w:t>
      </w:r>
      <w:hyperlink r:id="rId9" w:history="1">
        <w:r w:rsidR="00DC77EB" w:rsidRPr="00192CFA">
          <w:rPr>
            <w:rStyle w:val="Hyperlink"/>
            <w:sz w:val="24"/>
            <w:szCs w:val="24"/>
          </w:rPr>
          <w:t>Statybos darbų pirkimų gairių</w:t>
        </w:r>
      </w:hyperlink>
      <w:r w:rsidR="00DC77EB" w:rsidRPr="00192CFA">
        <w:rPr>
          <w:sz w:val="24"/>
          <w:szCs w:val="24"/>
        </w:rPr>
        <w:t>.</w:t>
      </w:r>
    </w:p>
    <w:p w14:paraId="287A0FE4" w14:textId="6A0E5F95" w:rsidR="00EA4849" w:rsidRPr="00192CFA" w:rsidRDefault="00EA4849" w:rsidP="00FF3851">
      <w:pPr>
        <w:pStyle w:val="ListParagraph"/>
        <w:numPr>
          <w:ilvl w:val="0"/>
          <w:numId w:val="7"/>
        </w:numPr>
        <w:shd w:val="clear" w:color="auto" w:fill="FFFFFF" w:themeFill="background1"/>
        <w:tabs>
          <w:tab w:val="left" w:pos="990"/>
          <w:tab w:val="left" w:pos="1080"/>
        </w:tabs>
        <w:ind w:left="0" w:firstLine="720"/>
        <w:rPr>
          <w:sz w:val="24"/>
          <w:szCs w:val="24"/>
        </w:rPr>
      </w:pPr>
      <w:r w:rsidRPr="00192CFA">
        <w:rPr>
          <w:sz w:val="24"/>
          <w:szCs w:val="24"/>
        </w:rPr>
        <w:t xml:space="preserve">   </w:t>
      </w:r>
      <w:r w:rsidR="007E409B" w:rsidRPr="00192CFA">
        <w:rPr>
          <w:sz w:val="24"/>
          <w:szCs w:val="24"/>
        </w:rPr>
        <w:t>Pirkimo sąlygų 5.1.2 papunktyje nustatytas kvalifikacijos reikalavimas „</w:t>
      </w:r>
      <w:r w:rsidR="003365C7" w:rsidRPr="00192CFA">
        <w:rPr>
          <w:sz w:val="24"/>
          <w:szCs w:val="24"/>
        </w:rPr>
        <w:t xml:space="preserve">Per pastaruosius 5 metus arba per laiką nuo tiekėjo įregistravimo dienos (jei tiekėjas vykdė veiklą mažiau nei 5 metus) turi būti sėkmingai įvykdęs arba šiuo metu vykdyti bent </w:t>
      </w:r>
      <w:r w:rsidR="003365C7" w:rsidRPr="00192CFA">
        <w:rPr>
          <w:b/>
          <w:bCs/>
          <w:sz w:val="24"/>
          <w:szCs w:val="24"/>
        </w:rPr>
        <w:t>vieną statybos darbų sutartį (paskirtis gyvenamasis pastatas), kurios vertė ne mažesnė nei 0,5 pirkimo objekto vertės</w:t>
      </w:r>
      <w:r w:rsidR="003365C7" w:rsidRPr="00192CFA">
        <w:rPr>
          <w:sz w:val="24"/>
          <w:szCs w:val="24"/>
        </w:rPr>
        <w:t>“</w:t>
      </w:r>
      <w:r w:rsidR="006043FB" w:rsidRPr="00192CFA">
        <w:rPr>
          <w:sz w:val="24"/>
          <w:szCs w:val="24"/>
        </w:rPr>
        <w:t xml:space="preserve">. </w:t>
      </w:r>
      <w:r w:rsidR="00F90469" w:rsidRPr="00192CFA">
        <w:rPr>
          <w:sz w:val="24"/>
          <w:szCs w:val="24"/>
        </w:rPr>
        <w:t xml:space="preserve">Tiekėjas siekdamas įrodyti atitiktį nustatytam reikalavimui turi pateikti „Atliktų </w:t>
      </w:r>
      <w:r w:rsidR="00F90469" w:rsidRPr="00AE509B">
        <w:rPr>
          <w:b/>
          <w:bCs/>
          <w:sz w:val="24"/>
          <w:szCs w:val="24"/>
        </w:rPr>
        <w:t>darbų sąrašą</w:t>
      </w:r>
      <w:r w:rsidR="00F90469" w:rsidRPr="00192CFA">
        <w:rPr>
          <w:sz w:val="24"/>
          <w:szCs w:val="24"/>
        </w:rPr>
        <w:t xml:space="preserve"> kartu su užsakovų pažymomis apie tai, kad </w:t>
      </w:r>
      <w:r w:rsidR="00F90469" w:rsidRPr="00192CFA">
        <w:rPr>
          <w:b/>
          <w:bCs/>
          <w:sz w:val="24"/>
          <w:szCs w:val="24"/>
        </w:rPr>
        <w:t>svarbiausi</w:t>
      </w:r>
      <w:r w:rsidR="000E6665" w:rsidRPr="00192CFA">
        <w:rPr>
          <w:b/>
          <w:bCs/>
          <w:sz w:val="24"/>
          <w:szCs w:val="24"/>
        </w:rPr>
        <w:t xml:space="preserve"> statybos darbai buvo atlikti</w:t>
      </w:r>
      <w:r w:rsidR="000E6665" w:rsidRPr="00192CFA">
        <w:rPr>
          <w:sz w:val="24"/>
          <w:szCs w:val="24"/>
        </w:rPr>
        <w:t xml:space="preserve"> tinkamai (5 priedas)</w:t>
      </w:r>
      <w:r w:rsidR="00CC61EA" w:rsidRPr="00192CFA">
        <w:rPr>
          <w:sz w:val="24"/>
          <w:szCs w:val="24"/>
        </w:rPr>
        <w:t>“</w:t>
      </w:r>
      <w:r w:rsidR="000E6665" w:rsidRPr="00192CFA">
        <w:rPr>
          <w:sz w:val="24"/>
          <w:szCs w:val="24"/>
        </w:rPr>
        <w:t xml:space="preserve">. </w:t>
      </w:r>
      <w:r w:rsidR="00BE5756" w:rsidRPr="00192CFA">
        <w:rPr>
          <w:sz w:val="24"/>
          <w:szCs w:val="24"/>
        </w:rPr>
        <w:t>Taip pat nurodyt</w:t>
      </w:r>
      <w:r w:rsidRPr="00192CFA">
        <w:rPr>
          <w:sz w:val="24"/>
          <w:szCs w:val="24"/>
        </w:rPr>
        <w:t>a, kad šį reikalavimą turi atitikti „Tiekėjas ir (arba) ūkio subjektų grupė kartu, subtiekėjai ar kiti asmenys, kurių pajėgumais remiasi tiekėjas“.</w:t>
      </w:r>
    </w:p>
    <w:p w14:paraId="0F7EA023" w14:textId="7BCBD736" w:rsidR="002E505C" w:rsidRPr="00192CFA" w:rsidRDefault="002E505C" w:rsidP="00FF3851">
      <w:pPr>
        <w:pStyle w:val="ListParagraph"/>
        <w:numPr>
          <w:ilvl w:val="1"/>
          <w:numId w:val="7"/>
        </w:numPr>
        <w:shd w:val="clear" w:color="auto" w:fill="FFFFFF" w:themeFill="background1"/>
        <w:tabs>
          <w:tab w:val="left" w:pos="990"/>
          <w:tab w:val="left" w:pos="1260"/>
        </w:tabs>
        <w:ind w:left="0" w:firstLine="720"/>
        <w:rPr>
          <w:sz w:val="24"/>
          <w:szCs w:val="24"/>
        </w:rPr>
      </w:pPr>
      <w:r w:rsidRPr="00192CFA">
        <w:rPr>
          <w:rFonts w:eastAsia="Calibri"/>
          <w:sz w:val="24"/>
          <w:szCs w:val="24"/>
        </w:rPr>
        <w:t xml:space="preserve">Tiekėjo darbų patirties skaičiavimo taisyklė priklauso nuo to, ar pirkimo objektas yra dalus ar ne. Kriterijai bei paaiškinimai, kaip </w:t>
      </w:r>
      <w:r w:rsidR="004A0CB2">
        <w:rPr>
          <w:rFonts w:eastAsia="Calibri"/>
          <w:sz w:val="24"/>
          <w:szCs w:val="24"/>
        </w:rPr>
        <w:t xml:space="preserve">vertinti </w:t>
      </w:r>
      <w:r w:rsidRPr="00192CFA">
        <w:rPr>
          <w:rFonts w:eastAsia="Calibri"/>
          <w:sz w:val="24"/>
          <w:szCs w:val="24"/>
        </w:rPr>
        <w:t xml:space="preserve">ar pirkimo objektas yra dalus ar ne, yra nustatyti </w:t>
      </w:r>
      <w:hyperlink r:id="rId10">
        <w:r w:rsidRPr="00192CFA">
          <w:rPr>
            <w:rStyle w:val="Hyperlink"/>
            <w:rFonts w:eastAsia="Calibri"/>
            <w:color w:val="0563C1"/>
            <w:sz w:val="24"/>
            <w:szCs w:val="24"/>
          </w:rPr>
          <w:t xml:space="preserve"> Metodikos</w:t>
        </w:r>
      </w:hyperlink>
      <w:r w:rsidRPr="00192CFA">
        <w:rPr>
          <w:rFonts w:eastAsia="Calibri"/>
          <w:sz w:val="24"/>
          <w:szCs w:val="24"/>
        </w:rPr>
        <w:t xml:space="preserve"> 16 punkte, kur nurodyta, jog pirkimo objektas yra nedalus, kai i) &lt;...&gt; perkamas vienos informacinės sistemos kūrimas, perkamos vieno pastato projektavimo paslaugos ir pan.); ii) arba kai pirkimo sutartis bus sudaroma dėl galutinio rezultato sukūrimo; iii) arba kai negalima nustatyti ar tinkamai pristatytos ir sumontuotos, suteiktos paslaugos, ar atlikti darbai, kol nėra galutinio rezultato. Tokiais atvejais, tiekėjo panašių darbų atlikimo patirtis turi būti įgyta pagal vieną ar kelias sutartis dėl to paties objekto.</w:t>
      </w:r>
    </w:p>
    <w:p w14:paraId="73684FA5" w14:textId="2F06BFCD" w:rsidR="00C03920" w:rsidRPr="00192CFA" w:rsidRDefault="002E505C" w:rsidP="00192CFA">
      <w:pPr>
        <w:ind w:firstLine="720"/>
        <w:rPr>
          <w:sz w:val="24"/>
          <w:szCs w:val="24"/>
        </w:rPr>
      </w:pPr>
      <w:r w:rsidRPr="00192CFA">
        <w:rPr>
          <w:rFonts w:eastAsia="Calibri"/>
          <w:sz w:val="24"/>
          <w:szCs w:val="24"/>
        </w:rPr>
        <w:t xml:space="preserve">Jeigu pirkimo objektas yra dalus, </w:t>
      </w:r>
      <w:r w:rsidR="003053C9">
        <w:rPr>
          <w:rFonts w:eastAsia="Calibri"/>
          <w:sz w:val="24"/>
          <w:szCs w:val="24"/>
        </w:rPr>
        <w:t>t</w:t>
      </w:r>
      <w:r w:rsidRPr="00192CFA">
        <w:rPr>
          <w:rFonts w:eastAsia="Calibri"/>
          <w:sz w:val="24"/>
          <w:szCs w:val="24"/>
        </w:rPr>
        <w:t xml:space="preserve">iekėjas patirtį gali įrodinėti pagal vieną ar daugiau įvykdytų, ar tebevykdomų sutarčių </w:t>
      </w:r>
      <w:r w:rsidR="003053C9">
        <w:rPr>
          <w:rFonts w:eastAsia="Calibri"/>
          <w:sz w:val="24"/>
          <w:szCs w:val="24"/>
        </w:rPr>
        <w:t xml:space="preserve">atliktais darbais </w:t>
      </w:r>
      <w:r w:rsidRPr="00192CFA">
        <w:rPr>
          <w:rFonts w:eastAsia="Calibri"/>
          <w:sz w:val="24"/>
          <w:szCs w:val="24"/>
        </w:rPr>
        <w:t>(</w:t>
      </w:r>
      <w:hyperlink r:id="rId11">
        <w:r w:rsidR="000B5DB6" w:rsidRPr="00192CFA">
          <w:rPr>
            <w:rStyle w:val="Hyperlink"/>
            <w:rFonts w:eastAsia="Calibri"/>
            <w:color w:val="0563C1"/>
            <w:sz w:val="24"/>
            <w:szCs w:val="24"/>
          </w:rPr>
          <w:t>M</w:t>
        </w:r>
        <w:r w:rsidRPr="00192CFA">
          <w:rPr>
            <w:rStyle w:val="Hyperlink"/>
            <w:rFonts w:eastAsia="Calibri"/>
            <w:color w:val="0563C1"/>
            <w:sz w:val="24"/>
            <w:szCs w:val="24"/>
          </w:rPr>
          <w:t>etodikos</w:t>
        </w:r>
      </w:hyperlink>
      <w:r w:rsidRPr="00192CFA">
        <w:rPr>
          <w:rFonts w:eastAsia="Calibri"/>
          <w:sz w:val="24"/>
          <w:szCs w:val="24"/>
        </w:rPr>
        <w:t xml:space="preserve"> 16 punktas).</w:t>
      </w:r>
    </w:p>
    <w:p w14:paraId="20A93821" w14:textId="31B30E09" w:rsidR="002E505C" w:rsidRPr="00192CFA" w:rsidRDefault="00C00BD9" w:rsidP="00192CFA">
      <w:pPr>
        <w:autoSpaceDE w:val="0"/>
        <w:autoSpaceDN w:val="0"/>
        <w:adjustRightInd w:val="0"/>
        <w:ind w:firstLine="720"/>
        <w:rPr>
          <w:sz w:val="24"/>
          <w:szCs w:val="24"/>
        </w:rPr>
      </w:pPr>
      <w:r w:rsidRPr="00192CFA">
        <w:rPr>
          <w:rFonts w:eastAsia="Calibri"/>
          <w:sz w:val="24"/>
          <w:szCs w:val="24"/>
        </w:rPr>
        <w:t xml:space="preserve">Pirkimo sąlygų 2 priedo „Techninė specifikacija“ nurodyta, kad </w:t>
      </w:r>
      <w:r w:rsidR="00DA0C9D" w:rsidRPr="00192CFA">
        <w:rPr>
          <w:rFonts w:eastAsia="Calibri"/>
          <w:sz w:val="24"/>
          <w:szCs w:val="24"/>
        </w:rPr>
        <w:t xml:space="preserve">Pirkimu </w:t>
      </w:r>
      <w:r w:rsidR="00465606">
        <w:rPr>
          <w:rFonts w:eastAsia="Calibri"/>
          <w:sz w:val="24"/>
          <w:szCs w:val="24"/>
        </w:rPr>
        <w:t>P</w:t>
      </w:r>
      <w:r w:rsidR="00DA0C9D" w:rsidRPr="00192CFA">
        <w:rPr>
          <w:rFonts w:eastAsia="Calibri"/>
          <w:sz w:val="24"/>
          <w:szCs w:val="24"/>
        </w:rPr>
        <w:t xml:space="preserve">erkančioji organizacija siekia įsigyti </w:t>
      </w:r>
      <w:r w:rsidR="00DA0C9D" w:rsidRPr="00EE4314">
        <w:rPr>
          <w:rFonts w:eastAsia="Calibri"/>
          <w:b/>
          <w:bCs/>
          <w:sz w:val="24"/>
          <w:szCs w:val="24"/>
        </w:rPr>
        <w:t xml:space="preserve">paprastojo remonto </w:t>
      </w:r>
      <w:r w:rsidR="003053C9">
        <w:rPr>
          <w:rFonts w:eastAsia="Calibri"/>
          <w:b/>
          <w:bCs/>
          <w:sz w:val="24"/>
          <w:szCs w:val="24"/>
        </w:rPr>
        <w:t>darbus</w:t>
      </w:r>
      <w:r w:rsidR="00DA0C9D" w:rsidRPr="00EE4314">
        <w:rPr>
          <w:rFonts w:eastAsia="Calibri"/>
          <w:b/>
          <w:bCs/>
          <w:sz w:val="24"/>
          <w:szCs w:val="24"/>
        </w:rPr>
        <w:t xml:space="preserve"> </w:t>
      </w:r>
      <w:r w:rsidRPr="00EE4314">
        <w:rPr>
          <w:rFonts w:eastAsia="Calibri"/>
          <w:b/>
          <w:bCs/>
          <w:sz w:val="24"/>
          <w:szCs w:val="24"/>
        </w:rPr>
        <w:t xml:space="preserve">patalpose </w:t>
      </w:r>
      <w:r w:rsidRPr="00192CFA">
        <w:rPr>
          <w:rFonts w:eastAsia="Calibri"/>
          <w:sz w:val="24"/>
          <w:szCs w:val="24"/>
        </w:rPr>
        <w:t xml:space="preserve">: </w:t>
      </w:r>
      <w:r w:rsidR="00C03920" w:rsidRPr="00192CFA">
        <w:rPr>
          <w:rFonts w:eastAsia="Calibri"/>
          <w:sz w:val="24"/>
          <w:szCs w:val="24"/>
        </w:rPr>
        <w:t>II a. 210-214, 224, 232;</w:t>
      </w:r>
      <w:r w:rsidRPr="00192CFA">
        <w:rPr>
          <w:rFonts w:eastAsia="Calibri"/>
          <w:sz w:val="24"/>
          <w:szCs w:val="24"/>
        </w:rPr>
        <w:t xml:space="preserve"> </w:t>
      </w:r>
      <w:r w:rsidR="00C03920" w:rsidRPr="00192CFA">
        <w:rPr>
          <w:rFonts w:eastAsia="Calibri"/>
          <w:sz w:val="24"/>
          <w:szCs w:val="24"/>
        </w:rPr>
        <w:t>III a. 310-314, 324, 332;</w:t>
      </w:r>
      <w:r w:rsidRPr="00192CFA">
        <w:rPr>
          <w:rFonts w:eastAsia="Calibri"/>
          <w:sz w:val="24"/>
          <w:szCs w:val="24"/>
        </w:rPr>
        <w:t xml:space="preserve"> </w:t>
      </w:r>
      <w:r w:rsidR="00C03920" w:rsidRPr="00192CFA">
        <w:rPr>
          <w:rFonts w:eastAsia="Calibri"/>
          <w:sz w:val="24"/>
          <w:szCs w:val="24"/>
        </w:rPr>
        <w:t>IV a. 410-414, 424, 432;</w:t>
      </w:r>
      <w:r w:rsidRPr="00192CFA">
        <w:rPr>
          <w:rFonts w:eastAsia="Calibri"/>
          <w:sz w:val="24"/>
          <w:szCs w:val="24"/>
        </w:rPr>
        <w:t xml:space="preserve"> </w:t>
      </w:r>
      <w:r w:rsidR="00C03920" w:rsidRPr="00192CFA">
        <w:rPr>
          <w:rFonts w:eastAsia="Calibri"/>
          <w:sz w:val="24"/>
          <w:szCs w:val="24"/>
        </w:rPr>
        <w:t>V a. 510-514, 524, 532</w:t>
      </w:r>
      <w:r w:rsidR="002E505C" w:rsidRPr="00192CFA">
        <w:rPr>
          <w:rFonts w:eastAsia="Calibri"/>
          <w:sz w:val="24"/>
          <w:szCs w:val="24"/>
        </w:rPr>
        <w:t xml:space="preserve">, kas, Tarnybos nuomone, atitiktų dalaus pirkimo objekto sąvoką, todėl </w:t>
      </w:r>
      <w:r w:rsidR="004E727A">
        <w:rPr>
          <w:rFonts w:eastAsia="Calibri"/>
          <w:sz w:val="24"/>
          <w:szCs w:val="24"/>
        </w:rPr>
        <w:t>Pirkimo sąlygų</w:t>
      </w:r>
      <w:r w:rsidR="002E505C" w:rsidRPr="00192CFA">
        <w:rPr>
          <w:rFonts w:eastAsia="Calibri"/>
          <w:sz w:val="24"/>
          <w:szCs w:val="24"/>
        </w:rPr>
        <w:t xml:space="preserve"> </w:t>
      </w:r>
      <w:r w:rsidRPr="00192CFA">
        <w:rPr>
          <w:rFonts w:eastAsia="Calibri"/>
          <w:sz w:val="24"/>
          <w:szCs w:val="24"/>
        </w:rPr>
        <w:t>5.</w:t>
      </w:r>
      <w:r w:rsidR="002E505C" w:rsidRPr="00192CFA">
        <w:rPr>
          <w:rFonts w:eastAsia="Calibri"/>
          <w:sz w:val="24"/>
          <w:szCs w:val="24"/>
        </w:rPr>
        <w:t>1.</w:t>
      </w:r>
      <w:r w:rsidRPr="00192CFA">
        <w:rPr>
          <w:rFonts w:eastAsia="Calibri"/>
          <w:sz w:val="24"/>
          <w:szCs w:val="24"/>
        </w:rPr>
        <w:t>2</w:t>
      </w:r>
      <w:r w:rsidR="002E505C" w:rsidRPr="00192CFA">
        <w:rPr>
          <w:rFonts w:eastAsia="Calibri"/>
          <w:sz w:val="24"/>
          <w:szCs w:val="24"/>
        </w:rPr>
        <w:t xml:space="preserve"> papunktyje nustatant tiekėjų patirties reikalavimą, tiekėjams tur</w:t>
      </w:r>
      <w:r w:rsidR="003053C9">
        <w:rPr>
          <w:rFonts w:eastAsia="Calibri"/>
          <w:sz w:val="24"/>
          <w:szCs w:val="24"/>
        </w:rPr>
        <w:t>i</w:t>
      </w:r>
      <w:r w:rsidR="002E505C" w:rsidRPr="00192CFA">
        <w:rPr>
          <w:rFonts w:eastAsia="Calibri"/>
          <w:sz w:val="24"/>
          <w:szCs w:val="24"/>
        </w:rPr>
        <w:t xml:space="preserve"> būti suteikta galimybė įrodinėti patirtį ne tik pagal vieną, bet pagal vieną ar daugiau įvykdytų, ar tebevykdomų sutarčių.</w:t>
      </w:r>
      <w:r w:rsidRPr="00192CFA">
        <w:rPr>
          <w:rFonts w:eastAsia="Calibri"/>
          <w:sz w:val="24"/>
          <w:szCs w:val="24"/>
        </w:rPr>
        <w:t xml:space="preserve"> </w:t>
      </w:r>
    </w:p>
    <w:p w14:paraId="16DB1E49" w14:textId="6DC57A73" w:rsidR="002E505C" w:rsidRPr="00192CFA" w:rsidRDefault="002E505C" w:rsidP="00192CFA">
      <w:pPr>
        <w:spacing w:line="257" w:lineRule="auto"/>
        <w:ind w:firstLine="720"/>
        <w:rPr>
          <w:sz w:val="24"/>
          <w:szCs w:val="24"/>
        </w:rPr>
      </w:pPr>
      <w:r w:rsidRPr="00192CFA">
        <w:rPr>
          <w:rFonts w:eastAsia="Calibri"/>
          <w:sz w:val="24"/>
          <w:szCs w:val="24"/>
        </w:rPr>
        <w:t xml:space="preserve">Atsižvelgiant į nurodytą, rekomenduotina patikslinti </w:t>
      </w:r>
      <w:r w:rsidR="004E727A">
        <w:rPr>
          <w:rFonts w:eastAsia="Calibri"/>
          <w:sz w:val="24"/>
          <w:szCs w:val="24"/>
        </w:rPr>
        <w:t>Pirkimo sąlygų</w:t>
      </w:r>
      <w:r w:rsidRPr="00192CFA">
        <w:rPr>
          <w:rFonts w:eastAsia="Calibri"/>
          <w:sz w:val="24"/>
          <w:szCs w:val="24"/>
        </w:rPr>
        <w:t xml:space="preserve"> </w:t>
      </w:r>
      <w:r w:rsidR="00C00BD9" w:rsidRPr="00192CFA">
        <w:rPr>
          <w:rFonts w:eastAsia="Calibri"/>
          <w:sz w:val="24"/>
          <w:szCs w:val="24"/>
        </w:rPr>
        <w:t>5.</w:t>
      </w:r>
      <w:r w:rsidRPr="00192CFA">
        <w:rPr>
          <w:rFonts w:eastAsia="Calibri"/>
          <w:sz w:val="24"/>
          <w:szCs w:val="24"/>
        </w:rPr>
        <w:t>1.</w:t>
      </w:r>
      <w:r w:rsidR="00C00BD9" w:rsidRPr="00192CFA">
        <w:rPr>
          <w:rFonts w:eastAsia="Calibri"/>
          <w:sz w:val="24"/>
          <w:szCs w:val="24"/>
        </w:rPr>
        <w:t>2</w:t>
      </w:r>
      <w:r w:rsidRPr="00192CFA">
        <w:rPr>
          <w:rFonts w:eastAsia="Calibri"/>
          <w:sz w:val="24"/>
          <w:szCs w:val="24"/>
        </w:rPr>
        <w:t xml:space="preserve"> papunktyje nustatytą reikalavimą dėl tiekėjo patirties, pagal daliam pirkimo objektui nustatytą reglamentavimą </w:t>
      </w:r>
      <w:r w:rsidR="004E727A">
        <w:rPr>
          <w:rFonts w:eastAsia="Calibri"/>
          <w:sz w:val="24"/>
          <w:szCs w:val="24"/>
        </w:rPr>
        <w:t>(</w:t>
      </w:r>
      <w:hyperlink r:id="rId12">
        <w:r w:rsidRPr="00192CFA">
          <w:rPr>
            <w:rStyle w:val="Hyperlink"/>
            <w:rFonts w:eastAsia="Calibri"/>
            <w:color w:val="0563C1"/>
            <w:sz w:val="24"/>
            <w:szCs w:val="24"/>
          </w:rPr>
          <w:t xml:space="preserve"> </w:t>
        </w:r>
        <w:r w:rsidR="00C00BD9" w:rsidRPr="00192CFA">
          <w:rPr>
            <w:rStyle w:val="Hyperlink"/>
            <w:rFonts w:eastAsia="Calibri"/>
            <w:color w:val="0563C1"/>
            <w:sz w:val="24"/>
            <w:szCs w:val="24"/>
          </w:rPr>
          <w:t>M</w:t>
        </w:r>
        <w:r w:rsidRPr="00192CFA">
          <w:rPr>
            <w:rStyle w:val="Hyperlink"/>
            <w:rFonts w:eastAsia="Calibri"/>
            <w:color w:val="0563C1"/>
            <w:sz w:val="24"/>
            <w:szCs w:val="24"/>
          </w:rPr>
          <w:t>etodikos</w:t>
        </w:r>
      </w:hyperlink>
      <w:r w:rsidRPr="00192CFA">
        <w:rPr>
          <w:rFonts w:eastAsia="Calibri"/>
          <w:sz w:val="24"/>
          <w:szCs w:val="24"/>
        </w:rPr>
        <w:t xml:space="preserve"> 16.1 papunktis, „Kai pirkimo objektas dalus“).</w:t>
      </w:r>
    </w:p>
    <w:p w14:paraId="6DB0D70A" w14:textId="28F092C3" w:rsidR="002E505C" w:rsidRPr="00192CFA" w:rsidRDefault="00107768" w:rsidP="00FF3851">
      <w:pPr>
        <w:pStyle w:val="ListParagraph"/>
        <w:numPr>
          <w:ilvl w:val="1"/>
          <w:numId w:val="7"/>
        </w:numPr>
        <w:shd w:val="clear" w:color="auto" w:fill="FFFFFF" w:themeFill="background1"/>
        <w:tabs>
          <w:tab w:val="left" w:pos="990"/>
          <w:tab w:val="left" w:pos="1080"/>
          <w:tab w:val="left" w:pos="1170"/>
        </w:tabs>
        <w:ind w:left="0" w:firstLine="720"/>
        <w:rPr>
          <w:sz w:val="24"/>
          <w:szCs w:val="24"/>
        </w:rPr>
      </w:pPr>
      <w:r w:rsidRPr="00192CFA">
        <w:rPr>
          <w:sz w:val="24"/>
          <w:szCs w:val="24"/>
        </w:rPr>
        <w:t xml:space="preserve"> </w:t>
      </w:r>
      <w:r w:rsidR="00201510" w:rsidRPr="00192CFA">
        <w:rPr>
          <w:rFonts w:eastAsia="Calibri"/>
          <w:sz w:val="24"/>
          <w:szCs w:val="24"/>
        </w:rPr>
        <w:t xml:space="preserve">Rekomenduotina patikslinti kvalifikacijos reikalavime nustatytą </w:t>
      </w:r>
      <w:r w:rsidR="00846A8B" w:rsidRPr="00192CFA">
        <w:rPr>
          <w:rFonts w:eastAsia="Calibri"/>
          <w:sz w:val="24"/>
          <w:szCs w:val="24"/>
        </w:rPr>
        <w:t xml:space="preserve">statybos darbų vertę, aiškiai nurodant </w:t>
      </w:r>
      <w:r w:rsidR="00BA0115" w:rsidRPr="00192CFA">
        <w:rPr>
          <w:rFonts w:eastAsia="Calibri"/>
          <w:sz w:val="24"/>
          <w:szCs w:val="24"/>
        </w:rPr>
        <w:t xml:space="preserve">atliktų darbų sumą </w:t>
      </w:r>
      <w:r w:rsidR="004038A5" w:rsidRPr="00192CFA">
        <w:rPr>
          <w:rFonts w:eastAsia="Calibri"/>
          <w:sz w:val="24"/>
          <w:szCs w:val="24"/>
        </w:rPr>
        <w:t xml:space="preserve">(su ar be PVM) dėl kurios Tiekėjas turi pateikti informaciją. </w:t>
      </w:r>
    </w:p>
    <w:p w14:paraId="71957AC1" w14:textId="464FF663" w:rsidR="007D7606" w:rsidRPr="00192CFA" w:rsidRDefault="007D7606" w:rsidP="00FF3851">
      <w:pPr>
        <w:pStyle w:val="ListParagraph"/>
        <w:numPr>
          <w:ilvl w:val="1"/>
          <w:numId w:val="7"/>
        </w:numPr>
        <w:shd w:val="clear" w:color="auto" w:fill="FFFFFF" w:themeFill="background1"/>
        <w:tabs>
          <w:tab w:val="left" w:pos="990"/>
          <w:tab w:val="left" w:pos="1080"/>
          <w:tab w:val="left" w:pos="1170"/>
        </w:tabs>
        <w:ind w:left="0" w:firstLine="720"/>
        <w:rPr>
          <w:sz w:val="24"/>
          <w:szCs w:val="24"/>
        </w:rPr>
      </w:pPr>
      <w:r w:rsidRPr="00192CFA">
        <w:rPr>
          <w:sz w:val="24"/>
          <w:szCs w:val="24"/>
        </w:rPr>
        <w:t xml:space="preserve">Atsižvelgiant į tai, kad tiekėjų techninio ir profesinio pajėgumo vertinimo tikslas – įsitikinti, jog tiekėjas turi numatomos sudaryti pirkimo sutarties vykdymui būtinus </w:t>
      </w:r>
      <w:r w:rsidRPr="00192CFA">
        <w:rPr>
          <w:sz w:val="24"/>
          <w:szCs w:val="24"/>
        </w:rPr>
        <w:lastRenderedPageBreak/>
        <w:t>žmogiškuosius ir techninius išteklius bei patirtį, reikalavim</w:t>
      </w:r>
      <w:r w:rsidR="00C86E84" w:rsidRPr="00192CFA">
        <w:rPr>
          <w:sz w:val="24"/>
          <w:szCs w:val="24"/>
        </w:rPr>
        <w:t>as</w:t>
      </w:r>
      <w:r w:rsidRPr="00192CFA">
        <w:rPr>
          <w:sz w:val="24"/>
          <w:szCs w:val="24"/>
        </w:rPr>
        <w:t xml:space="preserve"> būti atlikus </w:t>
      </w:r>
      <w:r w:rsidR="00FC3D70" w:rsidRPr="00192CFA">
        <w:rPr>
          <w:sz w:val="24"/>
          <w:szCs w:val="24"/>
        </w:rPr>
        <w:t xml:space="preserve">statybos </w:t>
      </w:r>
      <w:r w:rsidRPr="00192CFA">
        <w:rPr>
          <w:sz w:val="24"/>
          <w:szCs w:val="24"/>
        </w:rPr>
        <w:t xml:space="preserve">darbus </w:t>
      </w:r>
      <w:r w:rsidRPr="00EE4314">
        <w:rPr>
          <w:b/>
          <w:bCs/>
          <w:sz w:val="24"/>
          <w:szCs w:val="24"/>
        </w:rPr>
        <w:t>tik gyvenamosios paskirties pastatuose</w:t>
      </w:r>
      <w:r w:rsidR="00FC3D70" w:rsidRPr="00EE4314">
        <w:rPr>
          <w:b/>
          <w:bCs/>
          <w:sz w:val="24"/>
          <w:szCs w:val="24"/>
        </w:rPr>
        <w:t xml:space="preserve"> </w:t>
      </w:r>
      <w:r w:rsidR="00C86E84" w:rsidRPr="00192CFA">
        <w:rPr>
          <w:sz w:val="24"/>
          <w:szCs w:val="24"/>
        </w:rPr>
        <w:t>vertintinas kaip</w:t>
      </w:r>
      <w:r w:rsidRPr="00192CFA">
        <w:rPr>
          <w:sz w:val="24"/>
          <w:szCs w:val="24"/>
        </w:rPr>
        <w:t xml:space="preserve"> pernelyg susiaurintas. Atsižvelgdama į aukščiau nurodytą, </w:t>
      </w:r>
      <w:r w:rsidRPr="00192CFA">
        <w:rPr>
          <w:sz w:val="24"/>
          <w:szCs w:val="24"/>
          <w:lang w:eastAsia="lt-LT"/>
        </w:rPr>
        <w:t xml:space="preserve">Tarnyba rekomenduoja kvalifikacijos reikalavimą keisti atsižvelgiant į Metodikos ir Įstatymo reikalavimus. </w:t>
      </w:r>
    </w:p>
    <w:p w14:paraId="4AFAD6CA" w14:textId="19052207" w:rsidR="00057A8C" w:rsidRPr="00192CFA" w:rsidRDefault="008B3AE7" w:rsidP="00FF3851">
      <w:pPr>
        <w:pStyle w:val="ListParagraph"/>
        <w:widowControl w:val="0"/>
        <w:numPr>
          <w:ilvl w:val="1"/>
          <w:numId w:val="7"/>
        </w:numPr>
        <w:shd w:val="clear" w:color="auto" w:fill="FFFFFF" w:themeFill="background1"/>
        <w:tabs>
          <w:tab w:val="left" w:pos="567"/>
          <w:tab w:val="left" w:pos="990"/>
          <w:tab w:val="left" w:pos="1080"/>
          <w:tab w:val="left" w:pos="1170"/>
          <w:tab w:val="left" w:pos="1701"/>
        </w:tabs>
        <w:ind w:left="0" w:firstLine="720"/>
        <w:rPr>
          <w:sz w:val="24"/>
          <w:szCs w:val="24"/>
        </w:rPr>
      </w:pPr>
      <w:r w:rsidRPr="00192CFA">
        <w:rPr>
          <w:sz w:val="24"/>
          <w:szCs w:val="24"/>
          <w:lang w:eastAsia="lt-LT"/>
        </w:rPr>
        <w:t xml:space="preserve"> </w:t>
      </w:r>
      <w:r w:rsidR="00D61825" w:rsidRPr="00192CFA">
        <w:rPr>
          <w:sz w:val="24"/>
          <w:szCs w:val="24"/>
        </w:rPr>
        <w:t xml:space="preserve"> Tiekėjas, siekdamas įrodyti atitikti 5.1.2 punkte nustatytam reikalavimui, turi pateikti </w:t>
      </w:r>
      <w:r w:rsidR="00246EBA" w:rsidRPr="00192CFA">
        <w:rPr>
          <w:sz w:val="24"/>
          <w:szCs w:val="24"/>
        </w:rPr>
        <w:t xml:space="preserve">Atliktų darbų sąrašą kartu su užsakovų pažymomis apie tai, kad </w:t>
      </w:r>
      <w:r w:rsidR="00246EBA" w:rsidRPr="00192CFA">
        <w:rPr>
          <w:b/>
          <w:bCs/>
          <w:sz w:val="24"/>
          <w:szCs w:val="24"/>
        </w:rPr>
        <w:t>svarbiausi statybos darbai buvo atlikti</w:t>
      </w:r>
      <w:r w:rsidR="00246EBA" w:rsidRPr="00192CFA">
        <w:rPr>
          <w:sz w:val="24"/>
          <w:szCs w:val="24"/>
        </w:rPr>
        <w:t xml:space="preserve"> tinkamai (5 priedas). Pirkimo sąlygų 5 priede nustatyta, kad </w:t>
      </w:r>
      <w:r w:rsidR="00087270" w:rsidRPr="00192CFA">
        <w:rPr>
          <w:sz w:val="24"/>
          <w:szCs w:val="24"/>
        </w:rPr>
        <w:t>Tiekėjas turi pateikti</w:t>
      </w:r>
      <w:r w:rsidR="00E6249F" w:rsidRPr="00192CFA">
        <w:rPr>
          <w:sz w:val="24"/>
          <w:szCs w:val="24"/>
        </w:rPr>
        <w:t xml:space="preserve"> </w:t>
      </w:r>
      <w:r w:rsidR="00E6249F" w:rsidRPr="00EE4314">
        <w:rPr>
          <w:b/>
          <w:bCs/>
          <w:sz w:val="24"/>
          <w:szCs w:val="24"/>
        </w:rPr>
        <w:t>įvykdytų sutarčių sąrašą</w:t>
      </w:r>
      <w:r w:rsidR="00E6249F" w:rsidRPr="00192CFA">
        <w:rPr>
          <w:sz w:val="24"/>
          <w:szCs w:val="24"/>
        </w:rPr>
        <w:t xml:space="preserve"> (</w:t>
      </w:r>
      <w:r w:rsidR="00087270" w:rsidRPr="00192CFA">
        <w:rPr>
          <w:sz w:val="24"/>
          <w:szCs w:val="24"/>
        </w:rPr>
        <w:t xml:space="preserve">kiekvienai sutarčiai </w:t>
      </w:r>
      <w:r w:rsidR="00E6249F" w:rsidRPr="00192CFA">
        <w:rPr>
          <w:sz w:val="24"/>
          <w:szCs w:val="24"/>
        </w:rPr>
        <w:t xml:space="preserve">turi būti </w:t>
      </w:r>
      <w:r w:rsidR="00087270" w:rsidRPr="00192CFA">
        <w:rPr>
          <w:sz w:val="24"/>
          <w:szCs w:val="24"/>
        </w:rPr>
        <w:t>užpildoma atskira lentelė)</w:t>
      </w:r>
      <w:r w:rsidRPr="00192CFA">
        <w:rPr>
          <w:sz w:val="24"/>
          <w:szCs w:val="24"/>
        </w:rPr>
        <w:t xml:space="preserve">. </w:t>
      </w:r>
      <w:r w:rsidR="00D61825" w:rsidRPr="00192CFA">
        <w:rPr>
          <w:rFonts w:eastAsia="Calibri"/>
          <w:sz w:val="24"/>
          <w:szCs w:val="24"/>
        </w:rPr>
        <w:t xml:space="preserve">Tarnyba atkreipia dėmesį, kad Įstatymo 37 straipsnio 1 dalies 1 punkte nurodoma, kad turi būti pateikiamas </w:t>
      </w:r>
      <w:r w:rsidR="00D61825" w:rsidRPr="00192CFA">
        <w:rPr>
          <w:color w:val="000000"/>
          <w:sz w:val="24"/>
          <w:szCs w:val="24"/>
          <w:u w:val="single"/>
        </w:rPr>
        <w:t>atliktų darbų sąrašas kartu su užsakovų pažymomis apie tai, kad svarbiausi darbai buvo atlikti tinkamai</w:t>
      </w:r>
      <w:r w:rsidR="00D61825" w:rsidRPr="00192CFA">
        <w:rPr>
          <w:color w:val="000000"/>
          <w:sz w:val="24"/>
          <w:szCs w:val="24"/>
        </w:rPr>
        <w:t>, o ne sutarčių sąrašas</w:t>
      </w:r>
      <w:r w:rsidR="004E727A">
        <w:rPr>
          <w:rFonts w:eastAsia="Calibri"/>
          <w:sz w:val="24"/>
          <w:szCs w:val="24"/>
        </w:rPr>
        <w:t>.</w:t>
      </w:r>
    </w:p>
    <w:p w14:paraId="3915ADA1" w14:textId="5B52FEFC" w:rsidR="001C2028" w:rsidRPr="00192CFA" w:rsidRDefault="00FF3851" w:rsidP="00FF3851">
      <w:pPr>
        <w:pStyle w:val="ListParagraph"/>
        <w:widowControl w:val="0"/>
        <w:numPr>
          <w:ilvl w:val="1"/>
          <w:numId w:val="7"/>
        </w:numPr>
        <w:shd w:val="clear" w:color="auto" w:fill="FFFFFF" w:themeFill="background1"/>
        <w:tabs>
          <w:tab w:val="left" w:pos="567"/>
          <w:tab w:val="left" w:pos="1080"/>
          <w:tab w:val="left" w:pos="1170"/>
        </w:tabs>
        <w:ind w:left="0" w:firstLine="720"/>
        <w:rPr>
          <w:sz w:val="24"/>
          <w:szCs w:val="24"/>
        </w:rPr>
      </w:pPr>
      <w:r>
        <w:rPr>
          <w:rFonts w:eastAsia="Times New Roman"/>
          <w:sz w:val="24"/>
          <w:szCs w:val="24"/>
          <w:lang w:val="lt"/>
        </w:rPr>
        <w:t>T</w:t>
      </w:r>
      <w:r w:rsidR="001C2028" w:rsidRPr="00192CFA">
        <w:rPr>
          <w:rFonts w:eastAsia="Times New Roman"/>
          <w:sz w:val="24"/>
          <w:szCs w:val="24"/>
          <w:lang w:val="lt"/>
        </w:rPr>
        <w:t xml:space="preserve">arnyba atkreipia dėmesį, kad </w:t>
      </w:r>
      <w:r w:rsidR="00B82B9F" w:rsidRPr="00192CFA">
        <w:rPr>
          <w:rFonts w:eastAsia="Times New Roman"/>
          <w:sz w:val="24"/>
          <w:szCs w:val="24"/>
          <w:lang w:val="lt"/>
        </w:rPr>
        <w:t>tiekėjas turi pateikti informaciją apie tai, kad svarbiausi statybos darbai buvo atlikti tinkamai</w:t>
      </w:r>
      <w:r w:rsidR="001C2028" w:rsidRPr="00192CFA">
        <w:rPr>
          <w:rFonts w:eastAsia="Times New Roman"/>
          <w:sz w:val="24"/>
          <w:szCs w:val="24"/>
          <w:lang w:val="lt"/>
        </w:rPr>
        <w:t>, tačiau</w:t>
      </w:r>
      <w:r w:rsidR="00D90F7A" w:rsidRPr="00192CFA">
        <w:rPr>
          <w:rFonts w:eastAsia="Times New Roman"/>
          <w:sz w:val="24"/>
          <w:szCs w:val="24"/>
          <w:lang w:val="lt"/>
        </w:rPr>
        <w:t xml:space="preserve"> Pirkimo dokumentuose</w:t>
      </w:r>
      <w:r w:rsidR="001C2028" w:rsidRPr="00192CFA">
        <w:rPr>
          <w:rFonts w:eastAsia="Times New Roman"/>
          <w:sz w:val="24"/>
          <w:szCs w:val="24"/>
          <w:lang w:val="lt"/>
        </w:rPr>
        <w:t xml:space="preserve"> nenurodoma kas bus laikytina </w:t>
      </w:r>
      <w:r w:rsidR="001C2028" w:rsidRPr="00192CFA">
        <w:rPr>
          <w:rFonts w:eastAsia="Times New Roman"/>
          <w:sz w:val="24"/>
          <w:szCs w:val="24"/>
          <w:u w:val="single"/>
          <w:lang w:val="lt"/>
        </w:rPr>
        <w:t>svarbiausiais darbais</w:t>
      </w:r>
      <w:r w:rsidR="001C2028" w:rsidRPr="00192CFA">
        <w:rPr>
          <w:rFonts w:eastAsia="Times New Roman"/>
          <w:sz w:val="24"/>
          <w:szCs w:val="24"/>
          <w:lang w:val="lt"/>
        </w:rPr>
        <w:t xml:space="preserve">. </w:t>
      </w:r>
    </w:p>
    <w:p w14:paraId="0FB2D19B" w14:textId="5F9A7CE6" w:rsidR="001C2028" w:rsidRPr="00192CFA" w:rsidRDefault="001C2028" w:rsidP="00192CFA">
      <w:pPr>
        <w:ind w:firstLine="720"/>
        <w:rPr>
          <w:sz w:val="24"/>
          <w:szCs w:val="24"/>
        </w:rPr>
      </w:pPr>
      <w:r w:rsidRPr="00192CFA">
        <w:rPr>
          <w:rFonts w:eastAsia="Times New Roman"/>
          <w:sz w:val="24"/>
          <w:szCs w:val="24"/>
          <w:lang w:val="lt"/>
        </w:rPr>
        <w:t>Tarnyba pažymi, kad pirkimo dokumentai privalo būti tikslūs ir aiškūs, be dviprasmybių, todėl rekomenduo</w:t>
      </w:r>
      <w:r w:rsidR="003053C9">
        <w:rPr>
          <w:rFonts w:eastAsia="Times New Roman"/>
          <w:sz w:val="24"/>
          <w:szCs w:val="24"/>
          <w:lang w:val="lt"/>
        </w:rPr>
        <w:t>tina</w:t>
      </w:r>
      <w:r w:rsidRPr="00192CFA">
        <w:rPr>
          <w:rFonts w:eastAsia="Times New Roman"/>
          <w:sz w:val="24"/>
          <w:szCs w:val="24"/>
          <w:lang w:val="lt"/>
        </w:rPr>
        <w:t xml:space="preserve"> arba apibrėžti kas bus laikytina svarbiausiais darbais, arba </w:t>
      </w:r>
      <w:r w:rsidR="003053C9">
        <w:rPr>
          <w:rFonts w:eastAsia="Times New Roman"/>
          <w:sz w:val="24"/>
          <w:szCs w:val="24"/>
          <w:lang w:val="lt"/>
        </w:rPr>
        <w:t xml:space="preserve">atsisakyti </w:t>
      </w:r>
      <w:r w:rsidRPr="00192CFA">
        <w:rPr>
          <w:rFonts w:eastAsia="Times New Roman"/>
          <w:sz w:val="24"/>
          <w:szCs w:val="24"/>
          <w:lang w:val="lt"/>
        </w:rPr>
        <w:t xml:space="preserve"> reikalavimo dėl svarbiausių darbų, pvz. atitiktį reikalavimui pagrindžiančių dokumentų skiltyje nurodant „&lt;..&gt;</w:t>
      </w:r>
      <w:r w:rsidR="004E727A">
        <w:rPr>
          <w:rFonts w:eastAsia="Times New Roman"/>
          <w:sz w:val="24"/>
          <w:szCs w:val="24"/>
          <w:lang w:val="lt"/>
        </w:rPr>
        <w:t xml:space="preserve"> </w:t>
      </w:r>
      <w:r w:rsidRPr="00192CFA">
        <w:rPr>
          <w:rFonts w:eastAsia="Times New Roman"/>
          <w:sz w:val="24"/>
          <w:szCs w:val="24"/>
          <w:lang w:val="lt"/>
        </w:rPr>
        <w:t xml:space="preserve">Užsakovo (tiek viešųjų, tiek privačiųjų) pažymos, apie tai, kad </w:t>
      </w:r>
      <w:r w:rsidRPr="00192CFA">
        <w:rPr>
          <w:rFonts w:eastAsia="Times New Roman"/>
          <w:sz w:val="24"/>
          <w:szCs w:val="24"/>
          <w:u w:val="single"/>
          <w:lang w:val="lt"/>
        </w:rPr>
        <w:t>statybos darb</w:t>
      </w:r>
      <w:r w:rsidRPr="00192CFA">
        <w:rPr>
          <w:rFonts w:eastAsia="Times New Roman"/>
          <w:sz w:val="24"/>
          <w:szCs w:val="24"/>
          <w:lang w:val="lt"/>
        </w:rPr>
        <w:t>ų atlikimas ir galutiniai rezultatai  buvo tinkami &lt;..&gt;“.</w:t>
      </w:r>
    </w:p>
    <w:p w14:paraId="49E18F78" w14:textId="7A9DB5DE" w:rsidR="002E505C" w:rsidRPr="00192CFA" w:rsidRDefault="008627AC" w:rsidP="00FF3851">
      <w:pPr>
        <w:pStyle w:val="ListParagraph"/>
        <w:numPr>
          <w:ilvl w:val="1"/>
          <w:numId w:val="7"/>
        </w:numPr>
        <w:shd w:val="clear" w:color="auto" w:fill="FFFFFF" w:themeFill="background1"/>
        <w:tabs>
          <w:tab w:val="left" w:pos="1170"/>
        </w:tabs>
        <w:ind w:left="0" w:firstLine="720"/>
        <w:rPr>
          <w:sz w:val="24"/>
          <w:szCs w:val="24"/>
        </w:rPr>
      </w:pPr>
      <w:r w:rsidRPr="00192CFA">
        <w:rPr>
          <w:sz w:val="24"/>
          <w:szCs w:val="24"/>
        </w:rPr>
        <w:t>Rekomenduo</w:t>
      </w:r>
      <w:r w:rsidR="003053C9">
        <w:rPr>
          <w:sz w:val="24"/>
          <w:szCs w:val="24"/>
        </w:rPr>
        <w:t xml:space="preserve">tina </w:t>
      </w:r>
      <w:r w:rsidRPr="00192CFA">
        <w:rPr>
          <w:sz w:val="24"/>
          <w:szCs w:val="24"/>
        </w:rPr>
        <w:t>patikslinti subjektų</w:t>
      </w:r>
      <w:r w:rsidR="00C6484B" w:rsidRPr="00192CFA">
        <w:rPr>
          <w:sz w:val="24"/>
          <w:szCs w:val="24"/>
        </w:rPr>
        <w:t xml:space="preserve">, kuriems keliamas šis reikalavimas, </w:t>
      </w:r>
      <w:r w:rsidR="00602F3E" w:rsidRPr="00192CFA">
        <w:rPr>
          <w:sz w:val="24"/>
          <w:szCs w:val="24"/>
        </w:rPr>
        <w:t>sąrašą</w:t>
      </w:r>
      <w:r w:rsidRPr="00192CFA">
        <w:rPr>
          <w:sz w:val="24"/>
          <w:szCs w:val="24"/>
        </w:rPr>
        <w:t xml:space="preserve"> vadovautis </w:t>
      </w:r>
      <w:r w:rsidR="00D7558E" w:rsidRPr="00192CFA">
        <w:rPr>
          <w:sz w:val="24"/>
          <w:szCs w:val="24"/>
        </w:rPr>
        <w:t>Metodikos 16</w:t>
      </w:r>
      <w:r w:rsidRPr="00192CFA">
        <w:rPr>
          <w:sz w:val="24"/>
          <w:szCs w:val="24"/>
        </w:rPr>
        <w:t>.1</w:t>
      </w:r>
      <w:r w:rsidR="00D7558E" w:rsidRPr="00192CFA">
        <w:rPr>
          <w:sz w:val="24"/>
          <w:szCs w:val="24"/>
        </w:rPr>
        <w:t xml:space="preserve"> </w:t>
      </w:r>
      <w:r w:rsidRPr="00192CFA">
        <w:rPr>
          <w:sz w:val="24"/>
          <w:szCs w:val="24"/>
        </w:rPr>
        <w:t>pa</w:t>
      </w:r>
      <w:r w:rsidR="00D7558E" w:rsidRPr="00192CFA">
        <w:rPr>
          <w:sz w:val="24"/>
          <w:szCs w:val="24"/>
        </w:rPr>
        <w:t>punk</w:t>
      </w:r>
      <w:r w:rsidR="00CC61EA" w:rsidRPr="00192CFA">
        <w:rPr>
          <w:sz w:val="24"/>
          <w:szCs w:val="24"/>
        </w:rPr>
        <w:t xml:space="preserve">čiu. </w:t>
      </w:r>
    </w:p>
    <w:p w14:paraId="29C2ACF0" w14:textId="69FC4241" w:rsidR="00580C10" w:rsidRPr="00192CFA" w:rsidRDefault="00580C10" w:rsidP="00192CFA">
      <w:pPr>
        <w:pStyle w:val="ListParagraph"/>
        <w:shd w:val="clear" w:color="auto" w:fill="FFFFFF" w:themeFill="background1"/>
        <w:tabs>
          <w:tab w:val="left" w:pos="1080"/>
        </w:tabs>
        <w:ind w:left="0" w:firstLine="720"/>
        <w:rPr>
          <w:sz w:val="24"/>
          <w:szCs w:val="24"/>
        </w:rPr>
      </w:pPr>
    </w:p>
    <w:p w14:paraId="4AB8CDE4" w14:textId="46E5C818" w:rsidR="000A38C4" w:rsidRPr="00192CFA" w:rsidRDefault="00192CFA" w:rsidP="00192CFA">
      <w:pPr>
        <w:ind w:firstLine="720"/>
        <w:rPr>
          <w:bCs/>
          <w:sz w:val="24"/>
          <w:szCs w:val="24"/>
        </w:rPr>
      </w:pPr>
      <w:r w:rsidRPr="00192CFA">
        <w:rPr>
          <w:bCs/>
          <w:sz w:val="24"/>
          <w:szCs w:val="24"/>
        </w:rPr>
        <w:t>A</w:t>
      </w:r>
      <w:r w:rsidR="000A38C4" w:rsidRPr="00192CFA">
        <w:rPr>
          <w:bCs/>
          <w:sz w:val="24"/>
          <w:szCs w:val="24"/>
        </w:rPr>
        <w:t>tsižvelgdama į aukščiau nurodytą, Tarnyba rekomenduoja peržiūrėti ir patikslinti</w:t>
      </w:r>
      <w:r w:rsidR="003053C9">
        <w:rPr>
          <w:bCs/>
          <w:sz w:val="24"/>
          <w:szCs w:val="24"/>
        </w:rPr>
        <w:t>/pakeisti</w:t>
      </w:r>
      <w:r w:rsidR="000A38C4" w:rsidRPr="00192CFA">
        <w:rPr>
          <w:bCs/>
          <w:sz w:val="24"/>
          <w:szCs w:val="24"/>
        </w:rPr>
        <w:t xml:space="preserve"> Pirkimo dokumentus pagal šioje </w:t>
      </w:r>
      <w:r w:rsidR="003053C9">
        <w:rPr>
          <w:bCs/>
          <w:sz w:val="24"/>
          <w:szCs w:val="24"/>
        </w:rPr>
        <w:t>R</w:t>
      </w:r>
      <w:r w:rsidR="000A38C4" w:rsidRPr="00192CFA">
        <w:rPr>
          <w:bCs/>
          <w:sz w:val="24"/>
          <w:szCs w:val="24"/>
        </w:rPr>
        <w:t>ekomendacijoje pateiktas pastabas.  </w:t>
      </w:r>
    </w:p>
    <w:p w14:paraId="2EBF841D" w14:textId="0FB4B6D7" w:rsidR="000A38C4" w:rsidRPr="00192CFA" w:rsidRDefault="000A38C4" w:rsidP="00192CFA">
      <w:pPr>
        <w:ind w:firstLine="720"/>
        <w:rPr>
          <w:bCs/>
          <w:sz w:val="24"/>
          <w:szCs w:val="24"/>
        </w:rPr>
      </w:pPr>
      <w:r w:rsidRPr="00192CFA">
        <w:rPr>
          <w:bCs/>
          <w:sz w:val="24"/>
          <w:szCs w:val="24"/>
        </w:rPr>
        <w:t>Primename, kad Perkančioji organizacija patikslinusi</w:t>
      </w:r>
      <w:r w:rsidR="003053C9">
        <w:rPr>
          <w:bCs/>
          <w:sz w:val="24"/>
          <w:szCs w:val="24"/>
        </w:rPr>
        <w:t>/pakeitusi</w:t>
      </w:r>
      <w:r w:rsidRPr="00192CFA">
        <w:rPr>
          <w:bCs/>
          <w:sz w:val="24"/>
          <w:szCs w:val="24"/>
        </w:rPr>
        <w:t xml:space="preserve"> Pirkimo dokumentus, turi visus pakeitimus paskelbti viešai CVP IS ir spręsti klausimą dėl pasiūlymų pateikimo termino pratęsimo protingam laikotarpiui, per kurį potencialūs tiekėjai galėtų susipažinti su patikslintomis Pirkimo sąlygomis. </w:t>
      </w:r>
    </w:p>
    <w:p w14:paraId="043C0FAD" w14:textId="77777777" w:rsidR="000A38C4" w:rsidRPr="00192CFA" w:rsidRDefault="000A38C4" w:rsidP="00192CFA">
      <w:pPr>
        <w:ind w:firstLine="720"/>
        <w:rPr>
          <w:bCs/>
          <w:sz w:val="24"/>
          <w:szCs w:val="24"/>
        </w:rPr>
      </w:pPr>
      <w:r w:rsidRPr="00192CFA">
        <w:rPr>
          <w:bCs/>
          <w:sz w:val="24"/>
          <w:szCs w:val="24"/>
        </w:rPr>
        <w:t>Pažymėtina, kad visais atvejais sprendimą dėl tolimesnio Pirkimo procedūrų vykdymo ar nutraukimo priima pati Perkančioji organizacija, vadovaudamasi Įstatymo 29 straipsnio 3</w:t>
      </w:r>
      <w:r w:rsidRPr="00192CFA">
        <w:rPr>
          <w:bCs/>
          <w:sz w:val="24"/>
          <w:szCs w:val="24"/>
          <w:vertAlign w:val="superscript"/>
        </w:rPr>
        <w:t>3</w:t>
      </w:r>
      <w:r w:rsidRPr="00192CFA">
        <w:rPr>
          <w:bCs/>
          <w:sz w:val="24"/>
          <w:szCs w:val="24"/>
        </w:rPr>
        <w:t xml:space="preserve"> ir 4</w:t>
      </w:r>
      <w:r w:rsidRPr="00192CFA">
        <w:rPr>
          <w:bCs/>
          <w:sz w:val="24"/>
          <w:szCs w:val="24"/>
          <w:vertAlign w:val="superscript"/>
        </w:rPr>
        <w:t xml:space="preserve">4 </w:t>
      </w:r>
      <w:r w:rsidRPr="00192CFA">
        <w:rPr>
          <w:bCs/>
          <w:sz w:val="24"/>
          <w:szCs w:val="24"/>
        </w:rPr>
        <w:t>dalių nuostatomis. </w:t>
      </w:r>
    </w:p>
    <w:p w14:paraId="223EAFE4" w14:textId="77777777" w:rsidR="00FF3851" w:rsidRDefault="00FF3851" w:rsidP="00192CFA">
      <w:pPr>
        <w:ind w:firstLine="720"/>
        <w:rPr>
          <w:bCs/>
          <w:sz w:val="24"/>
          <w:szCs w:val="24"/>
        </w:rPr>
      </w:pPr>
    </w:p>
    <w:p w14:paraId="2CF8D445" w14:textId="77777777" w:rsidR="000A38C4" w:rsidRPr="00192CFA" w:rsidRDefault="000A38C4" w:rsidP="000A38C4"/>
    <w:sectPr w:rsidR="000A38C4" w:rsidRPr="00192C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2EBEF" w14:textId="77777777" w:rsidR="00AA5688" w:rsidRDefault="00AA5688" w:rsidP="008C1D1C">
      <w:r>
        <w:separator/>
      </w:r>
    </w:p>
  </w:endnote>
  <w:endnote w:type="continuationSeparator" w:id="0">
    <w:p w14:paraId="0A868B34" w14:textId="77777777" w:rsidR="00AA5688" w:rsidRDefault="00AA5688" w:rsidP="008C1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AFF0F" w14:textId="77777777" w:rsidR="00AA5688" w:rsidRDefault="00AA5688" w:rsidP="008C1D1C">
      <w:r>
        <w:separator/>
      </w:r>
    </w:p>
  </w:footnote>
  <w:footnote w:type="continuationSeparator" w:id="0">
    <w:p w14:paraId="14DA0613" w14:textId="77777777" w:rsidR="00AA5688" w:rsidRDefault="00AA5688" w:rsidP="008C1D1C">
      <w:r>
        <w:continuationSeparator/>
      </w:r>
    </w:p>
  </w:footnote>
  <w:footnote w:id="1">
    <w:p w14:paraId="3BA940F7" w14:textId="3759B700" w:rsidR="008C1D1C" w:rsidRDefault="008C1D1C">
      <w:pPr>
        <w:pStyle w:val="FootnoteText"/>
      </w:pPr>
      <w:r>
        <w:rPr>
          <w:rStyle w:val="FootnoteReference"/>
        </w:rPr>
        <w:footnoteRef/>
      </w:r>
      <w:r>
        <w:t xml:space="preserve"> </w:t>
      </w:r>
      <w:r w:rsidR="007A1EA8" w:rsidRPr="007627CD">
        <w:t>Tiekėjo kvalifikacijos reikalavimų nustatymo metodika, patvirtinta Viešųjų pirkimų tarnybos direktoriaus 2017 m. birželio 29 d. įsakymu Nr. 1S-105 (žr. aktualią redakciją).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0393"/>
    <w:multiLevelType w:val="multilevel"/>
    <w:tmpl w:val="D2B4FDD2"/>
    <w:lvl w:ilvl="0">
      <w:start w:val="1"/>
      <w:numFmt w:val="decimal"/>
      <w:pStyle w:val="Style1"/>
      <w:lvlText w:val="%1."/>
      <w:lvlJc w:val="left"/>
      <w:pPr>
        <w:tabs>
          <w:tab w:val="num" w:pos="0"/>
        </w:tabs>
        <w:ind w:firstLine="2268"/>
      </w:pPr>
      <w:rPr>
        <w:rFonts w:ascii="Times New Roman" w:hAnsi="Times New Roman" w:cs="Times New Roman" w:hint="default"/>
        <w:b/>
        <w:i w:val="0"/>
        <w:sz w:val="24"/>
      </w:rPr>
    </w:lvl>
    <w:lvl w:ilvl="1">
      <w:start w:val="1"/>
      <w:numFmt w:val="decimal"/>
      <w:pStyle w:val="Style2"/>
      <w:lvlText w:val="%1.%2."/>
      <w:lvlJc w:val="left"/>
      <w:pPr>
        <w:tabs>
          <w:tab w:val="num" w:pos="0"/>
        </w:tabs>
        <w:ind w:firstLine="720"/>
      </w:pPr>
      <w:rPr>
        <w:rFonts w:ascii="Times New Roman" w:hAnsi="Times New Roman" w:cs="Times New Roman" w:hint="default"/>
        <w:b w:val="0"/>
        <w:i w:val="0"/>
        <w:strike w:val="0"/>
        <w:sz w:val="24"/>
        <w:szCs w:val="24"/>
      </w:rPr>
    </w:lvl>
    <w:lvl w:ilvl="2">
      <w:start w:val="1"/>
      <w:numFmt w:val="decimal"/>
      <w:pStyle w:val="Style3"/>
      <w:lvlText w:val="%1.%2.%3."/>
      <w:lvlJc w:val="left"/>
      <w:pPr>
        <w:tabs>
          <w:tab w:val="num" w:pos="0"/>
        </w:tabs>
        <w:ind w:firstLine="1077"/>
      </w:pPr>
      <w:rPr>
        <w:rFonts w:ascii="Times New Roman" w:hAnsi="Times New Roman" w:cs="Times New Roman" w:hint="default"/>
      </w:rPr>
    </w:lvl>
    <w:lvl w:ilvl="3">
      <w:start w:val="1"/>
      <w:numFmt w:val="decimal"/>
      <w:lvlText w:val="%1.%2.%3.%4"/>
      <w:lvlJc w:val="left"/>
      <w:pPr>
        <w:tabs>
          <w:tab w:val="num" w:pos="1584"/>
        </w:tabs>
        <w:ind w:left="1584" w:hanging="864"/>
      </w:pPr>
      <w:rPr>
        <w:rFonts w:ascii="Times New Roman" w:hAnsi="Times New Roman" w:cs="Times New Roman" w:hint="default"/>
      </w:rPr>
    </w:lvl>
    <w:lvl w:ilvl="4">
      <w:start w:val="1"/>
      <w:numFmt w:val="decimal"/>
      <w:lvlText w:val="%1.%2.%3.%4.%5"/>
      <w:lvlJc w:val="left"/>
      <w:pPr>
        <w:tabs>
          <w:tab w:val="num" w:pos="1728"/>
        </w:tabs>
        <w:ind w:left="1728" w:hanging="1008"/>
      </w:pPr>
      <w:rPr>
        <w:rFonts w:ascii="Times New Roman" w:hAnsi="Times New Roman" w:cs="Times New Roman" w:hint="default"/>
      </w:rPr>
    </w:lvl>
    <w:lvl w:ilvl="5">
      <w:start w:val="1"/>
      <w:numFmt w:val="decimal"/>
      <w:lvlText w:val="%1.%2.%3.%4.%5.%6"/>
      <w:lvlJc w:val="left"/>
      <w:pPr>
        <w:tabs>
          <w:tab w:val="num" w:pos="1872"/>
        </w:tabs>
        <w:ind w:left="1872" w:hanging="1152"/>
      </w:pPr>
      <w:rPr>
        <w:rFonts w:ascii="Times New Roman" w:hAnsi="Times New Roman" w:cs="Times New Roman" w:hint="default"/>
      </w:rPr>
    </w:lvl>
    <w:lvl w:ilvl="6">
      <w:start w:val="1"/>
      <w:numFmt w:val="decimal"/>
      <w:lvlText w:val="%1.%2.%3.%4.%5.%6.%7"/>
      <w:lvlJc w:val="left"/>
      <w:pPr>
        <w:tabs>
          <w:tab w:val="num" w:pos="2016"/>
        </w:tabs>
        <w:ind w:left="2016" w:hanging="1296"/>
      </w:pPr>
      <w:rPr>
        <w:rFonts w:ascii="Times New Roman" w:hAnsi="Times New Roman" w:cs="Times New Roman" w:hint="default"/>
      </w:rPr>
    </w:lvl>
    <w:lvl w:ilvl="7">
      <w:start w:val="1"/>
      <w:numFmt w:val="decimal"/>
      <w:lvlText w:val="%1.%2.%3.%4.%5.%6.%7.%8"/>
      <w:lvlJc w:val="left"/>
      <w:pPr>
        <w:tabs>
          <w:tab w:val="num" w:pos="2160"/>
        </w:tabs>
        <w:ind w:left="2160" w:hanging="1440"/>
      </w:pPr>
      <w:rPr>
        <w:rFonts w:ascii="Times New Roman" w:hAnsi="Times New Roman" w:cs="Times New Roman" w:hint="default"/>
      </w:rPr>
    </w:lvl>
    <w:lvl w:ilvl="8">
      <w:start w:val="1"/>
      <w:numFmt w:val="decimal"/>
      <w:lvlText w:val="%1.%2.%3.%4.%5.%6.%7.%8.%9"/>
      <w:lvlJc w:val="left"/>
      <w:pPr>
        <w:tabs>
          <w:tab w:val="num" w:pos="2304"/>
        </w:tabs>
        <w:ind w:left="2304" w:hanging="1584"/>
      </w:pPr>
      <w:rPr>
        <w:rFonts w:ascii="Times New Roman" w:hAnsi="Times New Roman" w:cs="Times New Roman" w:hint="default"/>
      </w:rPr>
    </w:lvl>
  </w:abstractNum>
  <w:abstractNum w:abstractNumId="1" w15:restartNumberingAfterBreak="0">
    <w:nsid w:val="338AA83D"/>
    <w:multiLevelType w:val="hybridMultilevel"/>
    <w:tmpl w:val="0CAEF00E"/>
    <w:lvl w:ilvl="0" w:tplc="04941C24">
      <w:start w:val="1"/>
      <w:numFmt w:val="decimal"/>
      <w:lvlText w:val="%1."/>
      <w:lvlJc w:val="left"/>
      <w:pPr>
        <w:ind w:left="720" w:hanging="360"/>
      </w:pPr>
    </w:lvl>
    <w:lvl w:ilvl="1" w:tplc="E868A50C">
      <w:start w:val="1"/>
      <w:numFmt w:val="lowerLetter"/>
      <w:lvlText w:val="%2."/>
      <w:lvlJc w:val="left"/>
      <w:pPr>
        <w:ind w:left="1440" w:hanging="360"/>
      </w:pPr>
    </w:lvl>
    <w:lvl w:ilvl="2" w:tplc="38D01664">
      <w:start w:val="1"/>
      <w:numFmt w:val="lowerRoman"/>
      <w:lvlText w:val="%3."/>
      <w:lvlJc w:val="right"/>
      <w:pPr>
        <w:ind w:left="2160" w:hanging="180"/>
      </w:pPr>
    </w:lvl>
    <w:lvl w:ilvl="3" w:tplc="72E65D04">
      <w:start w:val="1"/>
      <w:numFmt w:val="decimal"/>
      <w:lvlText w:val="%4."/>
      <w:lvlJc w:val="left"/>
      <w:pPr>
        <w:ind w:left="2880" w:hanging="360"/>
      </w:pPr>
    </w:lvl>
    <w:lvl w:ilvl="4" w:tplc="E7E62402">
      <w:start w:val="1"/>
      <w:numFmt w:val="lowerLetter"/>
      <w:lvlText w:val="%5."/>
      <w:lvlJc w:val="left"/>
      <w:pPr>
        <w:ind w:left="3600" w:hanging="360"/>
      </w:pPr>
    </w:lvl>
    <w:lvl w:ilvl="5" w:tplc="D1DEA790">
      <w:start w:val="1"/>
      <w:numFmt w:val="lowerRoman"/>
      <w:lvlText w:val="%6."/>
      <w:lvlJc w:val="right"/>
      <w:pPr>
        <w:ind w:left="4320" w:hanging="180"/>
      </w:pPr>
    </w:lvl>
    <w:lvl w:ilvl="6" w:tplc="B5249F44">
      <w:start w:val="1"/>
      <w:numFmt w:val="decimal"/>
      <w:lvlText w:val="%7."/>
      <w:lvlJc w:val="left"/>
      <w:pPr>
        <w:ind w:left="5040" w:hanging="360"/>
      </w:pPr>
    </w:lvl>
    <w:lvl w:ilvl="7" w:tplc="6F9A0076">
      <w:start w:val="1"/>
      <w:numFmt w:val="lowerLetter"/>
      <w:lvlText w:val="%8."/>
      <w:lvlJc w:val="left"/>
      <w:pPr>
        <w:ind w:left="5760" w:hanging="360"/>
      </w:pPr>
    </w:lvl>
    <w:lvl w:ilvl="8" w:tplc="24F8C180">
      <w:start w:val="1"/>
      <w:numFmt w:val="lowerRoman"/>
      <w:lvlText w:val="%9."/>
      <w:lvlJc w:val="right"/>
      <w:pPr>
        <w:ind w:left="6480" w:hanging="180"/>
      </w:pPr>
    </w:lvl>
  </w:abstractNum>
  <w:abstractNum w:abstractNumId="2"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rPr>
    </w:lvl>
    <w:lvl w:ilvl="3">
      <w:start w:val="1"/>
      <w:numFmt w:val="decimal"/>
      <w:lvlText w:val="%1.%2.%3.%4"/>
      <w:lvlJc w:val="left"/>
      <w:pPr>
        <w:tabs>
          <w:tab w:val="num" w:pos="2325"/>
        </w:tabs>
        <w:ind w:left="2325" w:hanging="1605"/>
      </w:pPr>
      <w:rPr>
        <w:rFonts w:ascii="Times New Roman" w:hAnsi="Times New Roman" w:cs="Times New Roman" w:hint="default"/>
      </w:rPr>
    </w:lvl>
    <w:lvl w:ilvl="4">
      <w:start w:val="1"/>
      <w:numFmt w:val="decimal"/>
      <w:lvlText w:val="%1.%2.%3.%4.%5"/>
      <w:lvlJc w:val="left"/>
      <w:pPr>
        <w:tabs>
          <w:tab w:val="num" w:pos="1728"/>
        </w:tabs>
        <w:ind w:left="1728" w:hanging="1008"/>
      </w:pPr>
      <w:rPr>
        <w:rFonts w:ascii="Times New Roman" w:hAnsi="Times New Roman" w:cs="Times New Roman" w:hint="default"/>
      </w:rPr>
    </w:lvl>
    <w:lvl w:ilvl="5">
      <w:start w:val="1"/>
      <w:numFmt w:val="decimal"/>
      <w:lvlText w:val="%1.%2.%3.%4.%5.%6"/>
      <w:lvlJc w:val="left"/>
      <w:pPr>
        <w:tabs>
          <w:tab w:val="num" w:pos="1872"/>
        </w:tabs>
        <w:ind w:left="1872" w:hanging="1152"/>
      </w:pPr>
      <w:rPr>
        <w:rFonts w:ascii="Times New Roman" w:hAnsi="Times New Roman" w:cs="Times New Roman" w:hint="default"/>
      </w:rPr>
    </w:lvl>
    <w:lvl w:ilvl="6">
      <w:start w:val="1"/>
      <w:numFmt w:val="decimal"/>
      <w:lvlText w:val="%1.%2.%3.%4.%5.%6.%7"/>
      <w:lvlJc w:val="left"/>
      <w:pPr>
        <w:tabs>
          <w:tab w:val="num" w:pos="2016"/>
        </w:tabs>
        <w:ind w:left="2016" w:hanging="1296"/>
      </w:pPr>
      <w:rPr>
        <w:rFonts w:ascii="Times New Roman" w:hAnsi="Times New Roman" w:cs="Times New Roman" w:hint="default"/>
      </w:rPr>
    </w:lvl>
    <w:lvl w:ilvl="7">
      <w:start w:val="1"/>
      <w:numFmt w:val="decimal"/>
      <w:lvlText w:val="%1.%2.%3.%4.%5.%6.%7.%8"/>
      <w:lvlJc w:val="left"/>
      <w:pPr>
        <w:tabs>
          <w:tab w:val="num" w:pos="2160"/>
        </w:tabs>
        <w:ind w:left="2160" w:hanging="1440"/>
      </w:pPr>
      <w:rPr>
        <w:rFonts w:ascii="Times New Roman" w:hAnsi="Times New Roman" w:cs="Times New Roman" w:hint="default"/>
      </w:rPr>
    </w:lvl>
    <w:lvl w:ilvl="8">
      <w:start w:val="1"/>
      <w:numFmt w:val="decimal"/>
      <w:lvlText w:val="%1.%2.%3.%4.%5.%6.%7.%8.%9"/>
      <w:lvlJc w:val="left"/>
      <w:pPr>
        <w:tabs>
          <w:tab w:val="num" w:pos="2304"/>
        </w:tabs>
        <w:ind w:left="2304" w:hanging="1584"/>
      </w:pPr>
      <w:rPr>
        <w:rFonts w:ascii="Times New Roman" w:hAnsi="Times New Roman" w:cs="Times New Roman" w:hint="default"/>
      </w:rPr>
    </w:lvl>
  </w:abstractNum>
  <w:abstractNum w:abstractNumId="3" w15:restartNumberingAfterBreak="0">
    <w:nsid w:val="561D5363"/>
    <w:multiLevelType w:val="multilevel"/>
    <w:tmpl w:val="030EA454"/>
    <w:lvl w:ilvl="0">
      <w:start w:val="1"/>
      <w:numFmt w:val="decimal"/>
      <w:lvlText w:val="%1."/>
      <w:lvlJc w:val="left"/>
      <w:pPr>
        <w:ind w:left="360" w:hanging="360"/>
      </w:pPr>
      <w:rPr>
        <w:rFonts w:hint="default"/>
        <w:b w:val="0"/>
        <w:bCs/>
      </w:rPr>
    </w:lvl>
    <w:lvl w:ilvl="1">
      <w:start w:val="1"/>
      <w:numFmt w:val="decimal"/>
      <w:lvlText w:val="%1.%2."/>
      <w:lvlJc w:val="left"/>
      <w:pPr>
        <w:ind w:left="1353" w:hanging="360"/>
      </w:pPr>
      <w:rPr>
        <w:rFonts w:hint="default"/>
        <w:b w:val="0"/>
        <w:bCs/>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 w15:restartNumberingAfterBreak="0">
    <w:nsid w:val="6A656879"/>
    <w:multiLevelType w:val="hybridMultilevel"/>
    <w:tmpl w:val="6504D61A"/>
    <w:lvl w:ilvl="0" w:tplc="FFFFFFFF">
      <w:start w:val="1"/>
      <w:numFmt w:val="decimal"/>
      <w:lvlText w:val="%1)"/>
      <w:lvlJc w:val="left"/>
      <w:pPr>
        <w:ind w:left="1069" w:hanging="360"/>
      </w:pPr>
      <w:rPr>
        <w:rFonts w:eastAsia="Times New Roman" w:hint="default"/>
        <w:sz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6FAC7A3C"/>
    <w:multiLevelType w:val="hybridMultilevel"/>
    <w:tmpl w:val="6504D61A"/>
    <w:lvl w:ilvl="0" w:tplc="FFFFFFFF">
      <w:start w:val="1"/>
      <w:numFmt w:val="decimal"/>
      <w:lvlText w:val="%1)"/>
      <w:lvlJc w:val="left"/>
      <w:pPr>
        <w:ind w:left="1069" w:hanging="360"/>
      </w:pPr>
      <w:rPr>
        <w:rFonts w:eastAsia="Times New Roman" w:hint="default"/>
        <w:sz w:val="24"/>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 w15:restartNumberingAfterBreak="0">
    <w:nsid w:val="7D9B059B"/>
    <w:multiLevelType w:val="hybridMultilevel"/>
    <w:tmpl w:val="6504D61A"/>
    <w:lvl w:ilvl="0" w:tplc="E2F434C2">
      <w:start w:val="1"/>
      <w:numFmt w:val="decimal"/>
      <w:lvlText w:val="%1)"/>
      <w:lvlJc w:val="left"/>
      <w:pPr>
        <w:ind w:left="1069" w:hanging="360"/>
      </w:pPr>
      <w:rPr>
        <w:rFonts w:eastAsia="Times New Roman" w:hint="default"/>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79764279">
    <w:abstractNumId w:val="1"/>
  </w:num>
  <w:num w:numId="2" w16cid:durableId="1549604797">
    <w:abstractNumId w:val="6"/>
  </w:num>
  <w:num w:numId="3" w16cid:durableId="1016348363">
    <w:abstractNumId w:val="0"/>
  </w:num>
  <w:num w:numId="4" w16cid:durableId="1275208860">
    <w:abstractNumId w:val="2"/>
  </w:num>
  <w:num w:numId="5" w16cid:durableId="893587740">
    <w:abstractNumId w:val="4"/>
  </w:num>
  <w:num w:numId="6" w16cid:durableId="707877234">
    <w:abstractNumId w:val="5"/>
  </w:num>
  <w:num w:numId="7" w16cid:durableId="1078215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2FB"/>
    <w:rsid w:val="00006AD9"/>
    <w:rsid w:val="00054385"/>
    <w:rsid w:val="00057A8C"/>
    <w:rsid w:val="000862C0"/>
    <w:rsid w:val="00087270"/>
    <w:rsid w:val="00092F0C"/>
    <w:rsid w:val="000A38C4"/>
    <w:rsid w:val="000B5DB6"/>
    <w:rsid w:val="000E6665"/>
    <w:rsid w:val="000F0C38"/>
    <w:rsid w:val="00107768"/>
    <w:rsid w:val="00113789"/>
    <w:rsid w:val="00115F09"/>
    <w:rsid w:val="00123C12"/>
    <w:rsid w:val="00192CFA"/>
    <w:rsid w:val="001C2028"/>
    <w:rsid w:val="001D4ED8"/>
    <w:rsid w:val="00201510"/>
    <w:rsid w:val="002132C7"/>
    <w:rsid w:val="00246EBA"/>
    <w:rsid w:val="00286312"/>
    <w:rsid w:val="0029017B"/>
    <w:rsid w:val="00296535"/>
    <w:rsid w:val="002C275C"/>
    <w:rsid w:val="002C6DF6"/>
    <w:rsid w:val="002E505C"/>
    <w:rsid w:val="002F1EF8"/>
    <w:rsid w:val="003053C9"/>
    <w:rsid w:val="00307C33"/>
    <w:rsid w:val="003365C7"/>
    <w:rsid w:val="00364BC6"/>
    <w:rsid w:val="003A3CBA"/>
    <w:rsid w:val="003C744B"/>
    <w:rsid w:val="003D6567"/>
    <w:rsid w:val="003D74EC"/>
    <w:rsid w:val="004038A5"/>
    <w:rsid w:val="00423CEE"/>
    <w:rsid w:val="00450CCB"/>
    <w:rsid w:val="00465606"/>
    <w:rsid w:val="00485217"/>
    <w:rsid w:val="004852B5"/>
    <w:rsid w:val="004969A7"/>
    <w:rsid w:val="004A0CB2"/>
    <w:rsid w:val="004E727A"/>
    <w:rsid w:val="005246D4"/>
    <w:rsid w:val="00554A37"/>
    <w:rsid w:val="00580C10"/>
    <w:rsid w:val="00594810"/>
    <w:rsid w:val="005A0670"/>
    <w:rsid w:val="005A67AF"/>
    <w:rsid w:val="00602F3E"/>
    <w:rsid w:val="006043FB"/>
    <w:rsid w:val="0060597F"/>
    <w:rsid w:val="006257CA"/>
    <w:rsid w:val="00683223"/>
    <w:rsid w:val="0069222E"/>
    <w:rsid w:val="00694E74"/>
    <w:rsid w:val="007102FB"/>
    <w:rsid w:val="00711205"/>
    <w:rsid w:val="007349F9"/>
    <w:rsid w:val="0079024B"/>
    <w:rsid w:val="007965EE"/>
    <w:rsid w:val="007A1EA8"/>
    <w:rsid w:val="007C052D"/>
    <w:rsid w:val="007D56E6"/>
    <w:rsid w:val="007D7606"/>
    <w:rsid w:val="007E409B"/>
    <w:rsid w:val="00846A8B"/>
    <w:rsid w:val="008529B9"/>
    <w:rsid w:val="008548AB"/>
    <w:rsid w:val="00861947"/>
    <w:rsid w:val="008627AC"/>
    <w:rsid w:val="00873728"/>
    <w:rsid w:val="008B3AE7"/>
    <w:rsid w:val="008B6819"/>
    <w:rsid w:val="008C1D1C"/>
    <w:rsid w:val="008C707A"/>
    <w:rsid w:val="009101F5"/>
    <w:rsid w:val="00940CDA"/>
    <w:rsid w:val="009811F9"/>
    <w:rsid w:val="00985F16"/>
    <w:rsid w:val="009C5EA1"/>
    <w:rsid w:val="009C62A6"/>
    <w:rsid w:val="00A47615"/>
    <w:rsid w:val="00AA5688"/>
    <w:rsid w:val="00AE509B"/>
    <w:rsid w:val="00AF4AE6"/>
    <w:rsid w:val="00B122AA"/>
    <w:rsid w:val="00B82B9F"/>
    <w:rsid w:val="00BA0115"/>
    <w:rsid w:val="00BD7018"/>
    <w:rsid w:val="00BE5756"/>
    <w:rsid w:val="00C00BD9"/>
    <w:rsid w:val="00C03920"/>
    <w:rsid w:val="00C35EF7"/>
    <w:rsid w:val="00C6484B"/>
    <w:rsid w:val="00C72C8A"/>
    <w:rsid w:val="00C86E84"/>
    <w:rsid w:val="00C95E05"/>
    <w:rsid w:val="00CC61EA"/>
    <w:rsid w:val="00CE47AB"/>
    <w:rsid w:val="00CF437A"/>
    <w:rsid w:val="00D10D5B"/>
    <w:rsid w:val="00D61825"/>
    <w:rsid w:val="00D7558E"/>
    <w:rsid w:val="00D76C44"/>
    <w:rsid w:val="00D76E70"/>
    <w:rsid w:val="00D90F7A"/>
    <w:rsid w:val="00D91DCA"/>
    <w:rsid w:val="00DA0C9D"/>
    <w:rsid w:val="00DC77EB"/>
    <w:rsid w:val="00E46408"/>
    <w:rsid w:val="00E6249F"/>
    <w:rsid w:val="00E6371A"/>
    <w:rsid w:val="00E960D4"/>
    <w:rsid w:val="00EA4849"/>
    <w:rsid w:val="00EC7A31"/>
    <w:rsid w:val="00EE4314"/>
    <w:rsid w:val="00F03CCC"/>
    <w:rsid w:val="00F21466"/>
    <w:rsid w:val="00F26C3D"/>
    <w:rsid w:val="00F74731"/>
    <w:rsid w:val="00F90469"/>
    <w:rsid w:val="00FA3B28"/>
    <w:rsid w:val="00FC3D70"/>
    <w:rsid w:val="00FD5EF1"/>
    <w:rsid w:val="00FF0EC9"/>
    <w:rsid w:val="00FF3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7AA08"/>
  <w15:chartTrackingRefBased/>
  <w15:docId w15:val="{2D03DDA9-FC15-424F-B7E0-7AAD29403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2FB"/>
    <w:pPr>
      <w:spacing w:after="0" w:line="240" w:lineRule="auto"/>
    </w:pPr>
    <w:rPr>
      <w:rFonts w:ascii="Calibri" w:hAnsi="Calibri" w:cs="Calibri"/>
      <w:kern w:val="0"/>
      <w:sz w:val="22"/>
      <w:szCs w:val="22"/>
      <w:lang w:val="lt-LT"/>
      <w14:ligatures w14:val="none"/>
    </w:rPr>
  </w:style>
  <w:style w:type="paragraph" w:styleId="Heading1">
    <w:name w:val="heading 1"/>
    <w:basedOn w:val="Normal"/>
    <w:next w:val="Normal"/>
    <w:link w:val="Heading1Char"/>
    <w:uiPriority w:val="9"/>
    <w:qFormat/>
    <w:rsid w:val="00710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0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0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0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0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02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02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02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02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02FB"/>
    <w:rPr>
      <w:rFonts w:asciiTheme="majorHAnsi" w:eastAsiaTheme="majorEastAsia" w:hAnsiTheme="majorHAnsi" w:cstheme="majorBidi"/>
      <w:color w:val="0F4761" w:themeColor="accent1" w:themeShade="BF"/>
      <w:sz w:val="40"/>
      <w:szCs w:val="40"/>
      <w:lang w:val="lt-LT"/>
    </w:rPr>
  </w:style>
  <w:style w:type="character" w:customStyle="1" w:styleId="Heading2Char">
    <w:name w:val="Heading 2 Char"/>
    <w:basedOn w:val="DefaultParagraphFont"/>
    <w:link w:val="Heading2"/>
    <w:uiPriority w:val="9"/>
    <w:semiHidden/>
    <w:rsid w:val="007102FB"/>
    <w:rPr>
      <w:rFonts w:asciiTheme="majorHAnsi" w:eastAsiaTheme="majorEastAsia" w:hAnsiTheme="majorHAnsi" w:cstheme="majorBidi"/>
      <w:color w:val="0F4761" w:themeColor="accent1" w:themeShade="BF"/>
      <w:sz w:val="32"/>
      <w:szCs w:val="32"/>
      <w:lang w:val="lt-LT"/>
    </w:rPr>
  </w:style>
  <w:style w:type="character" w:customStyle="1" w:styleId="Heading3Char">
    <w:name w:val="Heading 3 Char"/>
    <w:basedOn w:val="DefaultParagraphFont"/>
    <w:link w:val="Heading3"/>
    <w:uiPriority w:val="9"/>
    <w:semiHidden/>
    <w:rsid w:val="007102FB"/>
    <w:rPr>
      <w:rFonts w:eastAsiaTheme="majorEastAsia" w:cstheme="majorBidi"/>
      <w:color w:val="0F4761" w:themeColor="accent1" w:themeShade="BF"/>
      <w:sz w:val="28"/>
      <w:szCs w:val="28"/>
      <w:lang w:val="lt-LT"/>
    </w:rPr>
  </w:style>
  <w:style w:type="character" w:customStyle="1" w:styleId="Heading4Char">
    <w:name w:val="Heading 4 Char"/>
    <w:basedOn w:val="DefaultParagraphFont"/>
    <w:link w:val="Heading4"/>
    <w:uiPriority w:val="9"/>
    <w:semiHidden/>
    <w:rsid w:val="007102FB"/>
    <w:rPr>
      <w:rFonts w:eastAsiaTheme="majorEastAsia" w:cstheme="majorBidi"/>
      <w:i/>
      <w:iCs/>
      <w:color w:val="0F4761" w:themeColor="accent1" w:themeShade="BF"/>
      <w:lang w:val="lt-LT"/>
    </w:rPr>
  </w:style>
  <w:style w:type="character" w:customStyle="1" w:styleId="Heading5Char">
    <w:name w:val="Heading 5 Char"/>
    <w:basedOn w:val="DefaultParagraphFont"/>
    <w:link w:val="Heading5"/>
    <w:uiPriority w:val="9"/>
    <w:semiHidden/>
    <w:rsid w:val="007102FB"/>
    <w:rPr>
      <w:rFonts w:eastAsiaTheme="majorEastAsia" w:cstheme="majorBidi"/>
      <w:color w:val="0F4761" w:themeColor="accent1" w:themeShade="BF"/>
      <w:lang w:val="lt-LT"/>
    </w:rPr>
  </w:style>
  <w:style w:type="character" w:customStyle="1" w:styleId="Heading6Char">
    <w:name w:val="Heading 6 Char"/>
    <w:basedOn w:val="DefaultParagraphFont"/>
    <w:link w:val="Heading6"/>
    <w:uiPriority w:val="9"/>
    <w:semiHidden/>
    <w:rsid w:val="007102FB"/>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7102FB"/>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7102FB"/>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7102FB"/>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7102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02FB"/>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710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02FB"/>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7102FB"/>
    <w:pPr>
      <w:spacing w:before="160"/>
      <w:jc w:val="center"/>
    </w:pPr>
    <w:rPr>
      <w:i/>
      <w:iCs/>
      <w:color w:val="404040" w:themeColor="text1" w:themeTint="BF"/>
    </w:rPr>
  </w:style>
  <w:style w:type="character" w:customStyle="1" w:styleId="QuoteChar">
    <w:name w:val="Quote Char"/>
    <w:basedOn w:val="DefaultParagraphFont"/>
    <w:link w:val="Quote"/>
    <w:uiPriority w:val="29"/>
    <w:rsid w:val="007102FB"/>
    <w:rPr>
      <w:i/>
      <w:iCs/>
      <w:color w:val="404040" w:themeColor="text1" w:themeTint="BF"/>
      <w:lang w:val="lt-LT"/>
    </w:rPr>
  </w:style>
  <w:style w:type="paragraph" w:styleId="ListParagraph">
    <w:name w:val="List Paragraph"/>
    <w:aliases w:val="ERP-List Paragraph,List Paragraph11,lp1,Bullet 1,Use Case List Paragraph,Numbering,Buletai,Bullet EY,List Paragraph21,List Paragraph2,List Paragraph111,Paragraph,List not in Table,Sąrašo pastraipa2,Sąrašo pastraipa.Bullet,Bullet,Lentele"/>
    <w:basedOn w:val="Normal"/>
    <w:link w:val="ListParagraphChar"/>
    <w:uiPriority w:val="34"/>
    <w:qFormat/>
    <w:rsid w:val="007102FB"/>
    <w:pPr>
      <w:ind w:left="720"/>
      <w:contextualSpacing/>
    </w:pPr>
  </w:style>
  <w:style w:type="character" w:styleId="IntenseEmphasis">
    <w:name w:val="Intense Emphasis"/>
    <w:basedOn w:val="DefaultParagraphFont"/>
    <w:uiPriority w:val="21"/>
    <w:qFormat/>
    <w:rsid w:val="007102FB"/>
    <w:rPr>
      <w:i/>
      <w:iCs/>
      <w:color w:val="0F4761" w:themeColor="accent1" w:themeShade="BF"/>
    </w:rPr>
  </w:style>
  <w:style w:type="paragraph" w:styleId="IntenseQuote">
    <w:name w:val="Intense Quote"/>
    <w:basedOn w:val="Normal"/>
    <w:next w:val="Normal"/>
    <w:link w:val="IntenseQuoteChar"/>
    <w:uiPriority w:val="30"/>
    <w:qFormat/>
    <w:rsid w:val="00710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02FB"/>
    <w:rPr>
      <w:i/>
      <w:iCs/>
      <w:color w:val="0F4761" w:themeColor="accent1" w:themeShade="BF"/>
      <w:lang w:val="lt-LT"/>
    </w:rPr>
  </w:style>
  <w:style w:type="character" w:styleId="IntenseReference">
    <w:name w:val="Intense Reference"/>
    <w:basedOn w:val="DefaultParagraphFont"/>
    <w:uiPriority w:val="32"/>
    <w:qFormat/>
    <w:rsid w:val="007102FB"/>
    <w:rPr>
      <w:b/>
      <w:bCs/>
      <w:smallCaps/>
      <w:color w:val="0F4761" w:themeColor="accent1" w:themeShade="BF"/>
      <w:spacing w:val="5"/>
    </w:rPr>
  </w:style>
  <w:style w:type="character" w:customStyle="1" w:styleId="ListParagraphChar">
    <w:name w:val="List Paragraph Char"/>
    <w:aliases w:val="ERP-List Paragraph Char,List Paragraph11 Char,lp1 Char,Bullet 1 Char,Use Case List Paragraph Char,Numbering Char,Buletai Char,Bullet EY Char,List Paragraph21 Char,List Paragraph2 Char,List Paragraph111 Char,Paragraph Char,Bullet Char"/>
    <w:link w:val="ListParagraph"/>
    <w:uiPriority w:val="34"/>
    <w:qFormat/>
    <w:rsid w:val="007102FB"/>
    <w:rPr>
      <w:lang w:val="lt-LT"/>
    </w:rPr>
  </w:style>
  <w:style w:type="paragraph" w:customStyle="1" w:styleId="DefaultStyle">
    <w:name w:val="Default Style"/>
    <w:rsid w:val="00A47615"/>
    <w:pPr>
      <w:widowControl w:val="0"/>
      <w:suppressAutoHyphens/>
      <w:spacing w:line="259" w:lineRule="auto"/>
      <w:ind w:left="113" w:hanging="113"/>
      <w:jc w:val="both"/>
    </w:pPr>
    <w:rPr>
      <w:rFonts w:ascii="Times New Roman" w:eastAsia="Calibri" w:hAnsi="Times New Roman" w:cs="Times New Roman"/>
      <w:kern w:val="0"/>
      <w14:ligatures w14:val="none"/>
    </w:rPr>
  </w:style>
  <w:style w:type="table" w:styleId="TableGrid">
    <w:name w:val="Table Grid"/>
    <w:basedOn w:val="TableNormal"/>
    <w:uiPriority w:val="39"/>
    <w:rsid w:val="001D4ED8"/>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38C4"/>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
    <w:basedOn w:val="Normal"/>
    <w:link w:val="FootnoteTextChar"/>
    <w:uiPriority w:val="99"/>
    <w:unhideWhenUsed/>
    <w:qFormat/>
    <w:rsid w:val="00E6371A"/>
    <w:rPr>
      <w:rFonts w:asciiTheme="minorHAnsi" w:hAnsiTheme="minorHAnsi" w:cstheme="minorBidi"/>
      <w:kern w:val="2"/>
      <w:sz w:val="20"/>
      <w:szCs w:val="20"/>
      <w14:ligatures w14:val="standardContextual"/>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rsid w:val="00E6371A"/>
    <w:rPr>
      <w:sz w:val="20"/>
      <w:szCs w:val="20"/>
      <w:lang w:val="lt-LT"/>
    </w:rPr>
  </w:style>
  <w:style w:type="paragraph" w:customStyle="1" w:styleId="paragraph">
    <w:name w:val="paragraph"/>
    <w:basedOn w:val="Normal"/>
    <w:rsid w:val="0079024B"/>
    <w:pPr>
      <w:spacing w:before="100" w:beforeAutospacing="1" w:after="100" w:afterAutospacing="1"/>
    </w:pPr>
    <w:rPr>
      <w:rFonts w:ascii="Times New Roman" w:eastAsia="Times New Roman" w:hAnsi="Times New Roman" w:cs="Times New Roman"/>
      <w:sz w:val="24"/>
      <w:szCs w:val="24"/>
      <w:lang w:val="en-US"/>
    </w:rPr>
  </w:style>
  <w:style w:type="paragraph" w:customStyle="1" w:styleId="Style1">
    <w:name w:val="Style1"/>
    <w:basedOn w:val="Normal"/>
    <w:next w:val="Normal"/>
    <w:rsid w:val="00CF437A"/>
    <w:pPr>
      <w:numPr>
        <w:numId w:val="3"/>
      </w:numPr>
      <w:spacing w:before="360" w:after="240"/>
    </w:pPr>
    <w:rPr>
      <w:rFonts w:ascii="Times New Roman" w:eastAsia="Times New Roman" w:hAnsi="Times New Roman" w:cs="Times New Roman"/>
      <w:b/>
      <w:bCs/>
      <w:sz w:val="24"/>
      <w:szCs w:val="20"/>
      <w:lang w:eastAsia="lt-LT"/>
    </w:rPr>
  </w:style>
  <w:style w:type="paragraph" w:customStyle="1" w:styleId="Style2">
    <w:name w:val="Style2"/>
    <w:basedOn w:val="Normal"/>
    <w:next w:val="Normal"/>
    <w:rsid w:val="00CF437A"/>
    <w:pPr>
      <w:numPr>
        <w:ilvl w:val="1"/>
        <w:numId w:val="3"/>
      </w:numPr>
      <w:snapToGrid w:val="0"/>
      <w:spacing w:before="120" w:after="120"/>
      <w:jc w:val="both"/>
      <w:outlineLvl w:val="0"/>
    </w:pPr>
    <w:rPr>
      <w:rFonts w:ascii="Times New Roman" w:eastAsia="Times New Roman" w:hAnsi="Times New Roman" w:cs="Times New Roman"/>
      <w:sz w:val="24"/>
      <w:szCs w:val="24"/>
      <w:lang w:eastAsia="lt-LT"/>
    </w:rPr>
  </w:style>
  <w:style w:type="paragraph" w:customStyle="1" w:styleId="PWH2">
    <w:name w:val="PWH2"/>
    <w:basedOn w:val="Normal"/>
    <w:next w:val="Normal"/>
    <w:rsid w:val="00CF437A"/>
    <w:pPr>
      <w:numPr>
        <w:ilvl w:val="1"/>
        <w:numId w:val="4"/>
      </w:numPr>
      <w:tabs>
        <w:tab w:val="num" w:pos="360"/>
      </w:tabs>
      <w:overflowPunct w:val="0"/>
      <w:autoSpaceDE w:val="0"/>
      <w:autoSpaceDN w:val="0"/>
      <w:adjustRightInd w:val="0"/>
      <w:spacing w:before="360" w:after="240"/>
      <w:textAlignment w:val="baseline"/>
    </w:pPr>
    <w:rPr>
      <w:rFonts w:ascii="Arial" w:eastAsia="Times New Roman" w:hAnsi="Arial" w:cs="Arial"/>
      <w:b/>
      <w:sz w:val="24"/>
      <w:szCs w:val="20"/>
    </w:rPr>
  </w:style>
  <w:style w:type="paragraph" w:customStyle="1" w:styleId="Style3">
    <w:name w:val="Style3"/>
    <w:basedOn w:val="Style2"/>
    <w:rsid w:val="00CF437A"/>
    <w:pPr>
      <w:numPr>
        <w:ilvl w:val="2"/>
      </w:numPr>
      <w:tabs>
        <w:tab w:val="clear" w:pos="0"/>
        <w:tab w:val="num" w:pos="1209"/>
        <w:tab w:val="num" w:pos="1798"/>
      </w:tabs>
      <w:spacing w:before="240"/>
      <w:ind w:left="1798" w:hanging="720"/>
    </w:pPr>
  </w:style>
  <w:style w:type="character" w:customStyle="1" w:styleId="normaltextrun">
    <w:name w:val="normaltextrun"/>
    <w:basedOn w:val="DefaultParagraphFont"/>
    <w:rsid w:val="00940CDA"/>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8C1D1C"/>
    <w:rPr>
      <w:vertAlign w:val="superscript"/>
    </w:rPr>
  </w:style>
  <w:style w:type="paragraph" w:styleId="Footer">
    <w:name w:val="footer"/>
    <w:aliases w:val="Apatinis kolontitulas Diagrama,Apatinis kolontitulas Diagrama2 Diagrama1,Apatinis kolontitulas Diagrama Diagrama Diagrama,Diagrama5 Diagrama Diagrama Diagrama,Apatinis kolontitulas Diagrama1 Diagrama Diagrama Diagrama"/>
    <w:basedOn w:val="Normal"/>
    <w:link w:val="FooterChar"/>
    <w:uiPriority w:val="99"/>
    <w:rsid w:val="00087270"/>
    <w:pPr>
      <w:tabs>
        <w:tab w:val="center" w:pos="4320"/>
        <w:tab w:val="right" w:pos="8640"/>
      </w:tabs>
    </w:pPr>
    <w:rPr>
      <w:rFonts w:ascii="Times New Roman" w:eastAsia="Times New Roman" w:hAnsi="Times New Roman" w:cs="Times New Roman"/>
      <w:sz w:val="24"/>
      <w:szCs w:val="20"/>
      <w:lang w:eastAsia="lt-LT"/>
    </w:rPr>
  </w:style>
  <w:style w:type="character" w:customStyle="1" w:styleId="FooterChar">
    <w:name w:val="Footer Char"/>
    <w:aliases w:val="Apatinis kolontitulas Diagrama Char,Apatinis kolontitulas Diagrama2 Diagrama1 Char,Apatinis kolontitulas Diagrama Diagrama Diagrama Char,Diagrama5 Diagrama Diagrama Diagrama Char"/>
    <w:basedOn w:val="DefaultParagraphFont"/>
    <w:link w:val="Footer"/>
    <w:uiPriority w:val="99"/>
    <w:rsid w:val="00087270"/>
    <w:rPr>
      <w:rFonts w:ascii="Times New Roman" w:eastAsia="Times New Roman" w:hAnsi="Times New Roman" w:cs="Times New Roman"/>
      <w:kern w:val="0"/>
      <w:szCs w:val="20"/>
      <w:lang w:val="lt-LT" w:eastAsia="lt-LT"/>
      <w14:ligatures w14:val="none"/>
    </w:rPr>
  </w:style>
  <w:style w:type="character" w:styleId="UnresolvedMention">
    <w:name w:val="Unresolved Mention"/>
    <w:basedOn w:val="DefaultParagraphFont"/>
    <w:uiPriority w:val="99"/>
    <w:semiHidden/>
    <w:unhideWhenUsed/>
    <w:rsid w:val="00192CFA"/>
    <w:rPr>
      <w:color w:val="605E5C"/>
      <w:shd w:val="clear" w:color="auto" w:fill="E1DFDD"/>
    </w:rPr>
  </w:style>
  <w:style w:type="paragraph" w:styleId="Revision">
    <w:name w:val="Revision"/>
    <w:hidden/>
    <w:uiPriority w:val="99"/>
    <w:semiHidden/>
    <w:rsid w:val="00115F09"/>
    <w:pPr>
      <w:spacing w:after="0" w:line="240" w:lineRule="auto"/>
    </w:pPr>
    <w:rPr>
      <w:rFonts w:ascii="Calibri" w:hAnsi="Calibri" w:cs="Calibri"/>
      <w:kern w:val="0"/>
      <w:sz w:val="22"/>
      <w:szCs w:val="22"/>
      <w:lang w:val="lt-LT"/>
      <w14:ligatures w14:val="none"/>
    </w:rPr>
  </w:style>
  <w:style w:type="character" w:styleId="CommentReference">
    <w:name w:val="annotation reference"/>
    <w:basedOn w:val="DefaultParagraphFont"/>
    <w:uiPriority w:val="99"/>
    <w:semiHidden/>
    <w:unhideWhenUsed/>
    <w:rsid w:val="003053C9"/>
    <w:rPr>
      <w:sz w:val="16"/>
      <w:szCs w:val="16"/>
    </w:rPr>
  </w:style>
  <w:style w:type="paragraph" w:styleId="CommentText">
    <w:name w:val="annotation text"/>
    <w:basedOn w:val="Normal"/>
    <w:link w:val="CommentTextChar"/>
    <w:uiPriority w:val="99"/>
    <w:unhideWhenUsed/>
    <w:rsid w:val="003053C9"/>
    <w:rPr>
      <w:sz w:val="20"/>
      <w:szCs w:val="20"/>
    </w:rPr>
  </w:style>
  <w:style w:type="character" w:customStyle="1" w:styleId="CommentTextChar">
    <w:name w:val="Comment Text Char"/>
    <w:basedOn w:val="DefaultParagraphFont"/>
    <w:link w:val="CommentText"/>
    <w:uiPriority w:val="99"/>
    <w:rsid w:val="003053C9"/>
    <w:rPr>
      <w:rFonts w:ascii="Calibri" w:hAnsi="Calibri" w:cs="Calibri"/>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3053C9"/>
    <w:rPr>
      <w:b/>
      <w:bCs/>
    </w:rPr>
  </w:style>
  <w:style w:type="character" w:customStyle="1" w:styleId="CommentSubjectChar">
    <w:name w:val="Comment Subject Char"/>
    <w:basedOn w:val="CommentTextChar"/>
    <w:link w:val="CommentSubject"/>
    <w:uiPriority w:val="99"/>
    <w:semiHidden/>
    <w:rsid w:val="003053C9"/>
    <w:rPr>
      <w:rFonts w:ascii="Calibri" w:hAnsi="Calibri" w:cs="Calibri"/>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darbu_gaires.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eimas.lrs.lt/portal/legalAct/lt/TAD/01aeb1815d8c11e7a53b83ca0142260e/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eimas.lrs.lt/portal/legalAct/lt/TAD/01aeb1815d8c11e7a53b83ca0142260e/asr" TargetMode="External"/><Relationship Id="rId5" Type="http://schemas.openxmlformats.org/officeDocument/2006/relationships/webSettings" Target="webSettings.xml"/><Relationship Id="rId10" Type="http://schemas.openxmlformats.org/officeDocument/2006/relationships/hyperlink" Target="https://e-seimas.lrs.lt/portal/legalAct/lt/TAD/01aeb1815d8c11e7a53b83ca0142260e/asr" TargetMode="External"/><Relationship Id="rId4" Type="http://schemas.openxmlformats.org/officeDocument/2006/relationships/settings" Target="settings.xml"/><Relationship Id="rId9" Type="http://schemas.openxmlformats.org/officeDocument/2006/relationships/hyperlink" Target="https://vpt.lrv.lt/uploads/vpt/documents/files/mp/Statybos_darbu_gaires_2023-07-31.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5359E-60F1-454B-99D0-4F52CD376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1509</Words>
  <Characters>8604</Characters>
  <Application>Microsoft Office Word</Application>
  <DocSecurity>0</DocSecurity>
  <Lines>71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Pristavko</dc:creator>
  <cp:keywords/>
  <dc:description/>
  <cp:lastModifiedBy>Julija Pristavko</cp:lastModifiedBy>
  <cp:revision>3</cp:revision>
  <dcterms:created xsi:type="dcterms:W3CDTF">2025-07-17T13:24:00Z</dcterms:created>
  <dcterms:modified xsi:type="dcterms:W3CDTF">2025-07-17T13:24:00Z</dcterms:modified>
</cp:coreProperties>
</file>