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76AD" w14:textId="77777777" w:rsidR="00581CEC" w:rsidRPr="0055142E" w:rsidRDefault="00581CEC" w:rsidP="0055142E">
      <w:pPr>
        <w:spacing w:line="276" w:lineRule="auto"/>
        <w:rPr>
          <w:rFonts w:ascii="Calibri" w:hAnsi="Calibri" w:cs="Calibri"/>
          <w:lang w:val="lt-LT"/>
        </w:rPr>
      </w:pPr>
      <w:r w:rsidRPr="0055142E">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2AE5483" w14:textId="77777777" w:rsidR="00F36172" w:rsidRDefault="00581CEC" w:rsidP="000516D9">
      <w:pPr>
        <w:spacing w:line="276" w:lineRule="auto"/>
        <w:rPr>
          <w:rFonts w:ascii="Calibri" w:hAnsi="Calibri" w:cs="Calibri"/>
          <w:lang w:val="lt-LT"/>
        </w:rPr>
      </w:pPr>
      <w:r w:rsidRPr="0055142E">
        <w:rPr>
          <w:rFonts w:ascii="Calibri" w:hAnsi="Calibri" w:cs="Calibri"/>
          <w:lang w:val="lt"/>
        </w:rPr>
        <w:t xml:space="preserve">Vadovaujantis Tarnybai Įstatyme nustatyta pažeidimų prevencijos funkcija, šiuo metu atliekama </w:t>
      </w:r>
      <w:r w:rsidR="00E069EC">
        <w:rPr>
          <w:rFonts w:ascii="Calibri" w:hAnsi="Calibri" w:cs="Calibri"/>
          <w:b/>
          <w:bCs/>
          <w:lang w:val="lt-LT"/>
        </w:rPr>
        <w:t>Anykščių</w:t>
      </w:r>
      <w:r w:rsidR="003B369F" w:rsidRPr="0055142E">
        <w:rPr>
          <w:rFonts w:ascii="Calibri" w:hAnsi="Calibri" w:cs="Calibri"/>
          <w:b/>
          <w:bCs/>
          <w:lang w:val="lt-LT"/>
        </w:rPr>
        <w:t xml:space="preserve"> rajono savivaldybės administracijos</w:t>
      </w:r>
      <w:r w:rsidR="003B369F" w:rsidRPr="0055142E">
        <w:rPr>
          <w:rFonts w:ascii="Calibri" w:hAnsi="Calibri" w:cs="Calibri"/>
          <w:lang w:val="lt"/>
        </w:rPr>
        <w:t xml:space="preserve"> </w:t>
      </w:r>
      <w:r w:rsidRPr="0055142E">
        <w:rPr>
          <w:rFonts w:ascii="Calibri" w:hAnsi="Calibri" w:cs="Calibri"/>
          <w:lang w:val="lt"/>
        </w:rPr>
        <w:t xml:space="preserve">(toliau – Perkančioji organizacija) vykdomo pirkimo </w:t>
      </w:r>
      <w:r w:rsidRPr="0055142E">
        <w:rPr>
          <w:rFonts w:ascii="Calibri" w:hAnsi="Calibri" w:cs="Calibri"/>
          <w:b/>
          <w:lang w:val="lt"/>
        </w:rPr>
        <w:t xml:space="preserve">Nr. </w:t>
      </w:r>
      <w:r w:rsidR="00E069EC">
        <w:rPr>
          <w:rFonts w:ascii="Calibri" w:eastAsia="Calibri" w:hAnsi="Calibri" w:cs="Calibri"/>
          <w:b/>
          <w:bCs/>
        </w:rPr>
        <w:t>30</w:t>
      </w:r>
      <w:r w:rsidR="004D4E60">
        <w:rPr>
          <w:rFonts w:ascii="Calibri" w:eastAsia="Calibri" w:hAnsi="Calibri" w:cs="Calibri"/>
          <w:b/>
          <w:bCs/>
        </w:rPr>
        <w:t>21279</w:t>
      </w:r>
      <w:r w:rsidRPr="0055142E">
        <w:rPr>
          <w:rFonts w:ascii="Calibri" w:hAnsi="Calibri" w:cs="Calibri"/>
          <w:b/>
          <w:lang w:val="lt"/>
        </w:rPr>
        <w:t xml:space="preserve"> </w:t>
      </w:r>
      <w:r w:rsidR="004E3C74" w:rsidRPr="0055142E">
        <w:rPr>
          <w:rFonts w:ascii="Calibri" w:hAnsi="Calibri" w:cs="Calibri"/>
          <w:b/>
          <w:lang w:val="lt-LT"/>
        </w:rPr>
        <w:t>„</w:t>
      </w:r>
      <w:hyperlink r:id="rId8" w:history="1">
        <w:r w:rsidR="004D4E60" w:rsidRPr="004D4E60">
          <w:rPr>
            <w:rStyle w:val="Hyperlink"/>
            <w:rFonts w:ascii="Calibri" w:hAnsi="Calibri" w:cs="Calibri"/>
            <w:b/>
            <w:color w:val="auto"/>
            <w:u w:val="none"/>
            <w:lang w:val="lt-LT"/>
          </w:rPr>
          <w:t>Maleišių III etnoarchitektūrinės sodybos namo – svirno (Maleišių k.5, Svėdasų sen., Anykščių r. sav.) kapitalinio remonto ir tvarkybos darbai</w:t>
        </w:r>
      </w:hyperlink>
      <w:r w:rsidR="00C1361F" w:rsidRPr="004D4E60">
        <w:rPr>
          <w:rFonts w:ascii="Calibri" w:hAnsi="Calibri" w:cs="Calibri"/>
          <w:b/>
          <w:bCs/>
          <w:lang w:val="lt-LT"/>
        </w:rPr>
        <w:t>“</w:t>
      </w:r>
      <w:r w:rsidR="004E3C74" w:rsidRPr="0055142E">
        <w:rPr>
          <w:rFonts w:ascii="Calibri" w:hAnsi="Calibri" w:cs="Calibri"/>
          <w:b/>
          <w:bCs/>
          <w:lang w:val="lt-LT"/>
        </w:rPr>
        <w:t xml:space="preserve"> </w:t>
      </w:r>
      <w:r w:rsidRPr="0055142E">
        <w:rPr>
          <w:rFonts w:ascii="Calibri" w:hAnsi="Calibri" w:cs="Calibri"/>
          <w:bCs/>
          <w:lang w:val="lt-LT"/>
        </w:rPr>
        <w:t>(toliau</w:t>
      </w:r>
      <w:r w:rsidRPr="0055142E">
        <w:rPr>
          <w:rFonts w:ascii="Calibri" w:hAnsi="Calibri" w:cs="Calibri"/>
          <w:b/>
          <w:lang w:val="lt-LT"/>
        </w:rPr>
        <w:t xml:space="preserve"> – </w:t>
      </w:r>
      <w:r w:rsidRPr="0055142E">
        <w:rPr>
          <w:rFonts w:ascii="Calibri" w:hAnsi="Calibri" w:cs="Calibri"/>
          <w:lang w:val="lt"/>
        </w:rPr>
        <w:t>Pirkimas)</w:t>
      </w:r>
      <w:r w:rsidRPr="0055142E">
        <w:rPr>
          <w:rFonts w:ascii="Calibri" w:hAnsi="Calibri" w:cs="Calibri"/>
          <w:lang w:val="lt-LT"/>
        </w:rPr>
        <w:t xml:space="preserve"> dokumentų atitikties Įstatymui ir su jo įgyvendinimu susijusiems teisės aktams peržiūra (peržiūra prevenciniais tikslais atliekama tam tikra apimtimi). </w:t>
      </w:r>
    </w:p>
    <w:p w14:paraId="0467D1D0" w14:textId="2EF2C64D" w:rsidR="000516D9" w:rsidRPr="000516D9" w:rsidRDefault="000516D9" w:rsidP="000516D9">
      <w:pPr>
        <w:spacing w:line="276" w:lineRule="auto"/>
        <w:rPr>
          <w:rFonts w:ascii="Calibri" w:hAnsi="Calibri" w:cs="Calibri"/>
          <w:lang w:val="lt-LT"/>
        </w:rPr>
      </w:pPr>
      <w:r w:rsidRPr="000516D9">
        <w:rPr>
          <w:rFonts w:ascii="Calibri" w:hAnsi="Calibri" w:cs="Calibri"/>
          <w:lang w:val="lt-LT"/>
        </w:rPr>
        <w:t>Tarnyba, prevencine tvarka peržiūrėjusi Pirkimo dokumentus ir atsižvelgdama į galiojantį teisinį reglamentavimą, teikia pastabas ir rekomendacijas (toliau – Rekomendacija) dėl Pirkimo dokumentų nuostatų.</w:t>
      </w:r>
    </w:p>
    <w:p w14:paraId="08AA7DFA" w14:textId="77777777" w:rsidR="009E0797" w:rsidRDefault="009E0797" w:rsidP="0055142E">
      <w:pPr>
        <w:numPr>
          <w:ilvl w:val="0"/>
          <w:numId w:val="4"/>
        </w:numPr>
        <w:spacing w:line="276" w:lineRule="auto"/>
        <w:rPr>
          <w:rFonts w:ascii="Calibri" w:hAnsi="Calibri" w:cs="Calibri"/>
          <w:b/>
          <w:bCs/>
          <w:lang w:val="lt-LT"/>
        </w:rPr>
      </w:pPr>
      <w:r w:rsidRPr="0055142E">
        <w:rPr>
          <w:rFonts w:ascii="Calibri" w:hAnsi="Calibri" w:cs="Calibri"/>
          <w:b/>
          <w:bCs/>
          <w:lang w:val="lt-LT"/>
        </w:rPr>
        <w:t>Dėl informacijos skelbime apie pirkimą</w:t>
      </w:r>
    </w:p>
    <w:p w14:paraId="5022D8B9" w14:textId="491C4A9C" w:rsidR="00E31777" w:rsidRPr="001929B8" w:rsidRDefault="001929B8" w:rsidP="004741E8">
      <w:pPr>
        <w:spacing w:after="0" w:line="276" w:lineRule="auto"/>
        <w:rPr>
          <w:rFonts w:ascii="Calibri" w:hAnsi="Calibri" w:cs="Calibri"/>
          <w:b/>
          <w:bCs/>
          <w:lang w:val="lt-LT"/>
        </w:rPr>
      </w:pPr>
      <w:r w:rsidRPr="004741E8">
        <w:rPr>
          <w:rFonts w:ascii="Calibri" w:hAnsi="Calibri" w:cs="Calibri"/>
          <w:b/>
          <w:bCs/>
          <w:lang w:val="lt-LT"/>
        </w:rPr>
        <w:t>1.1</w:t>
      </w:r>
      <w:r w:rsidR="004741E8" w:rsidRPr="004741E8">
        <w:rPr>
          <w:rFonts w:ascii="Calibri" w:hAnsi="Calibri" w:cs="Calibri"/>
          <w:b/>
          <w:bCs/>
          <w:lang w:val="lt-LT"/>
        </w:rPr>
        <w:t>.</w:t>
      </w:r>
      <w:r w:rsidR="004741E8">
        <w:rPr>
          <w:rFonts w:ascii="Calibri" w:hAnsi="Calibri" w:cs="Calibri"/>
          <w:lang w:val="lt-LT"/>
        </w:rPr>
        <w:t xml:space="preserve"> </w:t>
      </w:r>
      <w:r w:rsidR="000B19EC" w:rsidRPr="001929B8">
        <w:rPr>
          <w:rFonts w:ascii="Calibri" w:hAnsi="Calibri" w:cs="Calibri"/>
          <w:lang w:val="lt-LT"/>
        </w:rPr>
        <w:t xml:space="preserve">Skelbimo apie pirkimą 5.1.3 punkte „Numatomas galiojimas” nurodyta, jog </w:t>
      </w:r>
      <w:r w:rsidR="000B19EC" w:rsidRPr="001929B8">
        <w:rPr>
          <w:rFonts w:ascii="Calibri" w:hAnsi="Calibri" w:cs="Calibri"/>
          <w:b/>
          <w:bCs/>
          <w:lang w:val="lt-LT"/>
        </w:rPr>
        <w:t>sutarties</w:t>
      </w:r>
      <w:r w:rsidRPr="001929B8">
        <w:rPr>
          <w:rFonts w:ascii="Calibri" w:hAnsi="Calibri" w:cs="Calibri"/>
          <w:b/>
          <w:bCs/>
          <w:lang w:val="lt-LT"/>
        </w:rPr>
        <w:t xml:space="preserve"> </w:t>
      </w:r>
      <w:r w:rsidR="000B19EC" w:rsidRPr="001929B8">
        <w:rPr>
          <w:rFonts w:ascii="Calibri" w:hAnsi="Calibri" w:cs="Calibri"/>
          <w:b/>
          <w:bCs/>
          <w:lang w:val="lt-LT"/>
        </w:rPr>
        <w:t>trukmė – 15 mėnesių.</w:t>
      </w:r>
    </w:p>
    <w:p w14:paraId="4D97CF97" w14:textId="534D24C1" w:rsidR="0016008B" w:rsidRDefault="0016008B" w:rsidP="004741E8">
      <w:pPr>
        <w:spacing w:after="0" w:line="276" w:lineRule="auto"/>
        <w:rPr>
          <w:rFonts w:ascii="Calibri" w:hAnsi="Calibri" w:cs="Calibri"/>
          <w:lang w:val="lt-LT"/>
        </w:rPr>
      </w:pPr>
      <w:r w:rsidRPr="0016008B">
        <w:rPr>
          <w:rFonts w:ascii="Calibri" w:hAnsi="Calibri" w:cs="Calibri"/>
          <w:lang w:val="lt-LT"/>
        </w:rPr>
        <w:t>Specialiųjų pirkimo sąlygų 2.</w:t>
      </w:r>
      <w:r w:rsidR="00327ACF">
        <w:rPr>
          <w:rFonts w:ascii="Calibri" w:hAnsi="Calibri" w:cs="Calibri"/>
          <w:lang w:val="lt-LT"/>
        </w:rPr>
        <w:t>5</w:t>
      </w:r>
      <w:r w:rsidRPr="0016008B">
        <w:rPr>
          <w:rFonts w:ascii="Calibri" w:hAnsi="Calibri" w:cs="Calibri"/>
          <w:lang w:val="lt-LT"/>
        </w:rPr>
        <w:t xml:space="preserve"> punkte ir Pirkimo sąlygų </w:t>
      </w:r>
      <w:r w:rsidR="00013D4B">
        <w:rPr>
          <w:rFonts w:ascii="Calibri" w:hAnsi="Calibri" w:cs="Calibri"/>
          <w:lang w:val="lt-LT"/>
        </w:rPr>
        <w:t>10</w:t>
      </w:r>
      <w:r w:rsidRPr="0016008B">
        <w:rPr>
          <w:rFonts w:ascii="Calibri" w:hAnsi="Calibri" w:cs="Calibri"/>
          <w:lang w:val="lt-LT"/>
        </w:rPr>
        <w:t xml:space="preserve"> priedo „Sutarties projektas“ (toliau – Sutarties projektas) </w:t>
      </w:r>
      <w:r w:rsidR="00886AE7">
        <w:rPr>
          <w:rFonts w:ascii="Calibri" w:hAnsi="Calibri" w:cs="Calibri"/>
          <w:lang w:val="lt-LT"/>
        </w:rPr>
        <w:t>3.4</w:t>
      </w:r>
      <w:r w:rsidRPr="0016008B">
        <w:rPr>
          <w:rFonts w:ascii="Calibri" w:hAnsi="Calibri" w:cs="Calibri"/>
          <w:lang w:val="lt-LT"/>
        </w:rPr>
        <w:t xml:space="preserve"> punkte nustatyta, jog </w:t>
      </w:r>
      <w:r w:rsidR="001C3F75" w:rsidRPr="004741E8">
        <w:rPr>
          <w:rFonts w:ascii="Calibri" w:hAnsi="Calibri" w:cs="Calibri"/>
          <w:b/>
          <w:bCs/>
          <w:lang w:val="lt-LT"/>
        </w:rPr>
        <w:t>d</w:t>
      </w:r>
      <w:r w:rsidRPr="004741E8">
        <w:rPr>
          <w:rFonts w:ascii="Calibri" w:hAnsi="Calibri" w:cs="Calibri"/>
          <w:b/>
          <w:bCs/>
          <w:lang w:val="lt-LT"/>
        </w:rPr>
        <w:t>arbų atlikimo terminas</w:t>
      </w:r>
      <w:r w:rsidRPr="0016008B">
        <w:rPr>
          <w:rFonts w:ascii="Calibri" w:hAnsi="Calibri" w:cs="Calibri"/>
          <w:lang w:val="lt-LT"/>
        </w:rPr>
        <w:t xml:space="preserve"> </w:t>
      </w:r>
      <w:r w:rsidR="00886AE7" w:rsidRPr="001C3F75">
        <w:rPr>
          <w:rFonts w:ascii="Calibri" w:hAnsi="Calibri" w:cs="Calibri"/>
          <w:b/>
          <w:bCs/>
          <w:lang w:val="lt-LT"/>
        </w:rPr>
        <w:t>12 mėnesių</w:t>
      </w:r>
      <w:r w:rsidR="00FC4B38">
        <w:rPr>
          <w:rFonts w:ascii="Calibri" w:hAnsi="Calibri" w:cs="Calibri"/>
          <w:lang w:val="lt-LT"/>
        </w:rPr>
        <w:t xml:space="preserve">, taip pat numatytas darbų atlikimo termino </w:t>
      </w:r>
      <w:r w:rsidR="00FC4B38" w:rsidRPr="004741E8">
        <w:rPr>
          <w:rFonts w:ascii="Calibri" w:hAnsi="Calibri" w:cs="Calibri"/>
          <w:b/>
          <w:bCs/>
          <w:lang w:val="lt-LT"/>
        </w:rPr>
        <w:t xml:space="preserve">pratęsimas </w:t>
      </w:r>
      <w:r w:rsidR="00622D43">
        <w:rPr>
          <w:rFonts w:ascii="Calibri" w:hAnsi="Calibri" w:cs="Calibri"/>
          <w:lang w:val="lt-LT"/>
        </w:rPr>
        <w:t xml:space="preserve">ne daugiau nei 1 kartą ir ne ilgesniam nei </w:t>
      </w:r>
      <w:r w:rsidR="00622D43" w:rsidRPr="001C3F75">
        <w:rPr>
          <w:rFonts w:ascii="Calibri" w:hAnsi="Calibri" w:cs="Calibri"/>
          <w:b/>
          <w:bCs/>
          <w:lang w:val="lt-LT"/>
        </w:rPr>
        <w:t>3 mėnesių</w:t>
      </w:r>
      <w:r w:rsidR="00622D43">
        <w:rPr>
          <w:rFonts w:ascii="Calibri" w:hAnsi="Calibri" w:cs="Calibri"/>
          <w:lang w:val="lt-LT"/>
        </w:rPr>
        <w:t xml:space="preserve"> laikotarpiui</w:t>
      </w:r>
      <w:r w:rsidR="001C3F75">
        <w:rPr>
          <w:rFonts w:ascii="Calibri" w:hAnsi="Calibri" w:cs="Calibri"/>
          <w:lang w:val="lt-LT"/>
        </w:rPr>
        <w:t>,</w:t>
      </w:r>
      <w:r w:rsidR="00A75B21">
        <w:rPr>
          <w:rFonts w:ascii="Calibri" w:hAnsi="Calibri" w:cs="Calibri"/>
          <w:lang w:val="lt-LT"/>
        </w:rPr>
        <w:t xml:space="preserve"> taip pat nustatytas</w:t>
      </w:r>
      <w:r w:rsidR="001C3F75">
        <w:rPr>
          <w:rFonts w:ascii="Calibri" w:hAnsi="Calibri" w:cs="Calibri"/>
          <w:lang w:val="lt-LT"/>
        </w:rPr>
        <w:t xml:space="preserve"> </w:t>
      </w:r>
      <w:r w:rsidR="001C3F75" w:rsidRPr="004741E8">
        <w:rPr>
          <w:rFonts w:ascii="Calibri" w:hAnsi="Calibri" w:cs="Calibri"/>
          <w:b/>
          <w:bCs/>
          <w:lang w:val="lt-LT"/>
        </w:rPr>
        <w:t>apmokėjim</w:t>
      </w:r>
      <w:r w:rsidR="00A75B21">
        <w:rPr>
          <w:rFonts w:ascii="Calibri" w:hAnsi="Calibri" w:cs="Calibri"/>
          <w:b/>
          <w:bCs/>
          <w:lang w:val="lt-LT"/>
        </w:rPr>
        <w:t xml:space="preserve">o terminas – </w:t>
      </w:r>
      <w:r w:rsidR="001C3F75" w:rsidRPr="004741E8">
        <w:rPr>
          <w:rFonts w:ascii="Calibri" w:hAnsi="Calibri" w:cs="Calibri"/>
          <w:b/>
          <w:bCs/>
          <w:lang w:val="lt-LT"/>
        </w:rPr>
        <w:t>per 30 dienų</w:t>
      </w:r>
      <w:r w:rsidR="001C3F75">
        <w:rPr>
          <w:rFonts w:ascii="Calibri" w:hAnsi="Calibri" w:cs="Calibri"/>
          <w:lang w:val="lt-LT"/>
        </w:rPr>
        <w:t xml:space="preserve"> nuo Rangovo pateiktų mokėjimo dokumentų </w:t>
      </w:r>
      <w:r w:rsidR="00B6639F">
        <w:rPr>
          <w:rFonts w:ascii="Calibri" w:hAnsi="Calibri" w:cs="Calibri"/>
          <w:lang w:val="lt-LT"/>
        </w:rPr>
        <w:t>patvirtinimo</w:t>
      </w:r>
      <w:r w:rsidR="00A43937">
        <w:rPr>
          <w:rFonts w:ascii="Calibri" w:hAnsi="Calibri" w:cs="Calibri"/>
          <w:lang w:val="lt-LT"/>
        </w:rPr>
        <w:t>.</w:t>
      </w:r>
    </w:p>
    <w:p w14:paraId="42948871" w14:textId="5D672520" w:rsidR="003E4D46" w:rsidRPr="003E4D46" w:rsidRDefault="003E4D46" w:rsidP="004741E8">
      <w:pPr>
        <w:spacing w:after="0" w:line="276" w:lineRule="auto"/>
        <w:rPr>
          <w:rFonts w:ascii="Calibri" w:hAnsi="Calibri" w:cs="Calibri"/>
          <w:lang w:val="lt-LT"/>
        </w:rPr>
      </w:pPr>
      <w:r w:rsidRPr="003E4D46">
        <w:rPr>
          <w:rFonts w:ascii="Calibri" w:hAnsi="Calibri" w:cs="Calibri"/>
          <w:lang w:val="lt-LT"/>
        </w:rPr>
        <w:t xml:space="preserve">Tarnyba primena, jog skelbime </w:t>
      </w:r>
      <w:r w:rsidRPr="003E4D46">
        <w:rPr>
          <w:rFonts w:ascii="Calibri" w:hAnsi="Calibri" w:cs="Calibri"/>
          <w:b/>
          <w:bCs/>
          <w:lang w:val="lt-LT"/>
        </w:rPr>
        <w:t xml:space="preserve">Sutarties trukmė nurodoma, atsižvelgiant ne tik į prekių pristatymo, paslaugų, darbų atlikimo terminą, įskaitant galimus termino pratęsimus, bet ir į abipusių įsipareigojimų įvykdymo terminą. </w:t>
      </w:r>
    </w:p>
    <w:p w14:paraId="57433EAD" w14:textId="77777777" w:rsidR="003E4D46" w:rsidRPr="003E4D46" w:rsidRDefault="003E4D46" w:rsidP="004741E8">
      <w:pPr>
        <w:spacing w:after="0" w:line="276" w:lineRule="auto"/>
        <w:rPr>
          <w:rFonts w:ascii="Calibri" w:hAnsi="Calibri" w:cs="Calibri"/>
          <w:lang w:val="lt-LT"/>
        </w:rPr>
      </w:pPr>
      <w:r w:rsidRPr="003E4D46">
        <w:rPr>
          <w:rFonts w:ascii="Calibri" w:hAnsi="Calibri" w:cs="Calibri"/>
          <w:lang w:val="lt-LT"/>
        </w:rPr>
        <w:t xml:space="preserve">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w:t>
      </w:r>
    </w:p>
    <w:p w14:paraId="75C5DBF7" w14:textId="24D025DB" w:rsidR="003E4D46" w:rsidRDefault="003E4D46" w:rsidP="0093290A">
      <w:pPr>
        <w:spacing w:after="0" w:line="276" w:lineRule="auto"/>
        <w:rPr>
          <w:rFonts w:ascii="Calibri" w:hAnsi="Calibri" w:cs="Calibri"/>
          <w:lang w:val="lt-LT"/>
        </w:rPr>
      </w:pPr>
      <w:r w:rsidRPr="003E4D46">
        <w:rPr>
          <w:rFonts w:ascii="Calibri" w:hAnsi="Calibri" w:cs="Calibri"/>
          <w:lang w:val="lt-LT"/>
        </w:rPr>
        <w:t>Atsižvelgiant į tai, Tarnyba rekomenduoja tikslinti skelbimo apie pirkimą 5.1.3 punktą, į sutarties trukmę įskaičiuojant darbų atlikimo terminą, darbų atlikimo pratęsimo terminą ir apmokėjimo terminą bei kitų įsipareigojimų, jei jie nustatyti sutartyje, terminus.</w:t>
      </w:r>
    </w:p>
    <w:p w14:paraId="6511437A" w14:textId="77777777" w:rsidR="002B0AE6" w:rsidRPr="0016008B" w:rsidRDefault="002B0AE6" w:rsidP="0093290A">
      <w:pPr>
        <w:spacing w:after="0" w:line="276" w:lineRule="auto"/>
        <w:rPr>
          <w:rFonts w:ascii="Calibri" w:hAnsi="Calibri" w:cs="Calibri"/>
          <w:lang w:val="lt-LT"/>
        </w:rPr>
      </w:pPr>
    </w:p>
    <w:p w14:paraId="0FAF8669" w14:textId="012B3829" w:rsidR="009E0797" w:rsidRPr="00F17B4E" w:rsidRDefault="00F17B4E" w:rsidP="00F17B4E">
      <w:pPr>
        <w:spacing w:after="0" w:line="276" w:lineRule="auto"/>
        <w:rPr>
          <w:rFonts w:ascii="Calibri" w:hAnsi="Calibri" w:cs="Calibri"/>
          <w:lang w:val="lt-LT"/>
        </w:rPr>
      </w:pPr>
      <w:r w:rsidRPr="00242466">
        <w:rPr>
          <w:rFonts w:ascii="Calibri" w:hAnsi="Calibri" w:cs="Calibri"/>
          <w:b/>
          <w:bCs/>
          <w:lang w:val="lt-LT"/>
        </w:rPr>
        <w:t>1.</w:t>
      </w:r>
      <w:r w:rsidR="00E31777" w:rsidRPr="00242466">
        <w:rPr>
          <w:rFonts w:ascii="Calibri" w:hAnsi="Calibri" w:cs="Calibri"/>
          <w:b/>
          <w:bCs/>
          <w:lang w:val="lt-LT"/>
        </w:rPr>
        <w:t>2</w:t>
      </w:r>
      <w:r w:rsidRPr="00242466">
        <w:rPr>
          <w:rFonts w:ascii="Calibri" w:hAnsi="Calibri" w:cs="Calibri"/>
          <w:b/>
          <w:bCs/>
          <w:lang w:val="lt-LT"/>
        </w:rPr>
        <w:t>.</w:t>
      </w:r>
      <w:r>
        <w:rPr>
          <w:rFonts w:ascii="Calibri" w:hAnsi="Calibri" w:cs="Calibri"/>
          <w:lang w:val="lt-LT"/>
        </w:rPr>
        <w:t xml:space="preserve"> </w:t>
      </w:r>
      <w:r w:rsidR="009E0797" w:rsidRPr="00F17B4E">
        <w:rPr>
          <w:rFonts w:ascii="Calibri" w:hAnsi="Calibri" w:cs="Calibri"/>
          <w:lang w:val="lt-LT"/>
        </w:rPr>
        <w:t>Pirkimo Specialiųjų sąlygų 1.</w:t>
      </w:r>
      <w:r w:rsidR="00725DD8" w:rsidRPr="00F17B4E">
        <w:rPr>
          <w:rFonts w:ascii="Calibri" w:hAnsi="Calibri" w:cs="Calibri"/>
          <w:lang w:val="lt-LT"/>
        </w:rPr>
        <w:t>7</w:t>
      </w:r>
      <w:r w:rsidR="009E0797" w:rsidRPr="00F17B4E">
        <w:rPr>
          <w:rFonts w:ascii="Calibri" w:hAnsi="Calibri" w:cs="Calibri"/>
          <w:lang w:val="lt-LT"/>
        </w:rPr>
        <w:t xml:space="preserve"> punkte nurodyta, kad atliekamas žaliasis pirkimas, tačiau skelbimo apie pirkimą skiltyje „Strateginis viešasis pirkimas“ pažymėta, kad </w:t>
      </w:r>
      <w:r w:rsidR="009E0797" w:rsidRPr="00F17B4E">
        <w:rPr>
          <w:rFonts w:ascii="Calibri" w:hAnsi="Calibri" w:cs="Calibri"/>
          <w:b/>
          <w:bCs/>
          <w:lang w:val="lt-LT"/>
        </w:rPr>
        <w:t>strateginių viešųjų pirkimų</w:t>
      </w:r>
      <w:r w:rsidR="009E0797" w:rsidRPr="00F17B4E">
        <w:rPr>
          <w:rFonts w:ascii="Calibri" w:hAnsi="Calibri" w:cs="Calibri"/>
          <w:lang w:val="lt-LT"/>
        </w:rPr>
        <w:t xml:space="preserve"> (tame tarpe ir žaliųjų pirkimų) </w:t>
      </w:r>
      <w:r w:rsidR="009E0797" w:rsidRPr="00F17B4E">
        <w:rPr>
          <w:rFonts w:ascii="Calibri" w:hAnsi="Calibri" w:cs="Calibri"/>
          <w:b/>
          <w:bCs/>
          <w:lang w:val="lt-LT"/>
        </w:rPr>
        <w:t>nėra</w:t>
      </w:r>
      <w:r w:rsidR="009E0797" w:rsidRPr="00F17B4E">
        <w:rPr>
          <w:rFonts w:ascii="Calibri" w:hAnsi="Calibri" w:cs="Calibri"/>
          <w:lang w:val="lt-LT"/>
        </w:rPr>
        <w:t xml:space="preserve">. Pažymėtina, kad vykdant žaliąjį pirkimą, punkte „Strateginiai viešieji pirkimai“ turi būti pažymėta „Poveikio aplinkai mažinimas“, aprašyme trumpai nurodyta, kad vykdomas žaliasis pirkimas, atitinkamai punkte „Žaliosios pirkimo </w:t>
      </w:r>
      <w:r w:rsidR="009E0797" w:rsidRPr="00F17B4E">
        <w:rPr>
          <w:rFonts w:ascii="Calibri" w:hAnsi="Calibri" w:cs="Calibri"/>
          <w:lang w:val="lt-LT"/>
        </w:rPr>
        <w:lastRenderedPageBreak/>
        <w:t>kriterijų detalės“ pažymėta „Nacionaliniai žaliojo viešojo pirkimo kriterijai“, o punkte „Poveikio aplinkai mažinimo metodas“ gali būti pažymėta „Kita“. </w:t>
      </w:r>
    </w:p>
    <w:p w14:paraId="62DF531E" w14:textId="3190274D" w:rsidR="00477C5D" w:rsidRDefault="009E0797" w:rsidP="0055142E">
      <w:pPr>
        <w:spacing w:after="0" w:line="276" w:lineRule="auto"/>
        <w:rPr>
          <w:rFonts w:ascii="Calibri" w:hAnsi="Calibri" w:cs="Calibri"/>
          <w:lang w:val="lt-LT"/>
        </w:rPr>
      </w:pPr>
      <w:r w:rsidRPr="0055142E">
        <w:rPr>
          <w:rFonts w:ascii="Calibri" w:hAnsi="Calibri" w:cs="Calibri"/>
          <w:lang w:val="lt-LT"/>
        </w:rPr>
        <w:t xml:space="preserve">Tarnybos parengtos mokomosios priemonės </w:t>
      </w:r>
      <w:hyperlink r:id="rId9" w:tgtFrame="_blank" w:history="1">
        <w:r w:rsidRPr="0055142E">
          <w:rPr>
            <w:rStyle w:val="Hyperlink"/>
            <w:rFonts w:ascii="Calibri" w:hAnsi="Calibri" w:cs="Calibri"/>
            <w:lang w:val="lt-LT"/>
          </w:rPr>
          <w:t>Skelbimas apie pirkimą</w:t>
        </w:r>
      </w:hyperlink>
      <w:r w:rsidRPr="0055142E">
        <w:rPr>
          <w:rFonts w:ascii="Calibri" w:hAnsi="Calibri" w:cs="Calibri"/>
          <w:lang w:val="lt-LT"/>
        </w:rPr>
        <w:t xml:space="preserve"> 16 ir 17 skaidrėse pateikta informacija apie Pirkimų procedūros dalies </w:t>
      </w:r>
      <w:r w:rsidRPr="0055142E">
        <w:rPr>
          <w:rFonts w:ascii="Calibri" w:hAnsi="Calibri" w:cs="Calibri"/>
          <w:b/>
          <w:bCs/>
          <w:lang w:val="lt-LT"/>
        </w:rPr>
        <w:t>strateginiai viešieji pirkimai</w:t>
      </w:r>
      <w:r w:rsidRPr="0055142E">
        <w:rPr>
          <w:rFonts w:ascii="Calibri" w:hAnsi="Calibri" w:cs="Calibri"/>
          <w:lang w:val="lt-LT"/>
        </w:rPr>
        <w:t xml:space="preserve"> pildymą. Įvertinusi skelbime apie pirkimą pateiktą netikslią informaciją, Tarnyba rekomenduoja </w:t>
      </w:r>
      <w:hyperlink r:id="rId10" w:tgtFrame="_blank" w:history="1">
        <w:r w:rsidRPr="0055142E">
          <w:rPr>
            <w:rStyle w:val="Hyperlink"/>
            <w:rFonts w:ascii="Calibri" w:hAnsi="Calibri" w:cs="Calibri"/>
            <w:lang w:val="lt-LT"/>
          </w:rPr>
          <w:t>Pranešimu apie pakeitimus</w:t>
        </w:r>
      </w:hyperlink>
      <w:r w:rsidRPr="0055142E">
        <w:rPr>
          <w:rFonts w:ascii="Calibri" w:hAnsi="Calibri" w:cs="Calibri"/>
          <w:lang w:val="lt-LT"/>
        </w:rPr>
        <w:t xml:space="preserve"> patikslinti skelbimo apie pirkimą informaciją.</w:t>
      </w:r>
    </w:p>
    <w:p w14:paraId="35A24F5C" w14:textId="77777777" w:rsidR="00315B61" w:rsidRDefault="00315B61" w:rsidP="0055142E">
      <w:pPr>
        <w:spacing w:after="0" w:line="276" w:lineRule="auto"/>
        <w:rPr>
          <w:rFonts w:ascii="Calibri" w:hAnsi="Calibri" w:cs="Calibri"/>
          <w:lang w:val="lt-LT"/>
        </w:rPr>
      </w:pPr>
    </w:p>
    <w:p w14:paraId="10D32A5B" w14:textId="47547F9B" w:rsidR="009E0797" w:rsidRDefault="00315B61" w:rsidP="0055142E">
      <w:pPr>
        <w:pStyle w:val="ListParagraph"/>
        <w:numPr>
          <w:ilvl w:val="0"/>
          <w:numId w:val="4"/>
        </w:numPr>
        <w:spacing w:after="0" w:line="276" w:lineRule="auto"/>
        <w:rPr>
          <w:rFonts w:ascii="Calibri" w:hAnsi="Calibri" w:cs="Calibri"/>
          <w:b/>
          <w:bCs/>
          <w:lang w:val="lt-LT"/>
        </w:rPr>
      </w:pPr>
      <w:r w:rsidRPr="002116C9">
        <w:rPr>
          <w:rFonts w:ascii="Calibri" w:hAnsi="Calibri" w:cs="Calibri"/>
          <w:b/>
          <w:bCs/>
          <w:lang w:val="lt-LT"/>
        </w:rPr>
        <w:t xml:space="preserve">Dėl </w:t>
      </w:r>
      <w:r w:rsidR="00A75B21">
        <w:rPr>
          <w:rFonts w:ascii="Calibri" w:hAnsi="Calibri" w:cs="Calibri"/>
          <w:b/>
          <w:bCs/>
          <w:lang w:val="lt-LT"/>
        </w:rPr>
        <w:t xml:space="preserve">kitų </w:t>
      </w:r>
      <w:r w:rsidRPr="002116C9">
        <w:rPr>
          <w:rFonts w:ascii="Calibri" w:hAnsi="Calibri" w:cs="Calibri"/>
          <w:b/>
          <w:bCs/>
          <w:lang w:val="lt-LT"/>
        </w:rPr>
        <w:t>Pirkimo sąlygų</w:t>
      </w:r>
    </w:p>
    <w:p w14:paraId="49C3B027" w14:textId="77777777" w:rsidR="0070729E" w:rsidRPr="0070729E" w:rsidRDefault="0070729E" w:rsidP="0070729E">
      <w:pPr>
        <w:pStyle w:val="ListParagraph"/>
        <w:spacing w:after="0" w:line="276" w:lineRule="auto"/>
        <w:ind w:left="360"/>
        <w:rPr>
          <w:rFonts w:ascii="Calibri" w:hAnsi="Calibri" w:cs="Calibri"/>
          <w:b/>
          <w:bCs/>
          <w:lang w:val="lt-LT"/>
        </w:rPr>
      </w:pPr>
    </w:p>
    <w:p w14:paraId="7BAFEC15" w14:textId="69C6A867" w:rsidR="00B647D7" w:rsidRPr="00B647D7" w:rsidRDefault="002B0AE6" w:rsidP="00B647D7">
      <w:pPr>
        <w:spacing w:line="276" w:lineRule="auto"/>
        <w:rPr>
          <w:rFonts w:ascii="Calibri" w:hAnsi="Calibri" w:cs="Calibri"/>
          <w:bCs/>
          <w:lang w:val="lt-LT"/>
        </w:rPr>
      </w:pPr>
      <w:r>
        <w:rPr>
          <w:rFonts w:ascii="Calibri" w:hAnsi="Calibri" w:cs="Calibri"/>
          <w:b/>
          <w:bCs/>
          <w:lang w:val="lt-LT"/>
        </w:rPr>
        <w:t>2</w:t>
      </w:r>
      <w:r w:rsidR="00B647D7" w:rsidRPr="00B647D7">
        <w:rPr>
          <w:rFonts w:ascii="Calibri" w:hAnsi="Calibri" w:cs="Calibri"/>
          <w:b/>
          <w:bCs/>
          <w:lang w:val="lt-LT"/>
        </w:rPr>
        <w:t>.</w:t>
      </w:r>
      <w:r>
        <w:rPr>
          <w:rFonts w:ascii="Calibri" w:hAnsi="Calibri" w:cs="Calibri"/>
          <w:b/>
          <w:bCs/>
          <w:lang w:val="lt-LT"/>
        </w:rPr>
        <w:t>1</w:t>
      </w:r>
      <w:r w:rsidR="00B647D7" w:rsidRPr="00B647D7">
        <w:rPr>
          <w:rFonts w:ascii="Calibri" w:hAnsi="Calibri" w:cs="Calibri"/>
          <w:b/>
          <w:bCs/>
          <w:lang w:val="lt-LT"/>
        </w:rPr>
        <w:t xml:space="preserve">. </w:t>
      </w:r>
      <w:r w:rsidR="00B647D7" w:rsidRPr="00B647D7">
        <w:rPr>
          <w:rFonts w:ascii="Calibri" w:hAnsi="Calibri" w:cs="Calibri"/>
          <w:lang w:val="lt-LT"/>
        </w:rPr>
        <w:t>Specialiųjų pirkimo sąlygų 6.1 punkte nustatyta, jog „Tiekėjo pasiūlymą sudaro CVP IS pateikiamų ir žemiau nurodytų dokumentų visuma: 6.1.</w:t>
      </w:r>
      <w:r w:rsidR="00284278">
        <w:rPr>
          <w:rFonts w:ascii="Calibri" w:hAnsi="Calibri" w:cs="Calibri"/>
          <w:lang w:val="lt-LT"/>
        </w:rPr>
        <w:t>4</w:t>
      </w:r>
      <w:r w:rsidR="00B647D7" w:rsidRPr="00B647D7">
        <w:rPr>
          <w:rFonts w:ascii="Calibri" w:hAnsi="Calibri" w:cs="Calibri"/>
          <w:lang w:val="lt-LT"/>
        </w:rPr>
        <w:t>.</w:t>
      </w:r>
      <w:r w:rsidR="000C7764" w:rsidRPr="000C7764">
        <w:rPr>
          <w:rFonts w:ascii="Times New Roman" w:eastAsia="Times New Roman" w:hAnsi="Times New Roman" w:cs="Times New Roman"/>
          <w:bCs/>
          <w:kern w:val="0"/>
          <w:lang w:val="lt-LT"/>
          <w14:ligatures w14:val="none"/>
        </w:rPr>
        <w:t xml:space="preserve"> </w:t>
      </w:r>
      <w:r w:rsidR="000C7764" w:rsidRPr="000C7764">
        <w:rPr>
          <w:rFonts w:ascii="Calibri" w:hAnsi="Calibri" w:cs="Calibri"/>
          <w:bCs/>
          <w:lang w:val="lt-LT"/>
        </w:rPr>
        <w:t>aplinkos apsaugos vadybos sistemos standartai (patvirtinančių dokumentų bus reikalaujama tik iš to dalyvio, kurio pasiūlymas pagal vertinimo rezultatus galės būti pripažintas laimėjusiu)</w:t>
      </w:r>
      <w:r w:rsidR="00B647D7" w:rsidRPr="00B647D7">
        <w:rPr>
          <w:rFonts w:ascii="Calibri" w:hAnsi="Calibri" w:cs="Calibri"/>
          <w:lang w:val="lt-LT"/>
        </w:rPr>
        <w:t>“. Tarnyba rekomenduoja tikslinti patvirtinančius dokumentus nurodant, jog bus tinkami ir lygiaverčiai dokumentai.</w:t>
      </w:r>
    </w:p>
    <w:p w14:paraId="726337D6" w14:textId="216072D9" w:rsidR="00B13595" w:rsidRPr="0055142E" w:rsidRDefault="008C5D46" w:rsidP="0055142E">
      <w:pPr>
        <w:spacing w:line="276" w:lineRule="auto"/>
        <w:rPr>
          <w:rFonts w:ascii="Calibri" w:hAnsi="Calibri" w:cs="Calibri"/>
          <w:lang w:val="lt-LT"/>
        </w:rPr>
      </w:pPr>
      <w:r w:rsidRPr="00715A1D">
        <w:rPr>
          <w:rFonts w:ascii="Calibri" w:hAnsi="Calibri" w:cs="Calibri"/>
          <w:b/>
          <w:bCs/>
          <w:lang w:val="lt-LT"/>
        </w:rPr>
        <w:t>2.2.</w:t>
      </w:r>
      <w:r>
        <w:rPr>
          <w:rFonts w:ascii="Calibri" w:hAnsi="Calibri" w:cs="Calibri"/>
          <w:lang w:val="lt-LT"/>
        </w:rPr>
        <w:t xml:space="preserve"> </w:t>
      </w:r>
      <w:bookmarkStart w:id="0" w:name="_Toc199843509"/>
      <w:r w:rsidR="00715A1D" w:rsidRPr="00715A1D">
        <w:rPr>
          <w:rFonts w:ascii="Calibri" w:hAnsi="Calibri" w:cs="Calibri"/>
          <w:lang w:val="lt-LT"/>
        </w:rPr>
        <w:t>Pirkimo sąlygų 5 pried</w:t>
      </w:r>
      <w:r w:rsidR="00D10DCC">
        <w:rPr>
          <w:rFonts w:ascii="Calibri" w:hAnsi="Calibri" w:cs="Calibri"/>
          <w:lang w:val="lt-LT"/>
        </w:rPr>
        <w:t>o</w:t>
      </w:r>
      <w:r w:rsidR="00715A1D" w:rsidRPr="00715A1D">
        <w:rPr>
          <w:rFonts w:ascii="Calibri" w:hAnsi="Calibri" w:cs="Calibri"/>
          <w:lang w:val="lt-LT"/>
        </w:rPr>
        <w:t xml:space="preserve"> „Tiekėjų kvalifikacijos reikalavimai ir reikalaujami kokybės bei aplinkos apsaugos vadybos sistemų standartai“</w:t>
      </w:r>
      <w:bookmarkEnd w:id="0"/>
      <w:r w:rsidR="00B065CE">
        <w:rPr>
          <w:rFonts w:ascii="Calibri" w:hAnsi="Calibri" w:cs="Calibri"/>
          <w:lang w:val="lt-LT"/>
        </w:rPr>
        <w:t xml:space="preserve"> </w:t>
      </w:r>
      <w:r w:rsidR="00781615">
        <w:rPr>
          <w:rFonts w:ascii="Calibri" w:hAnsi="Calibri" w:cs="Calibri"/>
          <w:lang w:val="lt-LT"/>
        </w:rPr>
        <w:t>k</w:t>
      </w:r>
      <w:r w:rsidR="00B065CE">
        <w:rPr>
          <w:rFonts w:ascii="Calibri" w:hAnsi="Calibri" w:cs="Calibri"/>
          <w:lang w:val="lt-LT"/>
        </w:rPr>
        <w:t xml:space="preserve">valifikacijos reikalavimų lentelės 2.1 punkto </w:t>
      </w:r>
      <w:r w:rsidR="00170D71">
        <w:rPr>
          <w:rFonts w:ascii="Calibri" w:hAnsi="Calibri" w:cs="Calibri"/>
          <w:lang w:val="lt-LT"/>
        </w:rPr>
        <w:t>atitiktį reikalavimui įrodančių dokumentų skiltyje nustatyta, jog „</w:t>
      </w:r>
      <w:r w:rsidR="00781615" w:rsidRPr="00781615">
        <w:rPr>
          <w:rFonts w:ascii="Calibri" w:hAnsi="Calibri" w:cs="Calibri"/>
          <w:lang w:val="lt-LT"/>
        </w:rPr>
        <w:t>Užsienio valstybės tiekėjas* pateikia profesinių ar veiklos registrų tvarkytojų, valstybės įgaliotų institucijų pažymas, kaip yra nustatyta toje valstybėje narėje, kurioje jis registruotas, ar priesaikos deklaraciją, liudijančią tiekėjo teisę būti ypatingojo statinio negyvenamieji pastatai (pogrupis: mokslo   paskirties pastatai) statybos rangovu</w:t>
      </w:r>
      <w:r w:rsidR="00781615">
        <w:rPr>
          <w:rFonts w:ascii="Calibri" w:hAnsi="Calibri" w:cs="Calibri"/>
          <w:lang w:val="lt-LT"/>
        </w:rPr>
        <w:t>“</w:t>
      </w:r>
      <w:r w:rsidR="00781615" w:rsidRPr="00781615">
        <w:rPr>
          <w:rFonts w:ascii="Calibri" w:hAnsi="Calibri" w:cs="Calibri"/>
          <w:lang w:val="lt-LT"/>
        </w:rPr>
        <w:t>.</w:t>
      </w:r>
      <w:r w:rsidR="00FC53ED">
        <w:rPr>
          <w:rFonts w:ascii="Calibri" w:hAnsi="Calibri" w:cs="Calibri"/>
          <w:lang w:val="lt-LT"/>
        </w:rPr>
        <w:t xml:space="preserve"> </w:t>
      </w:r>
      <w:r w:rsidR="00E50DA9">
        <w:rPr>
          <w:rFonts w:ascii="Calibri" w:hAnsi="Calibri" w:cs="Calibri"/>
          <w:lang w:val="lt-LT"/>
        </w:rPr>
        <w:t>Atsižvelgiant į keliamą kvalifikacijos reikalavimą bei į pirkimo objektą, š</w:t>
      </w:r>
      <w:r w:rsidR="00471A74">
        <w:rPr>
          <w:rFonts w:ascii="Calibri" w:hAnsi="Calibri" w:cs="Calibri"/>
          <w:lang w:val="lt-LT"/>
        </w:rPr>
        <w:t xml:space="preserve">iuo atveju nurodyta informacija nėra susijusi su </w:t>
      </w:r>
      <w:r w:rsidR="006E66D5">
        <w:rPr>
          <w:rFonts w:ascii="Calibri" w:hAnsi="Calibri" w:cs="Calibri"/>
          <w:lang w:val="lt-LT"/>
        </w:rPr>
        <w:t>vykdomu pirkimu, todėl rekomenduotina atsisakyti neaktualios informacijos.</w:t>
      </w:r>
    </w:p>
    <w:p w14:paraId="73643C1F" w14:textId="77777777" w:rsidR="000D6DD4" w:rsidRPr="0055142E" w:rsidRDefault="000D6DD4" w:rsidP="000D6DD4">
      <w:pPr>
        <w:spacing w:after="0" w:line="276" w:lineRule="auto"/>
        <w:rPr>
          <w:rFonts w:ascii="Calibri" w:hAnsi="Calibri" w:cs="Calibri"/>
          <w:lang w:val="lt-LT"/>
        </w:rPr>
      </w:pPr>
    </w:p>
    <w:p w14:paraId="75C564DD" w14:textId="5187F3A7" w:rsidR="00472DF6" w:rsidRPr="0055142E" w:rsidRDefault="00DA4A9C" w:rsidP="0055142E">
      <w:pPr>
        <w:pStyle w:val="ListParagraph"/>
        <w:numPr>
          <w:ilvl w:val="0"/>
          <w:numId w:val="4"/>
        </w:numPr>
        <w:spacing w:line="276" w:lineRule="auto"/>
        <w:rPr>
          <w:rFonts w:ascii="Calibri" w:hAnsi="Calibri" w:cs="Calibri"/>
          <w:b/>
          <w:bCs/>
          <w:lang w:val="lt-LT"/>
        </w:rPr>
      </w:pPr>
      <w:r w:rsidRPr="0055142E">
        <w:rPr>
          <w:rFonts w:ascii="Calibri" w:hAnsi="Calibri" w:cs="Calibri"/>
          <w:b/>
          <w:bCs/>
          <w:lang w:val="lt-LT"/>
        </w:rPr>
        <w:t>Dėl Sutarties projekto nuostatų</w:t>
      </w:r>
    </w:p>
    <w:p w14:paraId="4A75DF6E" w14:textId="679B2AF4" w:rsidR="00527C72" w:rsidRPr="002F3509" w:rsidRDefault="00AC1646" w:rsidP="00527C72">
      <w:pPr>
        <w:spacing w:line="276" w:lineRule="auto"/>
        <w:rPr>
          <w:rFonts w:ascii="Calibri" w:hAnsi="Calibri" w:cs="Calibri"/>
          <w:lang w:val="lt-LT"/>
        </w:rPr>
      </w:pPr>
      <w:r w:rsidRPr="00737CE0">
        <w:rPr>
          <w:rFonts w:ascii="Calibri" w:hAnsi="Calibri" w:cs="Calibri"/>
          <w:b/>
          <w:bCs/>
          <w:lang w:val="lt-LT"/>
        </w:rPr>
        <w:t>3.1.</w:t>
      </w:r>
      <w:r>
        <w:rPr>
          <w:rFonts w:ascii="Calibri" w:hAnsi="Calibri" w:cs="Calibri"/>
          <w:lang w:val="lt-LT"/>
        </w:rPr>
        <w:t xml:space="preserve"> Sutarties projekto 4.8 ir </w:t>
      </w:r>
      <w:r w:rsidR="00FE75AE">
        <w:rPr>
          <w:rFonts w:ascii="Calibri" w:hAnsi="Calibri" w:cs="Calibri"/>
          <w:lang w:val="lt-LT"/>
        </w:rPr>
        <w:t xml:space="preserve">4.9 punktuose nustatyta, jog </w:t>
      </w:r>
      <w:r w:rsidR="00DA61A6">
        <w:rPr>
          <w:rFonts w:ascii="Calibri" w:hAnsi="Calibri" w:cs="Calibri"/>
          <w:lang w:val="lt-LT"/>
        </w:rPr>
        <w:t>„</w:t>
      </w:r>
      <w:r w:rsidR="00DA61A6" w:rsidRPr="00DA61A6">
        <w:rPr>
          <w:rFonts w:ascii="Calibri" w:hAnsi="Calibri" w:cs="Calibri"/>
          <w:lang w:val="lt-LT"/>
        </w:rPr>
        <w:t xml:space="preserve">statyboje naudojamos statybinės medžiagos ir kiti su pastato projektu susiję produktai (jei taikoma), turi atitikti minimalius aplinkos apsaugos kriterijus, nurodytus Lietuvos Respublikos aplinkos ministro 2011 m. birželio 28 d. įsakymu Nr. D1-508 patvirtintą „Dėl aplinkos apsaugos kriterijų taikymo, vykdant žaliuosius pirkimus, tvarkos aprašo patvirtinimo“ (toliau – Aprašas) </w:t>
      </w:r>
      <w:r w:rsidR="00DA61A6" w:rsidRPr="00823548">
        <w:rPr>
          <w:rFonts w:ascii="Calibri" w:hAnsi="Calibri" w:cs="Calibri"/>
          <w:b/>
          <w:bCs/>
          <w:lang w:val="lt-LT"/>
        </w:rPr>
        <w:t>XIII–XIV skyriuose</w:t>
      </w:r>
      <w:r w:rsidR="00DA61A6" w:rsidRPr="00DA61A6">
        <w:rPr>
          <w:rFonts w:ascii="Calibri" w:hAnsi="Calibri" w:cs="Calibri"/>
          <w:lang w:val="lt-LT"/>
        </w:rPr>
        <w:t xml:space="preserve">, tačiau tokia apimtimi, kuri neprieštarautų Lietuvos </w:t>
      </w:r>
      <w:r w:rsidR="00A75B21">
        <w:rPr>
          <w:rFonts w:ascii="Calibri" w:hAnsi="Calibri" w:cs="Calibri"/>
          <w:lang w:val="lt-LT"/>
        </w:rPr>
        <w:t>R</w:t>
      </w:r>
      <w:r w:rsidR="00DA61A6" w:rsidRPr="00DA61A6">
        <w:rPr>
          <w:rFonts w:ascii="Calibri" w:hAnsi="Calibri" w:cs="Calibri"/>
          <w:lang w:val="lt-LT"/>
        </w:rPr>
        <w:t>espublikos nekilnojamo kultūros paveldo apsaugos įstatymui</w:t>
      </w:r>
      <w:r w:rsidR="00737CE0">
        <w:rPr>
          <w:rFonts w:ascii="Calibri" w:hAnsi="Calibri" w:cs="Calibri"/>
          <w:lang w:val="lt-LT"/>
        </w:rPr>
        <w:t>“</w:t>
      </w:r>
      <w:r w:rsidR="00DA61A6" w:rsidRPr="00DA61A6">
        <w:rPr>
          <w:rFonts w:ascii="Calibri" w:hAnsi="Calibri" w:cs="Calibri"/>
          <w:lang w:val="lt-LT"/>
        </w:rPr>
        <w:t>.</w:t>
      </w:r>
      <w:r w:rsidR="00737CE0">
        <w:rPr>
          <w:rFonts w:ascii="Calibri" w:hAnsi="Calibri" w:cs="Calibri"/>
          <w:lang w:val="lt-LT"/>
        </w:rPr>
        <w:t xml:space="preserve"> Tačiau </w:t>
      </w:r>
      <w:bookmarkStart w:id="1" w:name="_Ref38539939"/>
      <w:bookmarkStart w:id="2" w:name="_Ref38541068"/>
      <w:bookmarkStart w:id="3" w:name="_Ref38885053"/>
      <w:bookmarkStart w:id="4" w:name="_Ref38899023"/>
      <w:bookmarkStart w:id="5" w:name="_Toc199843505"/>
      <w:r w:rsidR="00527C72" w:rsidRPr="00527C72">
        <w:rPr>
          <w:rFonts w:ascii="Calibri" w:hAnsi="Calibri" w:cs="Calibri"/>
          <w:lang w:val="lt-LT"/>
        </w:rPr>
        <w:t>Pirkimo sąlygų 1 pried</w:t>
      </w:r>
      <w:r w:rsidR="00CB1A57">
        <w:rPr>
          <w:rFonts w:ascii="Calibri" w:hAnsi="Calibri" w:cs="Calibri"/>
          <w:lang w:val="lt-LT"/>
        </w:rPr>
        <w:t>o</w:t>
      </w:r>
      <w:r w:rsidR="00527C72" w:rsidRPr="00527C72">
        <w:rPr>
          <w:rFonts w:ascii="Calibri" w:hAnsi="Calibri" w:cs="Calibri"/>
          <w:lang w:val="lt-LT"/>
        </w:rPr>
        <w:t xml:space="preserve"> „Maleišių III etnoarchitektūrinės sodybos namo – svirno kapitalinio remonto ir tvarkybos darbų techninė specifikacija</w:t>
      </w:r>
      <w:bookmarkEnd w:id="1"/>
      <w:bookmarkEnd w:id="2"/>
      <w:bookmarkEnd w:id="3"/>
      <w:bookmarkEnd w:id="4"/>
      <w:r w:rsidR="00527C72" w:rsidRPr="00527C72">
        <w:rPr>
          <w:rFonts w:ascii="Calibri" w:hAnsi="Calibri" w:cs="Calibri"/>
          <w:lang w:val="lt-LT"/>
        </w:rPr>
        <w:t>“</w:t>
      </w:r>
      <w:bookmarkEnd w:id="5"/>
      <w:r w:rsidR="00527C72">
        <w:rPr>
          <w:rFonts w:ascii="Calibri" w:hAnsi="Calibri" w:cs="Calibri"/>
          <w:lang w:val="lt-LT"/>
        </w:rPr>
        <w:t xml:space="preserve"> (toliau -Techninė specifikacija) </w:t>
      </w:r>
      <w:r w:rsidR="00960CDC">
        <w:rPr>
          <w:rFonts w:ascii="Calibri" w:hAnsi="Calibri" w:cs="Calibri"/>
          <w:lang w:val="lt-LT"/>
        </w:rPr>
        <w:t xml:space="preserve">3.9.1.2 papunktyje nustatyta, jog </w:t>
      </w:r>
      <w:r w:rsidR="00FC3B5F">
        <w:rPr>
          <w:rFonts w:ascii="Calibri" w:hAnsi="Calibri" w:cs="Calibri"/>
          <w:lang w:val="lt-LT"/>
        </w:rPr>
        <w:t>bus naudojamos medžiagos atitinkančios mi</w:t>
      </w:r>
      <w:r w:rsidR="00FA7DC2">
        <w:rPr>
          <w:rFonts w:ascii="Calibri" w:hAnsi="Calibri" w:cs="Calibri"/>
          <w:lang w:val="lt-LT"/>
        </w:rPr>
        <w:t>n</w:t>
      </w:r>
      <w:r w:rsidR="00FC3B5F">
        <w:rPr>
          <w:rFonts w:ascii="Calibri" w:hAnsi="Calibri" w:cs="Calibri"/>
          <w:lang w:val="lt-LT"/>
        </w:rPr>
        <w:t xml:space="preserve">imalius aplinkos apsaugos kriterijus, </w:t>
      </w:r>
      <w:r w:rsidR="00FC3B5F" w:rsidRPr="002F3509">
        <w:rPr>
          <w:rFonts w:ascii="Calibri" w:hAnsi="Calibri" w:cs="Calibri"/>
          <w:lang w:val="lt-LT"/>
        </w:rPr>
        <w:t xml:space="preserve">kurie numatyti </w:t>
      </w:r>
      <w:r w:rsidR="00135D3F" w:rsidRPr="002F3509">
        <w:rPr>
          <w:rFonts w:ascii="Calibri" w:hAnsi="Calibri" w:cs="Calibri"/>
          <w:lang w:val="lt-LT"/>
        </w:rPr>
        <w:t xml:space="preserve">Aprašo </w:t>
      </w:r>
      <w:r w:rsidR="00135D3F" w:rsidRPr="002F3509">
        <w:rPr>
          <w:rFonts w:ascii="Calibri" w:hAnsi="Calibri" w:cs="Calibri"/>
          <w:b/>
          <w:bCs/>
          <w:lang w:val="lt-LT"/>
        </w:rPr>
        <w:t>XIII skyriuje</w:t>
      </w:r>
      <w:r w:rsidR="00135D3F" w:rsidRPr="002F3509">
        <w:rPr>
          <w:rFonts w:ascii="Calibri" w:hAnsi="Calibri" w:cs="Calibri"/>
          <w:lang w:val="lt-LT"/>
        </w:rPr>
        <w:t xml:space="preserve">. </w:t>
      </w:r>
    </w:p>
    <w:p w14:paraId="4AE11BC4" w14:textId="1279BCC3" w:rsidR="00642C33" w:rsidRPr="00642C33" w:rsidRDefault="00642C33" w:rsidP="00300134">
      <w:pPr>
        <w:spacing w:after="0" w:line="276" w:lineRule="auto"/>
        <w:rPr>
          <w:rFonts w:ascii="Calibri" w:hAnsi="Calibri" w:cs="Calibri"/>
          <w:lang w:val="lt-LT"/>
        </w:rPr>
      </w:pPr>
      <w:r w:rsidRPr="00642C33">
        <w:rPr>
          <w:rFonts w:ascii="Calibri" w:hAnsi="Calibri" w:cs="Calibri"/>
          <w:lang w:val="lt-LT"/>
        </w:rPr>
        <w:lastRenderedPageBreak/>
        <w:t>Įvertinus aukščiau pateiktas nuostatas, darytina išvada, kad informacija</w:t>
      </w:r>
      <w:r w:rsidR="00044A8B">
        <w:rPr>
          <w:rFonts w:ascii="Calibri" w:hAnsi="Calibri" w:cs="Calibri"/>
          <w:lang w:val="lt-LT"/>
        </w:rPr>
        <w:t xml:space="preserve">, </w:t>
      </w:r>
      <w:r w:rsidR="00841DAC">
        <w:rPr>
          <w:rFonts w:ascii="Calibri" w:hAnsi="Calibri" w:cs="Calibri"/>
          <w:lang w:val="lt-LT"/>
        </w:rPr>
        <w:t>kokios medžiagos turi atitikti minimalius aplinkos apsaugos kriterijus</w:t>
      </w:r>
      <w:r w:rsidRPr="00642C33">
        <w:rPr>
          <w:rFonts w:ascii="Calibri" w:hAnsi="Calibri" w:cs="Calibri"/>
          <w:lang w:val="lt-LT"/>
        </w:rPr>
        <w:t xml:space="preserve"> yra </w:t>
      </w:r>
      <w:r w:rsidR="00044A8B">
        <w:rPr>
          <w:rFonts w:ascii="Calibri" w:hAnsi="Calibri" w:cs="Calibri"/>
          <w:lang w:val="lt-LT"/>
        </w:rPr>
        <w:t>neaiški</w:t>
      </w:r>
      <w:r w:rsidRPr="00642C33">
        <w:rPr>
          <w:rFonts w:ascii="Calibri" w:hAnsi="Calibri" w:cs="Calibri"/>
          <w:lang w:val="lt-LT"/>
        </w:rPr>
        <w:t>. Pažymėtina, kad Įstatymo 35 straipsnio 4 dalyje nustatyta, kad pirkimo dokumentai turi būti tikslūs, aiškūs, be dviprasmybių.</w:t>
      </w:r>
    </w:p>
    <w:p w14:paraId="5BF3ADB8" w14:textId="46CBB1F3" w:rsidR="00A73825" w:rsidRDefault="00642C33" w:rsidP="00196241">
      <w:pPr>
        <w:spacing w:after="0" w:line="276" w:lineRule="auto"/>
        <w:rPr>
          <w:rFonts w:ascii="Calibri" w:hAnsi="Calibri" w:cs="Calibri"/>
          <w:lang w:val="lt-LT"/>
        </w:rPr>
      </w:pPr>
      <w:r w:rsidRPr="00642C33">
        <w:rPr>
          <w:rFonts w:ascii="Calibri" w:hAnsi="Calibri" w:cs="Calibri"/>
          <w:lang w:val="lt-LT"/>
        </w:rPr>
        <w:t xml:space="preserve">Atsižvelgiant į nurodytą, Tarnyba rekomenduoja </w:t>
      </w:r>
      <w:r w:rsidR="00797055">
        <w:rPr>
          <w:rFonts w:ascii="Calibri" w:hAnsi="Calibri" w:cs="Calibri"/>
          <w:lang w:val="lt-LT"/>
        </w:rPr>
        <w:t xml:space="preserve">peržiūrėti ir </w:t>
      </w:r>
      <w:r w:rsidR="001A4824">
        <w:rPr>
          <w:rFonts w:ascii="Calibri" w:hAnsi="Calibri" w:cs="Calibri"/>
          <w:lang w:val="lt-LT"/>
        </w:rPr>
        <w:t>patikslinti</w:t>
      </w:r>
      <w:r w:rsidR="0050565C">
        <w:rPr>
          <w:rFonts w:ascii="Calibri" w:hAnsi="Calibri" w:cs="Calibri"/>
          <w:lang w:val="lt-LT"/>
        </w:rPr>
        <w:t xml:space="preserve"> </w:t>
      </w:r>
      <w:r w:rsidR="00427973">
        <w:rPr>
          <w:rFonts w:ascii="Calibri" w:hAnsi="Calibri" w:cs="Calibri"/>
          <w:lang w:val="lt-LT"/>
        </w:rPr>
        <w:t xml:space="preserve">Aprašo </w:t>
      </w:r>
      <w:r w:rsidR="006141D3">
        <w:rPr>
          <w:rFonts w:ascii="Calibri" w:hAnsi="Calibri" w:cs="Calibri"/>
          <w:lang w:val="lt-LT"/>
        </w:rPr>
        <w:t xml:space="preserve">skyrius, </w:t>
      </w:r>
      <w:r w:rsidR="00A75B21">
        <w:rPr>
          <w:rFonts w:ascii="Calibri" w:hAnsi="Calibri" w:cs="Calibri"/>
          <w:lang w:val="lt-LT"/>
        </w:rPr>
        <w:t xml:space="preserve">aiškiai nurodant </w:t>
      </w:r>
      <w:r w:rsidR="006141D3">
        <w:rPr>
          <w:rFonts w:ascii="Calibri" w:hAnsi="Calibri" w:cs="Calibri"/>
          <w:lang w:val="lt-LT"/>
        </w:rPr>
        <w:t xml:space="preserve">kuriuose </w:t>
      </w:r>
      <w:r w:rsidR="00A75B21">
        <w:rPr>
          <w:rFonts w:ascii="Calibri" w:hAnsi="Calibri" w:cs="Calibri"/>
          <w:lang w:val="lt-LT"/>
        </w:rPr>
        <w:t xml:space="preserve">konkrečiai </w:t>
      </w:r>
      <w:r w:rsidR="006141D3">
        <w:rPr>
          <w:rFonts w:ascii="Calibri" w:hAnsi="Calibri" w:cs="Calibri"/>
          <w:lang w:val="lt-LT"/>
        </w:rPr>
        <w:t>nu</w:t>
      </w:r>
      <w:r w:rsidR="00A75B21">
        <w:rPr>
          <w:rFonts w:ascii="Calibri" w:hAnsi="Calibri" w:cs="Calibri"/>
          <w:lang w:val="lt-LT"/>
        </w:rPr>
        <w:t xml:space="preserve">rodytos </w:t>
      </w:r>
      <w:r w:rsidR="006141D3">
        <w:rPr>
          <w:rFonts w:ascii="Calibri" w:hAnsi="Calibri" w:cs="Calibri"/>
          <w:lang w:val="lt-LT"/>
        </w:rPr>
        <w:t xml:space="preserve"> medžiagos</w:t>
      </w:r>
      <w:r w:rsidR="00CC3CCD">
        <w:rPr>
          <w:rFonts w:ascii="Calibri" w:hAnsi="Calibri" w:cs="Calibri"/>
          <w:lang w:val="lt-LT"/>
        </w:rPr>
        <w:t xml:space="preserve"> </w:t>
      </w:r>
      <w:r w:rsidR="00437BE9">
        <w:rPr>
          <w:rFonts w:ascii="Calibri" w:hAnsi="Calibri" w:cs="Calibri"/>
          <w:lang w:val="lt-LT"/>
        </w:rPr>
        <w:t xml:space="preserve">turi atitikti </w:t>
      </w:r>
      <w:r w:rsidR="00437BE9" w:rsidRPr="00437BE9">
        <w:rPr>
          <w:rFonts w:ascii="Calibri" w:hAnsi="Calibri" w:cs="Calibri"/>
          <w:lang w:val="lt-LT"/>
        </w:rPr>
        <w:t>minimalius aplinkos apsaugos kriterijus</w:t>
      </w:r>
      <w:r w:rsidR="00300134">
        <w:rPr>
          <w:rFonts w:ascii="Calibri" w:hAnsi="Calibri" w:cs="Calibri"/>
          <w:lang w:val="lt-LT"/>
        </w:rPr>
        <w:t>.</w:t>
      </w:r>
    </w:p>
    <w:p w14:paraId="5CBA6F7B" w14:textId="77777777" w:rsidR="00196241" w:rsidRDefault="00196241" w:rsidP="00196241">
      <w:pPr>
        <w:spacing w:after="0" w:line="276" w:lineRule="auto"/>
        <w:rPr>
          <w:rFonts w:ascii="Calibri" w:hAnsi="Calibri" w:cs="Calibri"/>
          <w:lang w:val="lt-LT"/>
        </w:rPr>
      </w:pPr>
    </w:p>
    <w:p w14:paraId="58AB0D87" w14:textId="2A3D6567" w:rsidR="00ED225F" w:rsidRPr="0055142E" w:rsidRDefault="00A73825" w:rsidP="0055142E">
      <w:pPr>
        <w:spacing w:line="276" w:lineRule="auto"/>
        <w:rPr>
          <w:rFonts w:ascii="Calibri" w:hAnsi="Calibri" w:cs="Calibri"/>
          <w:lang w:val="lt-LT"/>
        </w:rPr>
      </w:pPr>
      <w:r w:rsidRPr="00F0217F">
        <w:rPr>
          <w:rFonts w:ascii="Calibri" w:hAnsi="Calibri" w:cs="Calibri"/>
          <w:b/>
          <w:bCs/>
          <w:lang w:val="lt-LT"/>
        </w:rPr>
        <w:t>3</w:t>
      </w:r>
      <w:r w:rsidR="007A00CA" w:rsidRPr="00F0217F">
        <w:rPr>
          <w:rFonts w:ascii="Calibri" w:hAnsi="Calibri" w:cs="Calibri"/>
          <w:b/>
          <w:bCs/>
          <w:lang w:val="lt-LT"/>
        </w:rPr>
        <w:t>.2.</w:t>
      </w:r>
      <w:r w:rsidR="007A00CA">
        <w:rPr>
          <w:rFonts w:ascii="Calibri" w:hAnsi="Calibri" w:cs="Calibri"/>
          <w:lang w:val="lt-LT"/>
        </w:rPr>
        <w:t xml:space="preserve"> Sutarties projekto </w:t>
      </w:r>
      <w:r w:rsidR="00116D51">
        <w:rPr>
          <w:rFonts w:ascii="Calibri" w:hAnsi="Calibri" w:cs="Calibri"/>
          <w:lang w:val="lt-LT"/>
        </w:rPr>
        <w:t>9.9.11 papunktyje nustatyta, jog „</w:t>
      </w:r>
      <w:r w:rsidR="000E2C59" w:rsidRPr="000E2C59">
        <w:rPr>
          <w:rFonts w:ascii="Calibri" w:hAnsi="Calibri" w:cs="Calibri"/>
          <w:lang w:val="lt-LT"/>
        </w:rPr>
        <w:t xml:space="preserve">Sutarties kaina turi būti mažinama tuo atveju, jeigu Rangovas atlieka darbus ne pagal Projekto sprendinius ir/ar dėl Rangovo kaltės netinkamai įforminami ar neįforminami pakeitimai, ir dėl to </w:t>
      </w:r>
      <w:r w:rsidR="000E2C59" w:rsidRPr="00343F28">
        <w:rPr>
          <w:rFonts w:ascii="Calibri" w:hAnsi="Calibri" w:cs="Calibri"/>
          <w:b/>
          <w:bCs/>
          <w:lang w:val="lt-LT"/>
        </w:rPr>
        <w:t>Įgyvendinančioji institucija tokias Rangovo išlaidas pripažįsta netinkamomis finansuoti</w:t>
      </w:r>
      <w:r w:rsidR="000E2C59" w:rsidRPr="000E2C59">
        <w:rPr>
          <w:rFonts w:ascii="Calibri" w:hAnsi="Calibri" w:cs="Calibri"/>
          <w:lang w:val="lt-LT"/>
        </w:rPr>
        <w:t>. Sutarties kaina mažinama pripažintų netinkamomis išlaidų suma</w:t>
      </w:r>
      <w:r w:rsidR="002048B5">
        <w:rPr>
          <w:rFonts w:ascii="Calibri" w:hAnsi="Calibri" w:cs="Calibri"/>
          <w:lang w:val="lt-LT"/>
        </w:rPr>
        <w:t>“</w:t>
      </w:r>
      <w:r w:rsidR="000E2C59" w:rsidRPr="000E2C59">
        <w:rPr>
          <w:rFonts w:ascii="Calibri" w:hAnsi="Calibri" w:cs="Calibri"/>
          <w:lang w:val="lt-LT"/>
        </w:rPr>
        <w:t>.</w:t>
      </w:r>
      <w:r w:rsidR="00740963">
        <w:rPr>
          <w:rFonts w:ascii="Calibri" w:hAnsi="Calibri" w:cs="Calibri"/>
          <w:lang w:val="lt-LT"/>
        </w:rPr>
        <w:t xml:space="preserve"> </w:t>
      </w:r>
      <w:r w:rsidR="002048B5">
        <w:rPr>
          <w:rFonts w:ascii="Calibri" w:hAnsi="Calibri" w:cs="Calibri"/>
          <w:lang w:val="lt-LT"/>
        </w:rPr>
        <w:t xml:space="preserve">Tarnyba pažymi, jog skelbimo apie pirkimą </w:t>
      </w:r>
      <w:r w:rsidR="0071353F">
        <w:rPr>
          <w:rFonts w:ascii="Calibri" w:hAnsi="Calibri" w:cs="Calibri"/>
          <w:lang w:val="lt-LT"/>
        </w:rPr>
        <w:t>5.1.6 dalyje nurodyta, jog pirkimas nėra finansuojamas E</w:t>
      </w:r>
      <w:r w:rsidR="00E6397C">
        <w:rPr>
          <w:rFonts w:ascii="Calibri" w:hAnsi="Calibri" w:cs="Calibri"/>
          <w:lang w:val="lt-LT"/>
        </w:rPr>
        <w:t xml:space="preserve">uropos </w:t>
      </w:r>
      <w:r w:rsidR="0071353F">
        <w:rPr>
          <w:rFonts w:ascii="Calibri" w:hAnsi="Calibri" w:cs="Calibri"/>
          <w:lang w:val="lt-LT"/>
        </w:rPr>
        <w:t>S</w:t>
      </w:r>
      <w:r w:rsidR="00E6397C">
        <w:rPr>
          <w:rFonts w:ascii="Calibri" w:hAnsi="Calibri" w:cs="Calibri"/>
          <w:lang w:val="lt-LT"/>
        </w:rPr>
        <w:t>ąjungos</w:t>
      </w:r>
      <w:r w:rsidR="0071353F">
        <w:rPr>
          <w:rFonts w:ascii="Calibri" w:hAnsi="Calibri" w:cs="Calibri"/>
          <w:lang w:val="lt-LT"/>
        </w:rPr>
        <w:t xml:space="preserve"> fondų lėšomis</w:t>
      </w:r>
      <w:r w:rsidR="007B4A18">
        <w:rPr>
          <w:rFonts w:ascii="Calibri" w:hAnsi="Calibri" w:cs="Calibri"/>
          <w:lang w:val="lt-LT"/>
        </w:rPr>
        <w:t xml:space="preserve">, todėl </w:t>
      </w:r>
      <w:r w:rsidR="00E6397C">
        <w:rPr>
          <w:rFonts w:ascii="Calibri" w:hAnsi="Calibri" w:cs="Calibri"/>
          <w:lang w:val="lt-LT"/>
        </w:rPr>
        <w:t>manytina</w:t>
      </w:r>
      <w:r w:rsidR="007B4A18">
        <w:rPr>
          <w:rFonts w:ascii="Calibri" w:hAnsi="Calibri" w:cs="Calibri"/>
          <w:lang w:val="lt-LT"/>
        </w:rPr>
        <w:t>, jog ši nuostat</w:t>
      </w:r>
      <w:r w:rsidR="002357C8">
        <w:rPr>
          <w:rFonts w:ascii="Calibri" w:hAnsi="Calibri" w:cs="Calibri"/>
          <w:lang w:val="lt-LT"/>
        </w:rPr>
        <w:t xml:space="preserve">a yra neaktuali vykdomam </w:t>
      </w:r>
      <w:r w:rsidR="00E6397C">
        <w:rPr>
          <w:rFonts w:ascii="Calibri" w:hAnsi="Calibri" w:cs="Calibri"/>
          <w:lang w:val="lt-LT"/>
        </w:rPr>
        <w:t>P</w:t>
      </w:r>
      <w:r w:rsidR="002357C8">
        <w:rPr>
          <w:rFonts w:ascii="Calibri" w:hAnsi="Calibri" w:cs="Calibri"/>
          <w:lang w:val="lt-LT"/>
        </w:rPr>
        <w:t>irkimui</w:t>
      </w:r>
      <w:r w:rsidR="00E6397C">
        <w:rPr>
          <w:rFonts w:ascii="Calibri" w:hAnsi="Calibri" w:cs="Calibri"/>
          <w:lang w:val="lt-LT"/>
        </w:rPr>
        <w:t xml:space="preserve">, todėl </w:t>
      </w:r>
      <w:r w:rsidR="00B129B1">
        <w:rPr>
          <w:rFonts w:ascii="Calibri" w:hAnsi="Calibri" w:cs="Calibri"/>
          <w:lang w:val="lt-LT"/>
        </w:rPr>
        <w:t xml:space="preserve"> rekomenduotina </w:t>
      </w:r>
      <w:r w:rsidR="002357C8">
        <w:rPr>
          <w:rFonts w:ascii="Calibri" w:hAnsi="Calibri" w:cs="Calibri"/>
          <w:lang w:val="lt-LT"/>
        </w:rPr>
        <w:t xml:space="preserve">atsisakyti </w:t>
      </w:r>
      <w:r w:rsidR="00842316">
        <w:rPr>
          <w:rFonts w:ascii="Calibri" w:hAnsi="Calibri" w:cs="Calibri"/>
          <w:lang w:val="lt-LT"/>
        </w:rPr>
        <w:t>neaktualios informacijos.</w:t>
      </w:r>
    </w:p>
    <w:p w14:paraId="2290C285" w14:textId="61CA2588" w:rsidR="00E1720D" w:rsidRPr="0055142E" w:rsidRDefault="00F0217F" w:rsidP="0055142E">
      <w:pPr>
        <w:spacing w:line="276" w:lineRule="auto"/>
        <w:rPr>
          <w:rFonts w:ascii="Calibri" w:hAnsi="Calibri" w:cs="Calibri"/>
          <w:b/>
          <w:bCs/>
          <w:iCs/>
          <w:lang w:val="lt-LT"/>
        </w:rPr>
      </w:pPr>
      <w:r>
        <w:rPr>
          <w:rFonts w:ascii="Calibri" w:hAnsi="Calibri" w:cs="Calibri"/>
          <w:b/>
          <w:bCs/>
          <w:iCs/>
          <w:lang w:val="lt-LT"/>
        </w:rPr>
        <w:t>4</w:t>
      </w:r>
      <w:r w:rsidR="00E1720D" w:rsidRPr="0055142E">
        <w:rPr>
          <w:rFonts w:ascii="Calibri" w:hAnsi="Calibri" w:cs="Calibri"/>
          <w:b/>
          <w:bCs/>
          <w:iCs/>
          <w:lang w:val="lt-LT"/>
        </w:rPr>
        <w:t>. Dėl numatomos pirkimo vertės</w:t>
      </w:r>
    </w:p>
    <w:p w14:paraId="7D00AB67" w14:textId="4BC23FEB" w:rsidR="00ED225F" w:rsidRPr="0055142E" w:rsidRDefault="00E1720D" w:rsidP="0055142E">
      <w:pPr>
        <w:spacing w:line="276" w:lineRule="auto"/>
        <w:rPr>
          <w:rFonts w:ascii="Calibri" w:hAnsi="Calibri" w:cs="Calibri"/>
          <w:iCs/>
          <w:lang w:val="lt-LT"/>
        </w:rPr>
      </w:pPr>
      <w:r w:rsidRPr="0055142E">
        <w:rPr>
          <w:rFonts w:ascii="Calibri" w:hAnsi="Calibri" w:cs="Calibri"/>
          <w:iCs/>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2D412434" w14:textId="6B6DB1F5" w:rsidR="00391A84" w:rsidRPr="0055142E" w:rsidRDefault="00391A84" w:rsidP="0055142E">
      <w:pPr>
        <w:spacing w:line="276" w:lineRule="auto"/>
        <w:rPr>
          <w:rFonts w:ascii="Calibri" w:hAnsi="Calibri" w:cs="Calibri"/>
          <w:lang w:val="lt-LT"/>
        </w:rPr>
      </w:pPr>
      <w:r w:rsidRPr="0055142E">
        <w:rPr>
          <w:rFonts w:ascii="Calibri" w:hAnsi="Calibri" w:cs="Calibri"/>
          <w:lang w:val="lt-LT"/>
        </w:rPr>
        <w:t>Atsižvelgdama į tai, kas nurodyta, Tarnyba rekomenduoja peržiūrėti ir patikslinti Pirkim</w:t>
      </w:r>
      <w:r w:rsidR="008045F7">
        <w:rPr>
          <w:rFonts w:ascii="Calibri" w:hAnsi="Calibri" w:cs="Calibri"/>
          <w:lang w:val="lt-LT"/>
        </w:rPr>
        <w:t>o</w:t>
      </w:r>
      <w:r w:rsidRPr="0055142E">
        <w:rPr>
          <w:rFonts w:ascii="Calibri" w:hAnsi="Calibri" w:cs="Calibri"/>
          <w:lang w:val="lt-LT"/>
        </w:rPr>
        <w:t xml:space="preserve"> dokumentus pagal šioje Rekomendacijoje pateiktas pastabas. Primename, kad Perkančioji organizacija, patikslinusi Pirkim</w:t>
      </w:r>
      <w:r w:rsidR="008045F7">
        <w:rPr>
          <w:rFonts w:ascii="Calibri" w:hAnsi="Calibri" w:cs="Calibri"/>
          <w:lang w:val="lt-LT"/>
        </w:rPr>
        <w:t>o</w:t>
      </w:r>
      <w:r w:rsidRPr="0055142E">
        <w:rPr>
          <w:rFonts w:ascii="Calibri" w:hAnsi="Calibri" w:cs="Calibri"/>
          <w:lang w:val="lt-LT"/>
        </w:rPr>
        <w:t xml:space="preserve"> dokumentus, turi visus pakeitimus paskelbti CVP IS ir spręsti klausimą dėl  pasiūlymų pateikimo termino pratęsimo  protingam laikotarpiui, per kurį potencialūs tiekėjai galėtų susipažinti su patikslintais  Pirkimo dokumentais.</w:t>
      </w:r>
    </w:p>
    <w:p w14:paraId="3716A493" w14:textId="77777777" w:rsidR="00391A84" w:rsidRPr="0055142E" w:rsidRDefault="00391A84" w:rsidP="0055142E">
      <w:pPr>
        <w:spacing w:line="276" w:lineRule="auto"/>
        <w:rPr>
          <w:rFonts w:ascii="Calibri" w:hAnsi="Calibri" w:cs="Calibri"/>
          <w:lang w:val="lt-LT"/>
        </w:rPr>
      </w:pPr>
      <w:r w:rsidRPr="0055142E">
        <w:rPr>
          <w:rFonts w:ascii="Calibri" w:hAnsi="Calibri" w:cs="Calibri"/>
          <w:lang w:val="lt-LT"/>
        </w:rPr>
        <w:t>Pažymėtina, kad visais atvejais sprendimą dėl tolimesnio Pirkimų procedūrų vykdymo ar nutraukimo priima pati Perkančioji organizacija, vadovaudamasi Įstatymo 29 straipsnio 3</w:t>
      </w:r>
      <w:r w:rsidRPr="0055142E">
        <w:rPr>
          <w:rFonts w:ascii="Calibri" w:hAnsi="Calibri" w:cs="Calibri"/>
          <w:vertAlign w:val="superscript"/>
          <w:lang w:val="lt-LT"/>
        </w:rPr>
        <w:footnoteReference w:id="1"/>
      </w:r>
      <w:r w:rsidRPr="0055142E">
        <w:rPr>
          <w:rFonts w:ascii="Calibri" w:hAnsi="Calibri" w:cs="Calibri"/>
          <w:lang w:val="lt-LT"/>
        </w:rPr>
        <w:t xml:space="preserve"> ir 4</w:t>
      </w:r>
      <w:r w:rsidRPr="0055142E">
        <w:rPr>
          <w:rFonts w:ascii="Calibri" w:hAnsi="Calibri" w:cs="Calibri"/>
          <w:vertAlign w:val="superscript"/>
          <w:lang w:val="lt-LT"/>
        </w:rPr>
        <w:footnoteReference w:id="2"/>
      </w:r>
      <w:r w:rsidRPr="0055142E">
        <w:rPr>
          <w:rFonts w:ascii="Calibri" w:hAnsi="Calibri" w:cs="Calibri"/>
          <w:lang w:val="lt-LT"/>
        </w:rPr>
        <w:t>dalių bei 36 straipsnio 6 dalies</w:t>
      </w:r>
      <w:r w:rsidRPr="0055142E">
        <w:rPr>
          <w:rFonts w:ascii="Calibri" w:hAnsi="Calibri" w:cs="Calibri"/>
          <w:vertAlign w:val="superscript"/>
          <w:lang w:val="lt-LT"/>
        </w:rPr>
        <w:footnoteReference w:id="3"/>
      </w:r>
      <w:r w:rsidRPr="0055142E">
        <w:rPr>
          <w:rFonts w:ascii="Calibri" w:hAnsi="Calibri" w:cs="Calibri"/>
          <w:lang w:val="lt-LT"/>
        </w:rPr>
        <w:t xml:space="preserve"> nuostatomis. </w:t>
      </w:r>
    </w:p>
    <w:p w14:paraId="252A1A11" w14:textId="77777777" w:rsidR="00391A84" w:rsidRPr="0055142E" w:rsidRDefault="00391A84" w:rsidP="0055142E">
      <w:pPr>
        <w:spacing w:line="276" w:lineRule="auto"/>
        <w:rPr>
          <w:rFonts w:ascii="Calibri" w:hAnsi="Calibri" w:cs="Calibri"/>
          <w:lang w:val="lt"/>
        </w:rPr>
      </w:pPr>
    </w:p>
    <w:p w14:paraId="395058EF" w14:textId="77777777" w:rsidR="00391A84" w:rsidRPr="0055142E" w:rsidRDefault="00391A84" w:rsidP="0055142E">
      <w:pPr>
        <w:spacing w:line="276" w:lineRule="auto"/>
        <w:rPr>
          <w:rFonts w:ascii="Calibri" w:hAnsi="Calibri" w:cs="Calibri"/>
          <w:lang w:val="lt-LT"/>
        </w:rPr>
      </w:pPr>
    </w:p>
    <w:p w14:paraId="26633EBB" w14:textId="77D20C3D" w:rsidR="004B4924" w:rsidRPr="00F75D16" w:rsidRDefault="004B4924">
      <w:pPr>
        <w:rPr>
          <w:rFonts w:ascii="Arial" w:hAnsi="Arial" w:cs="Arial"/>
        </w:rPr>
      </w:pPr>
    </w:p>
    <w:sectPr w:rsidR="004B4924" w:rsidRPr="00F75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2571" w14:textId="77777777" w:rsidR="00B7091F" w:rsidRDefault="00B7091F" w:rsidP="00391A84">
      <w:pPr>
        <w:spacing w:after="0" w:line="240" w:lineRule="auto"/>
      </w:pPr>
      <w:r>
        <w:separator/>
      </w:r>
    </w:p>
  </w:endnote>
  <w:endnote w:type="continuationSeparator" w:id="0">
    <w:p w14:paraId="43BC0AA5" w14:textId="77777777" w:rsidR="00B7091F" w:rsidRDefault="00B7091F" w:rsidP="0039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C31C" w14:textId="77777777" w:rsidR="00B7091F" w:rsidRDefault="00B7091F" w:rsidP="00391A84">
      <w:pPr>
        <w:spacing w:after="0" w:line="240" w:lineRule="auto"/>
      </w:pPr>
      <w:r>
        <w:separator/>
      </w:r>
    </w:p>
  </w:footnote>
  <w:footnote w:type="continuationSeparator" w:id="0">
    <w:p w14:paraId="27D2B89A" w14:textId="77777777" w:rsidR="00B7091F" w:rsidRDefault="00B7091F" w:rsidP="00391A84">
      <w:pPr>
        <w:spacing w:after="0" w:line="240" w:lineRule="auto"/>
      </w:pPr>
      <w:r>
        <w:continuationSeparator/>
      </w:r>
    </w:p>
  </w:footnote>
  <w:footnote w:id="1">
    <w:p w14:paraId="7AB47264" w14:textId="77777777" w:rsidR="00391A84" w:rsidRDefault="00391A84" w:rsidP="00391A84">
      <w:pPr>
        <w:pStyle w:val="FootnoteText"/>
      </w:pPr>
      <w:r>
        <w:rPr>
          <w:rStyle w:val="FootnoteReference"/>
        </w:rPr>
        <w:footnoteRef/>
      </w:r>
      <w:r>
        <w:t xml:space="preserve"> </w:t>
      </w:r>
      <w:r w:rsidRPr="00025E91">
        <w:rPr>
          <w:rFonts w:ascii="Calibri" w:hAnsi="Calibri" w:cs="Calibri"/>
          <w:bCs/>
          <w:color w:val="000000"/>
        </w:rPr>
        <w:t>Perkančioji</w:t>
      </w:r>
      <w:r w:rsidRPr="00025E91">
        <w:rPr>
          <w:rFonts w:ascii="Calibri" w:hAnsi="Calibri" w:cs="Calibri"/>
          <w:color w:val="000000"/>
        </w:rPr>
        <w:t xml:space="preserve"> organizacija privalo </w:t>
      </w:r>
      <w:r w:rsidRPr="00025E91">
        <w:rPr>
          <w:rFonts w:ascii="Calibri" w:hAnsi="Calibri" w:cs="Calibri"/>
          <w:bCs/>
          <w:color w:val="000000"/>
        </w:rPr>
        <w:t>nutraukti pradėtas pirkimo ar projekto konkurso procedūras</w:t>
      </w:r>
      <w:r w:rsidRPr="00025E91">
        <w:rPr>
          <w:rFonts w:ascii="Calibri" w:hAnsi="Calibri" w:cs="Calibri"/>
          <w:color w:val="000000"/>
        </w:rPr>
        <w:t>, jeigu buvo pažeisti šio įstatymo 17 straipsnio 1 dalyje nustatyti principai ir atitinkamos padėties negalima ištaisyti</w:t>
      </w:r>
      <w:r>
        <w:rPr>
          <w:rFonts w:ascii="Calibri" w:hAnsi="Calibri" w:cs="Calibri"/>
          <w:color w:val="000000"/>
        </w:rPr>
        <w:t>.</w:t>
      </w:r>
    </w:p>
  </w:footnote>
  <w:footnote w:id="2">
    <w:p w14:paraId="7795621B" w14:textId="77777777" w:rsidR="00391A84" w:rsidRDefault="00391A84" w:rsidP="00391A84">
      <w:pPr>
        <w:pStyle w:val="FootnoteText"/>
      </w:pPr>
      <w:r>
        <w:rPr>
          <w:rStyle w:val="FootnoteReference"/>
        </w:rPr>
        <w:footnoteRef/>
      </w:r>
      <w:r>
        <w:t xml:space="preserve"> </w:t>
      </w:r>
      <w:r w:rsidRPr="004918C8">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t>.</w:t>
      </w:r>
    </w:p>
  </w:footnote>
  <w:footnote w:id="3">
    <w:p w14:paraId="38E1A8B6" w14:textId="77777777" w:rsidR="00391A84" w:rsidRDefault="00391A84" w:rsidP="00391A84">
      <w:pPr>
        <w:pStyle w:val="FootnoteText"/>
      </w:pPr>
      <w:r>
        <w:rPr>
          <w:rStyle w:val="FootnoteReference"/>
        </w:rPr>
        <w:footnoteRef/>
      </w:r>
      <w:r>
        <w:t xml:space="preserve"> </w:t>
      </w:r>
      <w:r w:rsidRPr="00036A09">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Pr>
          <w:color w:val="000000"/>
          <w:szCs w:val="24"/>
          <w:lang w:eastAsia="lt-LT"/>
        </w:rPr>
        <w:t xml:space="preserve">Tarptautinių pirkimų atveju negali būti daromi tokie esminiai pirkimo sąlygų pakeitimai, </w:t>
      </w:r>
      <w:r>
        <w:rPr>
          <w:spacing w:val="2"/>
          <w:szCs w:val="24"/>
          <w:shd w:val="clear" w:color="auto" w:fill="FFFFFF"/>
        </w:rPr>
        <w:t>dėl kurių</w:t>
      </w:r>
      <w:r>
        <w:rPr>
          <w:bCs/>
          <w:szCs w:val="24"/>
        </w:rPr>
        <w:t xml:space="preserve"> </w:t>
      </w:r>
      <w:r>
        <w:rPr>
          <w:color w:val="000000"/>
          <w:szCs w:val="24"/>
          <w:lang w:eastAsia="lt-LT"/>
        </w:rPr>
        <w:t>būtų buvę galima leisti dalyvauti kitiems kandidatams, negu iš pradžių atrinktiesiems, arba pirkimo procedūra būtų pritraukusi daugiau dalyvių.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A50"/>
    <w:multiLevelType w:val="multilevel"/>
    <w:tmpl w:val="ACFCE762"/>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A8D517C"/>
    <w:multiLevelType w:val="hybridMultilevel"/>
    <w:tmpl w:val="A8CA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568A0"/>
    <w:multiLevelType w:val="multilevel"/>
    <w:tmpl w:val="0704A1F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E3B6BE1"/>
    <w:multiLevelType w:val="multilevel"/>
    <w:tmpl w:val="E8A6A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900BE5"/>
    <w:multiLevelType w:val="multilevel"/>
    <w:tmpl w:val="E2B0039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F235E1D"/>
    <w:multiLevelType w:val="hybridMultilevel"/>
    <w:tmpl w:val="6D76C8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7" w15:restartNumberingAfterBreak="0">
    <w:nsid w:val="7B566349"/>
    <w:multiLevelType w:val="multilevel"/>
    <w:tmpl w:val="3D1E03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86785879">
    <w:abstractNumId w:val="4"/>
  </w:num>
  <w:num w:numId="2" w16cid:durableId="1652903088">
    <w:abstractNumId w:val="1"/>
  </w:num>
  <w:num w:numId="3" w16cid:durableId="482355269">
    <w:abstractNumId w:val="0"/>
  </w:num>
  <w:num w:numId="4" w16cid:durableId="979656989">
    <w:abstractNumId w:val="6"/>
  </w:num>
  <w:num w:numId="5" w16cid:durableId="1261791220">
    <w:abstractNumId w:val="5"/>
  </w:num>
  <w:num w:numId="6" w16cid:durableId="964698674">
    <w:abstractNumId w:val="7"/>
  </w:num>
  <w:num w:numId="7" w16cid:durableId="972639875">
    <w:abstractNumId w:val="3"/>
  </w:num>
  <w:num w:numId="8" w16cid:durableId="770711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50"/>
    <w:rsid w:val="00004CA4"/>
    <w:rsid w:val="00013D4B"/>
    <w:rsid w:val="00014137"/>
    <w:rsid w:val="00015A7A"/>
    <w:rsid w:val="000361D3"/>
    <w:rsid w:val="000419DE"/>
    <w:rsid w:val="00044A8B"/>
    <w:rsid w:val="000516D9"/>
    <w:rsid w:val="00054F31"/>
    <w:rsid w:val="00061147"/>
    <w:rsid w:val="00063D8C"/>
    <w:rsid w:val="00065A97"/>
    <w:rsid w:val="000671FF"/>
    <w:rsid w:val="00075D7C"/>
    <w:rsid w:val="000771A4"/>
    <w:rsid w:val="00080CEA"/>
    <w:rsid w:val="00084E64"/>
    <w:rsid w:val="00085CDD"/>
    <w:rsid w:val="00096583"/>
    <w:rsid w:val="000965CC"/>
    <w:rsid w:val="00096709"/>
    <w:rsid w:val="00097438"/>
    <w:rsid w:val="000A4096"/>
    <w:rsid w:val="000B19EC"/>
    <w:rsid w:val="000C1AFB"/>
    <w:rsid w:val="000C6C2E"/>
    <w:rsid w:val="000C6EDC"/>
    <w:rsid w:val="000C775A"/>
    <w:rsid w:val="000C7764"/>
    <w:rsid w:val="000C7B46"/>
    <w:rsid w:val="000D4919"/>
    <w:rsid w:val="000D6DD4"/>
    <w:rsid w:val="000E1D64"/>
    <w:rsid w:val="000E2C59"/>
    <w:rsid w:val="000E4878"/>
    <w:rsid w:val="000F0D6E"/>
    <w:rsid w:val="00112CBE"/>
    <w:rsid w:val="00116D51"/>
    <w:rsid w:val="00135D3F"/>
    <w:rsid w:val="00137D5F"/>
    <w:rsid w:val="00144E2D"/>
    <w:rsid w:val="0016008B"/>
    <w:rsid w:val="00170D71"/>
    <w:rsid w:val="0017654D"/>
    <w:rsid w:val="00190F19"/>
    <w:rsid w:val="001929B8"/>
    <w:rsid w:val="00192B5E"/>
    <w:rsid w:val="00196241"/>
    <w:rsid w:val="00197B28"/>
    <w:rsid w:val="00197F98"/>
    <w:rsid w:val="001A4824"/>
    <w:rsid w:val="001A6050"/>
    <w:rsid w:val="001C3F75"/>
    <w:rsid w:val="001E2208"/>
    <w:rsid w:val="001E2569"/>
    <w:rsid w:val="001E4FF7"/>
    <w:rsid w:val="001F4E58"/>
    <w:rsid w:val="00202771"/>
    <w:rsid w:val="002048B5"/>
    <w:rsid w:val="00205DC2"/>
    <w:rsid w:val="002116C9"/>
    <w:rsid w:val="00215B2B"/>
    <w:rsid w:val="002228E4"/>
    <w:rsid w:val="00233796"/>
    <w:rsid w:val="00234B67"/>
    <w:rsid w:val="002357C8"/>
    <w:rsid w:val="00240169"/>
    <w:rsid w:val="00242466"/>
    <w:rsid w:val="00247841"/>
    <w:rsid w:val="00250B75"/>
    <w:rsid w:val="00252C6A"/>
    <w:rsid w:val="00255892"/>
    <w:rsid w:val="00267B68"/>
    <w:rsid w:val="00271C65"/>
    <w:rsid w:val="00272E64"/>
    <w:rsid w:val="00284278"/>
    <w:rsid w:val="00292BA2"/>
    <w:rsid w:val="002A2191"/>
    <w:rsid w:val="002B0AE6"/>
    <w:rsid w:val="002B79D0"/>
    <w:rsid w:val="002C2DBF"/>
    <w:rsid w:val="002C6B1F"/>
    <w:rsid w:val="002D169D"/>
    <w:rsid w:val="002E39AA"/>
    <w:rsid w:val="002E4EBF"/>
    <w:rsid w:val="002E7971"/>
    <w:rsid w:val="002F1296"/>
    <w:rsid w:val="002F14A0"/>
    <w:rsid w:val="002F3509"/>
    <w:rsid w:val="00300134"/>
    <w:rsid w:val="00307338"/>
    <w:rsid w:val="00312E1F"/>
    <w:rsid w:val="00315B61"/>
    <w:rsid w:val="00321F49"/>
    <w:rsid w:val="00327ACF"/>
    <w:rsid w:val="003421FE"/>
    <w:rsid w:val="00343F28"/>
    <w:rsid w:val="00346E5B"/>
    <w:rsid w:val="00354A2D"/>
    <w:rsid w:val="00355FE5"/>
    <w:rsid w:val="003759DC"/>
    <w:rsid w:val="00386D49"/>
    <w:rsid w:val="00391A84"/>
    <w:rsid w:val="003936AC"/>
    <w:rsid w:val="003A35C3"/>
    <w:rsid w:val="003B369F"/>
    <w:rsid w:val="003C59D2"/>
    <w:rsid w:val="003D09DE"/>
    <w:rsid w:val="003E3ACD"/>
    <w:rsid w:val="003E4D46"/>
    <w:rsid w:val="0040129E"/>
    <w:rsid w:val="00404BF0"/>
    <w:rsid w:val="00410E1D"/>
    <w:rsid w:val="00412859"/>
    <w:rsid w:val="00416A2C"/>
    <w:rsid w:val="00427973"/>
    <w:rsid w:val="00430240"/>
    <w:rsid w:val="00436EAF"/>
    <w:rsid w:val="00437BE9"/>
    <w:rsid w:val="00445A2C"/>
    <w:rsid w:val="004477D7"/>
    <w:rsid w:val="00451197"/>
    <w:rsid w:val="00453277"/>
    <w:rsid w:val="00455AF0"/>
    <w:rsid w:val="00457A81"/>
    <w:rsid w:val="00467D4D"/>
    <w:rsid w:val="00470950"/>
    <w:rsid w:val="00471A74"/>
    <w:rsid w:val="00472C2A"/>
    <w:rsid w:val="00472DF6"/>
    <w:rsid w:val="004734FA"/>
    <w:rsid w:val="004741E8"/>
    <w:rsid w:val="00477C5D"/>
    <w:rsid w:val="004953B2"/>
    <w:rsid w:val="004A268B"/>
    <w:rsid w:val="004A5E92"/>
    <w:rsid w:val="004B4924"/>
    <w:rsid w:val="004C10FF"/>
    <w:rsid w:val="004D4E60"/>
    <w:rsid w:val="004D7D29"/>
    <w:rsid w:val="004E261D"/>
    <w:rsid w:val="004E3C74"/>
    <w:rsid w:val="004F01BD"/>
    <w:rsid w:val="004F1992"/>
    <w:rsid w:val="00501174"/>
    <w:rsid w:val="0050565C"/>
    <w:rsid w:val="00506751"/>
    <w:rsid w:val="00517229"/>
    <w:rsid w:val="00520ECC"/>
    <w:rsid w:val="00526993"/>
    <w:rsid w:val="00527C72"/>
    <w:rsid w:val="005319F5"/>
    <w:rsid w:val="00546BCB"/>
    <w:rsid w:val="0055142E"/>
    <w:rsid w:val="00567927"/>
    <w:rsid w:val="00577F36"/>
    <w:rsid w:val="00581CEC"/>
    <w:rsid w:val="005847A5"/>
    <w:rsid w:val="005977B9"/>
    <w:rsid w:val="005B4B67"/>
    <w:rsid w:val="005B4D47"/>
    <w:rsid w:val="005B516E"/>
    <w:rsid w:val="005B7E12"/>
    <w:rsid w:val="005C77E1"/>
    <w:rsid w:val="005E4433"/>
    <w:rsid w:val="005F7033"/>
    <w:rsid w:val="00602578"/>
    <w:rsid w:val="006141D3"/>
    <w:rsid w:val="00622D43"/>
    <w:rsid w:val="00632BD7"/>
    <w:rsid w:val="00642C33"/>
    <w:rsid w:val="00642FF0"/>
    <w:rsid w:val="006472E7"/>
    <w:rsid w:val="006567B4"/>
    <w:rsid w:val="006612DB"/>
    <w:rsid w:val="006827F2"/>
    <w:rsid w:val="00684894"/>
    <w:rsid w:val="00687DDB"/>
    <w:rsid w:val="006B1447"/>
    <w:rsid w:val="006C11D9"/>
    <w:rsid w:val="006C4B5A"/>
    <w:rsid w:val="006C7B0D"/>
    <w:rsid w:val="006E66D5"/>
    <w:rsid w:val="006F7D72"/>
    <w:rsid w:val="0070729E"/>
    <w:rsid w:val="00707BAB"/>
    <w:rsid w:val="0071353F"/>
    <w:rsid w:val="00715225"/>
    <w:rsid w:val="00715A1D"/>
    <w:rsid w:val="00717F14"/>
    <w:rsid w:val="00725DD8"/>
    <w:rsid w:val="00735506"/>
    <w:rsid w:val="00737CE0"/>
    <w:rsid w:val="0074073F"/>
    <w:rsid w:val="00740963"/>
    <w:rsid w:val="00743838"/>
    <w:rsid w:val="00746686"/>
    <w:rsid w:val="00747D97"/>
    <w:rsid w:val="007602E4"/>
    <w:rsid w:val="00763AE6"/>
    <w:rsid w:val="00764814"/>
    <w:rsid w:val="00781615"/>
    <w:rsid w:val="00797055"/>
    <w:rsid w:val="007A00CA"/>
    <w:rsid w:val="007A1811"/>
    <w:rsid w:val="007A7650"/>
    <w:rsid w:val="007B27D1"/>
    <w:rsid w:val="007B4A18"/>
    <w:rsid w:val="007C3BF7"/>
    <w:rsid w:val="007C3EDD"/>
    <w:rsid w:val="00800B6A"/>
    <w:rsid w:val="00801448"/>
    <w:rsid w:val="008014ED"/>
    <w:rsid w:val="008034E6"/>
    <w:rsid w:val="008045F7"/>
    <w:rsid w:val="00807D51"/>
    <w:rsid w:val="00810658"/>
    <w:rsid w:val="00823548"/>
    <w:rsid w:val="00825893"/>
    <w:rsid w:val="00841DAC"/>
    <w:rsid w:val="00842316"/>
    <w:rsid w:val="008533F3"/>
    <w:rsid w:val="00853F4B"/>
    <w:rsid w:val="00860822"/>
    <w:rsid w:val="00877C11"/>
    <w:rsid w:val="008811B4"/>
    <w:rsid w:val="00886AE7"/>
    <w:rsid w:val="00897769"/>
    <w:rsid w:val="008A1EB1"/>
    <w:rsid w:val="008A39F4"/>
    <w:rsid w:val="008B3D9B"/>
    <w:rsid w:val="008C5D46"/>
    <w:rsid w:val="008D2C8C"/>
    <w:rsid w:val="008D34EC"/>
    <w:rsid w:val="008D5FDB"/>
    <w:rsid w:val="008D69FF"/>
    <w:rsid w:val="008D6C32"/>
    <w:rsid w:val="008E4505"/>
    <w:rsid w:val="008F4075"/>
    <w:rsid w:val="008F5329"/>
    <w:rsid w:val="00911193"/>
    <w:rsid w:val="00912E32"/>
    <w:rsid w:val="009153E9"/>
    <w:rsid w:val="00921B00"/>
    <w:rsid w:val="0093290A"/>
    <w:rsid w:val="0093616B"/>
    <w:rsid w:val="0093620E"/>
    <w:rsid w:val="00937F3B"/>
    <w:rsid w:val="00944AD6"/>
    <w:rsid w:val="00960CDC"/>
    <w:rsid w:val="0098779A"/>
    <w:rsid w:val="009B1CF7"/>
    <w:rsid w:val="009B5B91"/>
    <w:rsid w:val="009C07C8"/>
    <w:rsid w:val="009C5825"/>
    <w:rsid w:val="009D29FC"/>
    <w:rsid w:val="009D755A"/>
    <w:rsid w:val="009D7CB6"/>
    <w:rsid w:val="009E0410"/>
    <w:rsid w:val="009E0797"/>
    <w:rsid w:val="009E15F9"/>
    <w:rsid w:val="009E3CA8"/>
    <w:rsid w:val="009F0CDF"/>
    <w:rsid w:val="009F42A5"/>
    <w:rsid w:val="009F5805"/>
    <w:rsid w:val="00A055F7"/>
    <w:rsid w:val="00A251E3"/>
    <w:rsid w:val="00A32DAC"/>
    <w:rsid w:val="00A34701"/>
    <w:rsid w:val="00A43937"/>
    <w:rsid w:val="00A524F4"/>
    <w:rsid w:val="00A5551E"/>
    <w:rsid w:val="00A73825"/>
    <w:rsid w:val="00A74C9A"/>
    <w:rsid w:val="00A75B21"/>
    <w:rsid w:val="00A77A22"/>
    <w:rsid w:val="00A863BC"/>
    <w:rsid w:val="00AA13D9"/>
    <w:rsid w:val="00AA32A6"/>
    <w:rsid w:val="00AA4977"/>
    <w:rsid w:val="00AA6CD6"/>
    <w:rsid w:val="00AB0B72"/>
    <w:rsid w:val="00AB2BE5"/>
    <w:rsid w:val="00AC1591"/>
    <w:rsid w:val="00AC1646"/>
    <w:rsid w:val="00AD03B5"/>
    <w:rsid w:val="00AD3F92"/>
    <w:rsid w:val="00AF3DAD"/>
    <w:rsid w:val="00B0005A"/>
    <w:rsid w:val="00B065CE"/>
    <w:rsid w:val="00B06BFA"/>
    <w:rsid w:val="00B129B1"/>
    <w:rsid w:val="00B13595"/>
    <w:rsid w:val="00B25AA7"/>
    <w:rsid w:val="00B647D7"/>
    <w:rsid w:val="00B6639F"/>
    <w:rsid w:val="00B7091F"/>
    <w:rsid w:val="00B91E06"/>
    <w:rsid w:val="00B95165"/>
    <w:rsid w:val="00BA404E"/>
    <w:rsid w:val="00BA599A"/>
    <w:rsid w:val="00BB1F33"/>
    <w:rsid w:val="00BC5291"/>
    <w:rsid w:val="00BD2FE2"/>
    <w:rsid w:val="00BD6132"/>
    <w:rsid w:val="00BE1D08"/>
    <w:rsid w:val="00BE4923"/>
    <w:rsid w:val="00BE6B4B"/>
    <w:rsid w:val="00BF5C48"/>
    <w:rsid w:val="00BF7626"/>
    <w:rsid w:val="00C03F79"/>
    <w:rsid w:val="00C100DA"/>
    <w:rsid w:val="00C1361F"/>
    <w:rsid w:val="00C30785"/>
    <w:rsid w:val="00C32A7A"/>
    <w:rsid w:val="00C55034"/>
    <w:rsid w:val="00C602BA"/>
    <w:rsid w:val="00C63344"/>
    <w:rsid w:val="00C64083"/>
    <w:rsid w:val="00C65503"/>
    <w:rsid w:val="00C86A8D"/>
    <w:rsid w:val="00C94C57"/>
    <w:rsid w:val="00CB1A57"/>
    <w:rsid w:val="00CB51B9"/>
    <w:rsid w:val="00CB575A"/>
    <w:rsid w:val="00CB6CF2"/>
    <w:rsid w:val="00CB6F2E"/>
    <w:rsid w:val="00CC3CCD"/>
    <w:rsid w:val="00CD54E6"/>
    <w:rsid w:val="00CD579D"/>
    <w:rsid w:val="00CD6AE7"/>
    <w:rsid w:val="00CE7155"/>
    <w:rsid w:val="00CE75D6"/>
    <w:rsid w:val="00D0775D"/>
    <w:rsid w:val="00D10DCC"/>
    <w:rsid w:val="00D14D77"/>
    <w:rsid w:val="00D25B8A"/>
    <w:rsid w:val="00D32201"/>
    <w:rsid w:val="00D57F18"/>
    <w:rsid w:val="00D62775"/>
    <w:rsid w:val="00D62D5E"/>
    <w:rsid w:val="00D6486D"/>
    <w:rsid w:val="00D717B5"/>
    <w:rsid w:val="00D72A54"/>
    <w:rsid w:val="00DA4A9C"/>
    <w:rsid w:val="00DA61A6"/>
    <w:rsid w:val="00DB197F"/>
    <w:rsid w:val="00DB35B7"/>
    <w:rsid w:val="00DB5F9F"/>
    <w:rsid w:val="00DC125E"/>
    <w:rsid w:val="00DC46F4"/>
    <w:rsid w:val="00DC780C"/>
    <w:rsid w:val="00DD7929"/>
    <w:rsid w:val="00DE5D39"/>
    <w:rsid w:val="00DE5FB5"/>
    <w:rsid w:val="00DF76B2"/>
    <w:rsid w:val="00E03855"/>
    <w:rsid w:val="00E0527C"/>
    <w:rsid w:val="00E069EC"/>
    <w:rsid w:val="00E06D7B"/>
    <w:rsid w:val="00E1720D"/>
    <w:rsid w:val="00E20790"/>
    <w:rsid w:val="00E214A4"/>
    <w:rsid w:val="00E23A59"/>
    <w:rsid w:val="00E2660D"/>
    <w:rsid w:val="00E31777"/>
    <w:rsid w:val="00E47286"/>
    <w:rsid w:val="00E50DA9"/>
    <w:rsid w:val="00E52BDC"/>
    <w:rsid w:val="00E57B5E"/>
    <w:rsid w:val="00E6397C"/>
    <w:rsid w:val="00E73CF5"/>
    <w:rsid w:val="00E77F9F"/>
    <w:rsid w:val="00E84589"/>
    <w:rsid w:val="00E95890"/>
    <w:rsid w:val="00EA3DEC"/>
    <w:rsid w:val="00EB3948"/>
    <w:rsid w:val="00EC1DFA"/>
    <w:rsid w:val="00ED01BA"/>
    <w:rsid w:val="00ED225F"/>
    <w:rsid w:val="00ED7C82"/>
    <w:rsid w:val="00EE274B"/>
    <w:rsid w:val="00EF23B2"/>
    <w:rsid w:val="00EF4E4C"/>
    <w:rsid w:val="00EF629D"/>
    <w:rsid w:val="00F0217F"/>
    <w:rsid w:val="00F17B4E"/>
    <w:rsid w:val="00F17DD5"/>
    <w:rsid w:val="00F209A0"/>
    <w:rsid w:val="00F31C1A"/>
    <w:rsid w:val="00F3507B"/>
    <w:rsid w:val="00F36172"/>
    <w:rsid w:val="00F41766"/>
    <w:rsid w:val="00F46C3F"/>
    <w:rsid w:val="00F53370"/>
    <w:rsid w:val="00F62BC5"/>
    <w:rsid w:val="00F71E34"/>
    <w:rsid w:val="00F7358A"/>
    <w:rsid w:val="00F74CF0"/>
    <w:rsid w:val="00F75D16"/>
    <w:rsid w:val="00F90788"/>
    <w:rsid w:val="00FA37C8"/>
    <w:rsid w:val="00FA7DC2"/>
    <w:rsid w:val="00FB3835"/>
    <w:rsid w:val="00FB5828"/>
    <w:rsid w:val="00FC3B5F"/>
    <w:rsid w:val="00FC4B38"/>
    <w:rsid w:val="00FC53ED"/>
    <w:rsid w:val="00FC7605"/>
    <w:rsid w:val="00FD399D"/>
    <w:rsid w:val="00FD738A"/>
    <w:rsid w:val="00FE4612"/>
    <w:rsid w:val="00FE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381E"/>
  <w15:chartTrackingRefBased/>
  <w15:docId w15:val="{5ED12BFD-EE13-4115-8F07-5E85FFB5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6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050"/>
    <w:rPr>
      <w:rFonts w:eastAsiaTheme="majorEastAsia" w:cstheme="majorBidi"/>
      <w:color w:val="272727" w:themeColor="text1" w:themeTint="D8"/>
    </w:rPr>
  </w:style>
  <w:style w:type="paragraph" w:styleId="Title">
    <w:name w:val="Title"/>
    <w:basedOn w:val="Normal"/>
    <w:next w:val="Normal"/>
    <w:link w:val="TitleChar"/>
    <w:uiPriority w:val="10"/>
    <w:qFormat/>
    <w:rsid w:val="001A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050"/>
    <w:pPr>
      <w:spacing w:before="160"/>
      <w:jc w:val="center"/>
    </w:pPr>
    <w:rPr>
      <w:i/>
      <w:iCs/>
      <w:color w:val="404040" w:themeColor="text1" w:themeTint="BF"/>
    </w:rPr>
  </w:style>
  <w:style w:type="character" w:customStyle="1" w:styleId="QuoteChar">
    <w:name w:val="Quote Char"/>
    <w:basedOn w:val="DefaultParagraphFont"/>
    <w:link w:val="Quote"/>
    <w:uiPriority w:val="29"/>
    <w:rsid w:val="001A6050"/>
    <w:rPr>
      <w:i/>
      <w:iCs/>
      <w:color w:val="404040" w:themeColor="text1" w:themeTint="BF"/>
    </w:rPr>
  </w:style>
  <w:style w:type="paragraph" w:styleId="ListParagraph">
    <w:name w:val="List Paragraph"/>
    <w:basedOn w:val="Normal"/>
    <w:uiPriority w:val="34"/>
    <w:qFormat/>
    <w:rsid w:val="001A6050"/>
    <w:pPr>
      <w:ind w:left="720"/>
      <w:contextualSpacing/>
    </w:pPr>
  </w:style>
  <w:style w:type="character" w:styleId="IntenseEmphasis">
    <w:name w:val="Intense Emphasis"/>
    <w:basedOn w:val="DefaultParagraphFont"/>
    <w:uiPriority w:val="21"/>
    <w:qFormat/>
    <w:rsid w:val="001A6050"/>
    <w:rPr>
      <w:i/>
      <w:iCs/>
      <w:color w:val="0F4761" w:themeColor="accent1" w:themeShade="BF"/>
    </w:rPr>
  </w:style>
  <w:style w:type="paragraph" w:styleId="IntenseQuote">
    <w:name w:val="Intense Quote"/>
    <w:basedOn w:val="Normal"/>
    <w:next w:val="Normal"/>
    <w:link w:val="IntenseQuoteChar"/>
    <w:uiPriority w:val="30"/>
    <w:qFormat/>
    <w:rsid w:val="001A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050"/>
    <w:rPr>
      <w:i/>
      <w:iCs/>
      <w:color w:val="0F4761" w:themeColor="accent1" w:themeShade="BF"/>
    </w:rPr>
  </w:style>
  <w:style w:type="character" w:styleId="IntenseReference">
    <w:name w:val="Intense Reference"/>
    <w:basedOn w:val="DefaultParagraphFont"/>
    <w:uiPriority w:val="32"/>
    <w:qFormat/>
    <w:rsid w:val="001A6050"/>
    <w:rPr>
      <w:b/>
      <w:bCs/>
      <w:smallCaps/>
      <w:color w:val="0F4761" w:themeColor="accent1" w:themeShade="BF"/>
      <w:spacing w:val="5"/>
    </w:rPr>
  </w:style>
  <w:style w:type="character" w:styleId="Hyperlink">
    <w:name w:val="Hyperlink"/>
    <w:basedOn w:val="DefaultParagraphFont"/>
    <w:uiPriority w:val="99"/>
    <w:unhideWhenUsed/>
    <w:rsid w:val="00416A2C"/>
    <w:rPr>
      <w:color w:val="467886" w:themeColor="hyperlink"/>
      <w:u w:val="single"/>
    </w:rPr>
  </w:style>
  <w:style w:type="character" w:customStyle="1" w:styleId="UnresolvedMention1">
    <w:name w:val="Unresolved Mention1"/>
    <w:basedOn w:val="DefaultParagraphFont"/>
    <w:uiPriority w:val="99"/>
    <w:semiHidden/>
    <w:unhideWhenUsed/>
    <w:rsid w:val="00416A2C"/>
    <w:rPr>
      <w:color w:val="605E5C"/>
      <w:shd w:val="clear" w:color="auto" w:fill="E1DFDD"/>
    </w:rPr>
  </w:style>
  <w:style w:type="character" w:styleId="CommentReference">
    <w:name w:val="annotation reference"/>
    <w:basedOn w:val="DefaultParagraphFont"/>
    <w:uiPriority w:val="99"/>
    <w:unhideWhenUsed/>
    <w:qFormat/>
    <w:rsid w:val="007C3EDD"/>
    <w:rPr>
      <w:sz w:val="16"/>
      <w:szCs w:val="16"/>
    </w:rPr>
  </w:style>
  <w:style w:type="paragraph" w:styleId="CommentText">
    <w:name w:val="annotation text"/>
    <w:basedOn w:val="Normal"/>
    <w:link w:val="CommentTextChar"/>
    <w:unhideWhenUsed/>
    <w:rsid w:val="007C3EDD"/>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7C3EDD"/>
    <w:rPr>
      <w:rFonts w:ascii="Times New Roman" w:eastAsia="Times New Roman" w:hAnsi="Times New Roman" w:cs="Times New Roman"/>
      <w:kern w:val="0"/>
      <w:sz w:val="20"/>
      <w:szCs w:val="20"/>
      <w:lang w:val="lt-LT"/>
      <w14:ligatures w14:val="none"/>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391A84"/>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391A84"/>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391A84"/>
    <w:rPr>
      <w:vertAlign w:val="superscript"/>
    </w:rPr>
  </w:style>
  <w:style w:type="character" w:styleId="UnresolvedMention">
    <w:name w:val="Unresolved Mention"/>
    <w:basedOn w:val="DefaultParagraphFont"/>
    <w:uiPriority w:val="99"/>
    <w:semiHidden/>
    <w:unhideWhenUsed/>
    <w:rsid w:val="009E0797"/>
    <w:rPr>
      <w:color w:val="605E5C"/>
      <w:shd w:val="clear" w:color="auto" w:fill="E1DFDD"/>
    </w:rPr>
  </w:style>
  <w:style w:type="character" w:styleId="FollowedHyperlink">
    <w:name w:val="FollowedHyperlink"/>
    <w:basedOn w:val="DefaultParagraphFont"/>
    <w:uiPriority w:val="99"/>
    <w:semiHidden/>
    <w:unhideWhenUsed/>
    <w:rsid w:val="00BD6132"/>
    <w:rPr>
      <w:color w:val="96607D" w:themeColor="followedHyperlink"/>
      <w:u w:val="single"/>
    </w:rPr>
  </w:style>
  <w:style w:type="paragraph" w:customStyle="1" w:styleId="paragraph">
    <w:name w:val="paragraph"/>
    <w:basedOn w:val="Normal"/>
    <w:rsid w:val="00D717B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267B68"/>
    <w:pPr>
      <w:spacing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267B6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F4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30212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public/canonical/1740118315/18940/Prane%C5%A1imas_apie_pakeitimus_2025_02_21.pptx" TargetMode="External"/><Relationship Id="rId4" Type="http://schemas.openxmlformats.org/officeDocument/2006/relationships/settings" Target="settings.xml"/><Relationship Id="rId9" Type="http://schemas.openxmlformats.org/officeDocument/2006/relationships/hyperlink" Target="https://vpt.lrv.lt/public/canonical/1743522381/19113/Skelbimas_apie_pirkim%C4%85_2025_04_0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587FB-7B01-4DF0-9606-6FE7BF04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1192</Words>
  <Characters>6797</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2025-06-16T04:46:00Z</dcterms:created>
  <dcterms:modified xsi:type="dcterms:W3CDTF">2025-06-16T04:53:00Z</dcterms:modified>
</cp:coreProperties>
</file>