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476AD" w14:textId="77777777" w:rsidR="00581CEC" w:rsidRPr="0055142E" w:rsidRDefault="00581CEC" w:rsidP="0055142E">
      <w:pPr>
        <w:spacing w:line="276" w:lineRule="auto"/>
        <w:rPr>
          <w:rFonts w:ascii="Calibri" w:hAnsi="Calibri" w:cs="Calibri"/>
          <w:lang w:val="lt-LT"/>
        </w:rPr>
      </w:pPr>
      <w:r w:rsidRPr="0055142E">
        <w:rPr>
          <w:rFonts w:ascii="Calibri" w:hAnsi="Calibri" w:cs="Calibri"/>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68C985BD" w14:textId="64527B45" w:rsidR="00581CEC" w:rsidRPr="0055142E" w:rsidRDefault="00581CEC" w:rsidP="0055142E">
      <w:pPr>
        <w:spacing w:line="276" w:lineRule="auto"/>
        <w:rPr>
          <w:rFonts w:ascii="Calibri" w:hAnsi="Calibri" w:cs="Calibri"/>
          <w:b/>
          <w:lang w:val="lt-LT"/>
        </w:rPr>
      </w:pPr>
      <w:r w:rsidRPr="0055142E">
        <w:rPr>
          <w:rFonts w:ascii="Calibri" w:hAnsi="Calibri" w:cs="Calibri"/>
          <w:lang w:val="lt"/>
        </w:rPr>
        <w:t xml:space="preserve">Vadovaujantis Tarnybai Įstatyme nustatyta pažeidimų prevencijos funkcija, šiuo metu atliekama </w:t>
      </w:r>
      <w:r w:rsidR="00C1361F" w:rsidRPr="0055142E">
        <w:rPr>
          <w:rFonts w:ascii="Calibri" w:hAnsi="Calibri" w:cs="Calibri"/>
          <w:b/>
          <w:bCs/>
          <w:lang w:val="lt-LT"/>
        </w:rPr>
        <w:t>Utenos</w:t>
      </w:r>
      <w:r w:rsidR="003B369F" w:rsidRPr="0055142E">
        <w:rPr>
          <w:rFonts w:ascii="Calibri" w:hAnsi="Calibri" w:cs="Calibri"/>
          <w:b/>
          <w:bCs/>
          <w:lang w:val="lt-LT"/>
        </w:rPr>
        <w:t xml:space="preserve"> rajono savivaldybės administracijos</w:t>
      </w:r>
      <w:r w:rsidR="003B369F" w:rsidRPr="0055142E">
        <w:rPr>
          <w:rFonts w:ascii="Calibri" w:hAnsi="Calibri" w:cs="Calibri"/>
          <w:lang w:val="lt"/>
        </w:rPr>
        <w:t xml:space="preserve"> </w:t>
      </w:r>
      <w:r w:rsidRPr="0055142E">
        <w:rPr>
          <w:rFonts w:ascii="Calibri" w:hAnsi="Calibri" w:cs="Calibri"/>
          <w:lang w:val="lt"/>
        </w:rPr>
        <w:t xml:space="preserve">(toliau – Perkančioji organizacija) vykdomo pirkimo </w:t>
      </w:r>
      <w:r w:rsidRPr="0055142E">
        <w:rPr>
          <w:rFonts w:ascii="Calibri" w:hAnsi="Calibri" w:cs="Calibri"/>
          <w:b/>
          <w:lang w:val="lt"/>
        </w:rPr>
        <w:t xml:space="preserve">Nr. </w:t>
      </w:r>
      <w:r w:rsidR="00C1361F" w:rsidRPr="0055142E">
        <w:rPr>
          <w:rFonts w:ascii="Calibri" w:eastAsia="Calibri" w:hAnsi="Calibri" w:cs="Calibri"/>
          <w:b/>
          <w:bCs/>
        </w:rPr>
        <w:t>2585653</w:t>
      </w:r>
      <w:r w:rsidRPr="0055142E">
        <w:rPr>
          <w:rFonts w:ascii="Calibri" w:hAnsi="Calibri" w:cs="Calibri"/>
          <w:b/>
          <w:lang w:val="lt"/>
        </w:rPr>
        <w:t xml:space="preserve"> </w:t>
      </w:r>
      <w:r w:rsidR="004E3C74" w:rsidRPr="0055142E">
        <w:rPr>
          <w:rFonts w:ascii="Calibri" w:hAnsi="Calibri" w:cs="Calibri"/>
          <w:b/>
          <w:lang w:val="lt-LT"/>
        </w:rPr>
        <w:t>„</w:t>
      </w:r>
      <w:r w:rsidR="00C1361F" w:rsidRPr="0055142E">
        <w:rPr>
          <w:rFonts w:ascii="Calibri" w:hAnsi="Calibri" w:cs="Calibri"/>
          <w:b/>
          <w:lang w:val="lt-LT"/>
        </w:rPr>
        <w:t>Mokslo paskirties pastato, Taikos g. 62, Utenoje, modernizavimo (atnaujinimo) darbai</w:t>
      </w:r>
      <w:r w:rsidR="00C1361F" w:rsidRPr="0055142E">
        <w:rPr>
          <w:rFonts w:ascii="Calibri" w:hAnsi="Calibri" w:cs="Calibri"/>
          <w:b/>
          <w:bCs/>
          <w:lang w:val="lt-LT"/>
        </w:rPr>
        <w:t>“</w:t>
      </w:r>
      <w:r w:rsidR="004E3C74" w:rsidRPr="0055142E">
        <w:rPr>
          <w:rFonts w:ascii="Calibri" w:hAnsi="Calibri" w:cs="Calibri"/>
          <w:b/>
          <w:bCs/>
          <w:lang w:val="lt-LT"/>
        </w:rPr>
        <w:t xml:space="preserve"> </w:t>
      </w:r>
      <w:r w:rsidRPr="0055142E">
        <w:rPr>
          <w:rFonts w:ascii="Calibri" w:hAnsi="Calibri" w:cs="Calibri"/>
          <w:bCs/>
          <w:lang w:val="lt-LT"/>
        </w:rPr>
        <w:t>(toliau</w:t>
      </w:r>
      <w:r w:rsidRPr="0055142E">
        <w:rPr>
          <w:rFonts w:ascii="Calibri" w:hAnsi="Calibri" w:cs="Calibri"/>
          <w:b/>
          <w:lang w:val="lt-LT"/>
        </w:rPr>
        <w:t xml:space="preserve"> – </w:t>
      </w:r>
      <w:r w:rsidRPr="0055142E">
        <w:rPr>
          <w:rFonts w:ascii="Calibri" w:hAnsi="Calibri" w:cs="Calibri"/>
          <w:lang w:val="lt"/>
        </w:rPr>
        <w:t>Pirkimas)</w:t>
      </w:r>
      <w:r w:rsidRPr="0055142E">
        <w:rPr>
          <w:rFonts w:ascii="Calibri" w:hAnsi="Calibri" w:cs="Calibri"/>
          <w:lang w:val="lt-LT"/>
        </w:rPr>
        <w:t xml:space="preserve"> dokumentų atitikties Įstatymui ir su jo įgyvendinimu susijusiems teisės aktams peržiūra (peržiūra prevenciniais tikslais atliekama tam tikra apimtimi). </w:t>
      </w:r>
    </w:p>
    <w:p w14:paraId="0467D1D0" w14:textId="68484FE1" w:rsidR="000516D9" w:rsidRPr="000516D9" w:rsidRDefault="00581CEC" w:rsidP="000516D9">
      <w:pPr>
        <w:spacing w:line="276" w:lineRule="auto"/>
        <w:rPr>
          <w:rFonts w:ascii="Calibri" w:hAnsi="Calibri" w:cs="Calibri"/>
          <w:lang w:val="lt-LT"/>
        </w:rPr>
      </w:pPr>
      <w:r w:rsidRPr="0055142E">
        <w:rPr>
          <w:rFonts w:ascii="Calibri" w:hAnsi="Calibri" w:cs="Calibri"/>
          <w:lang w:val="lt-LT"/>
        </w:rPr>
        <w:t xml:space="preserve">           </w:t>
      </w:r>
      <w:r w:rsidR="000516D9" w:rsidRPr="000516D9">
        <w:rPr>
          <w:rFonts w:ascii="Calibri" w:hAnsi="Calibri" w:cs="Calibri"/>
          <w:lang w:val="lt-LT"/>
        </w:rPr>
        <w:t>Tarnyba, prevencine tvarka peržiūrėjusi Pirkimo dokumentus ir atsižvelgdama į galiojantį teisinį reglamentavimą, teikia pastabas ir rekomendacijas (toliau – Rekomendacija) dėl Pirkimo dokumentų nuostatų.</w:t>
      </w:r>
    </w:p>
    <w:p w14:paraId="08AA7DFA" w14:textId="77777777" w:rsidR="009E0797" w:rsidRPr="0055142E" w:rsidRDefault="009E0797" w:rsidP="0055142E">
      <w:pPr>
        <w:numPr>
          <w:ilvl w:val="0"/>
          <w:numId w:val="4"/>
        </w:numPr>
        <w:spacing w:line="276" w:lineRule="auto"/>
        <w:rPr>
          <w:rFonts w:ascii="Calibri" w:hAnsi="Calibri" w:cs="Calibri"/>
          <w:b/>
          <w:bCs/>
          <w:lang w:val="lt-LT"/>
        </w:rPr>
      </w:pPr>
      <w:r w:rsidRPr="0055142E">
        <w:rPr>
          <w:rFonts w:ascii="Calibri" w:hAnsi="Calibri" w:cs="Calibri"/>
          <w:b/>
          <w:bCs/>
          <w:lang w:val="lt-LT"/>
        </w:rPr>
        <w:t>Dėl informacijos skelbime apie pirkimą</w:t>
      </w:r>
    </w:p>
    <w:p w14:paraId="0FAF8669" w14:textId="77777777" w:rsidR="009E0797" w:rsidRPr="0055142E" w:rsidRDefault="009E0797" w:rsidP="0055142E">
      <w:pPr>
        <w:spacing w:after="0" w:line="276" w:lineRule="auto"/>
        <w:rPr>
          <w:rFonts w:ascii="Calibri" w:hAnsi="Calibri" w:cs="Calibri"/>
          <w:lang w:val="lt-LT"/>
        </w:rPr>
      </w:pPr>
      <w:r w:rsidRPr="0055142E">
        <w:rPr>
          <w:rFonts w:ascii="Calibri" w:hAnsi="Calibri" w:cs="Calibri"/>
          <w:lang w:val="lt-LT"/>
        </w:rPr>
        <w:t xml:space="preserve">Pirkimo Specialiųjų sąlygų 1.6 punkte nurodyta, kad atliekamas žaliasis pirkimas, tačiau skelbimo apie pirkimą skiltyje „Strateginis viešasis pirkimas“ pažymėta, kad </w:t>
      </w:r>
      <w:r w:rsidRPr="0055142E">
        <w:rPr>
          <w:rFonts w:ascii="Calibri" w:hAnsi="Calibri" w:cs="Calibri"/>
          <w:b/>
          <w:bCs/>
          <w:lang w:val="lt-LT"/>
        </w:rPr>
        <w:t>strateginių viešųjų pirkimų</w:t>
      </w:r>
      <w:r w:rsidRPr="0055142E">
        <w:rPr>
          <w:rFonts w:ascii="Calibri" w:hAnsi="Calibri" w:cs="Calibri"/>
          <w:lang w:val="lt-LT"/>
        </w:rPr>
        <w:t xml:space="preserve"> (tame tarpe ir žaliųjų pirkimų) </w:t>
      </w:r>
      <w:r w:rsidRPr="0055142E">
        <w:rPr>
          <w:rFonts w:ascii="Calibri" w:hAnsi="Calibri" w:cs="Calibri"/>
          <w:b/>
          <w:bCs/>
          <w:lang w:val="lt-LT"/>
        </w:rPr>
        <w:t>nėra</w:t>
      </w:r>
      <w:r w:rsidRPr="0055142E">
        <w:rPr>
          <w:rFonts w:ascii="Calibri" w:hAnsi="Calibri" w:cs="Calibri"/>
          <w:lang w:val="lt-LT"/>
        </w:rPr>
        <w:t>. Pažymėtina, kad vykdant žaliąjį pirkimą, punkte „Strateginiai viešieji pirkimai“ turi būti pažymėta „Poveikio aplinkai mažinimas“, aprašyme trumpai nurodyta, kad vykdomas žaliasis pirkimas, atitinkamai punkte „Žaliosios pirkimo kriterijų detalės“ pažymėta „Nacionaliniai žaliojo viešojo pirkimo kriterijai“, o punkte „Poveikio aplinkai mažinimo metodas“ gali būti pažymėta „Kita“. </w:t>
      </w:r>
    </w:p>
    <w:p w14:paraId="5BC43286" w14:textId="77777777" w:rsidR="009E0797" w:rsidRPr="0055142E" w:rsidRDefault="009E0797" w:rsidP="0055142E">
      <w:pPr>
        <w:spacing w:after="0" w:line="276" w:lineRule="auto"/>
        <w:rPr>
          <w:rFonts w:ascii="Calibri" w:hAnsi="Calibri" w:cs="Calibri"/>
          <w:lang w:val="lt-LT"/>
        </w:rPr>
      </w:pPr>
      <w:r w:rsidRPr="0055142E">
        <w:rPr>
          <w:rFonts w:ascii="Calibri" w:hAnsi="Calibri" w:cs="Calibri"/>
          <w:lang w:val="lt-LT"/>
        </w:rPr>
        <w:t xml:space="preserve">Tarnybos parengtos mokomosios priemonės </w:t>
      </w:r>
      <w:hyperlink r:id="rId8" w:tgtFrame="_blank" w:history="1">
        <w:r w:rsidRPr="0055142E">
          <w:rPr>
            <w:rStyle w:val="Hyperlink"/>
            <w:rFonts w:ascii="Calibri" w:hAnsi="Calibri" w:cs="Calibri"/>
            <w:lang w:val="lt-LT"/>
          </w:rPr>
          <w:t>Skelbimas apie pirkimą</w:t>
        </w:r>
      </w:hyperlink>
      <w:r w:rsidRPr="0055142E">
        <w:rPr>
          <w:rFonts w:ascii="Calibri" w:hAnsi="Calibri" w:cs="Calibri"/>
          <w:lang w:val="lt-LT"/>
        </w:rPr>
        <w:t xml:space="preserve"> 16 ir 17 skaidrėse pateikta informacija apie Pirkimų procedūros dalies </w:t>
      </w:r>
      <w:r w:rsidRPr="0055142E">
        <w:rPr>
          <w:rFonts w:ascii="Calibri" w:hAnsi="Calibri" w:cs="Calibri"/>
          <w:b/>
          <w:bCs/>
          <w:lang w:val="lt-LT"/>
        </w:rPr>
        <w:t>strateginiai viešieji pirkimai</w:t>
      </w:r>
      <w:r w:rsidRPr="0055142E">
        <w:rPr>
          <w:rFonts w:ascii="Calibri" w:hAnsi="Calibri" w:cs="Calibri"/>
          <w:lang w:val="lt-LT"/>
        </w:rPr>
        <w:t xml:space="preserve"> pildymą. Įvertinusi skelbime apie pirkimą pateiktą netikslią informaciją, Tarnyba rekomenduoja </w:t>
      </w:r>
      <w:hyperlink r:id="rId9" w:tgtFrame="_blank" w:history="1">
        <w:r w:rsidRPr="0055142E">
          <w:rPr>
            <w:rStyle w:val="Hyperlink"/>
            <w:rFonts w:ascii="Calibri" w:hAnsi="Calibri" w:cs="Calibri"/>
            <w:lang w:val="lt-LT"/>
          </w:rPr>
          <w:t>Pranešimu apie pakeitimus</w:t>
        </w:r>
      </w:hyperlink>
      <w:r w:rsidRPr="0055142E">
        <w:rPr>
          <w:rFonts w:ascii="Calibri" w:hAnsi="Calibri" w:cs="Calibri"/>
          <w:lang w:val="lt-LT"/>
        </w:rPr>
        <w:t xml:space="preserve"> patikslinti skelbimo apie pirkimą informaciją.</w:t>
      </w:r>
    </w:p>
    <w:p w14:paraId="10D32A5B" w14:textId="77777777" w:rsidR="009E0797" w:rsidRPr="0055142E" w:rsidRDefault="009E0797" w:rsidP="0055142E">
      <w:pPr>
        <w:spacing w:line="276" w:lineRule="auto"/>
        <w:rPr>
          <w:rFonts w:ascii="Calibri" w:hAnsi="Calibri" w:cs="Calibri"/>
          <w:lang w:val="lt-LT"/>
        </w:rPr>
      </w:pPr>
    </w:p>
    <w:p w14:paraId="7BD11DA3" w14:textId="61B00A8C" w:rsidR="00C03F79" w:rsidRPr="0055142E" w:rsidRDefault="00C03F79" w:rsidP="0055142E">
      <w:pPr>
        <w:pStyle w:val="ListParagraph"/>
        <w:numPr>
          <w:ilvl w:val="0"/>
          <w:numId w:val="4"/>
        </w:numPr>
        <w:spacing w:line="276" w:lineRule="auto"/>
        <w:rPr>
          <w:rFonts w:ascii="Calibri" w:hAnsi="Calibri" w:cs="Calibri"/>
          <w:b/>
          <w:bCs/>
          <w:lang w:val="lt-LT"/>
        </w:rPr>
      </w:pPr>
      <w:r w:rsidRPr="0055142E">
        <w:rPr>
          <w:rFonts w:ascii="Calibri" w:hAnsi="Calibri" w:cs="Calibri"/>
          <w:b/>
          <w:bCs/>
          <w:lang w:val="lt-LT"/>
        </w:rPr>
        <w:t>Dėl žaliojo kriterijaus taikymo</w:t>
      </w:r>
    </w:p>
    <w:p w14:paraId="217C797B" w14:textId="77777777" w:rsidR="00BD6132" w:rsidRPr="0055142E" w:rsidRDefault="00197F98" w:rsidP="0055142E">
      <w:pPr>
        <w:spacing w:after="0" w:line="276" w:lineRule="auto"/>
        <w:rPr>
          <w:rFonts w:ascii="Calibri" w:hAnsi="Calibri" w:cs="Calibri"/>
          <w:lang w:val="lt-LT"/>
        </w:rPr>
      </w:pPr>
      <w:r w:rsidRPr="0055142E">
        <w:rPr>
          <w:rFonts w:ascii="Calibri" w:hAnsi="Calibri" w:cs="Calibri"/>
          <w:lang w:val="lt-LT"/>
        </w:rPr>
        <w:t>Pirkimo specialiųjų sąlygų 1.6 punkte nustatyta, kad „</w:t>
      </w:r>
      <w:r w:rsidR="008811B4" w:rsidRPr="0055142E">
        <w:rPr>
          <w:rFonts w:ascii="Calibri" w:hAnsi="Calibri" w:cs="Calibri"/>
          <w:lang w:val="lt-LT"/>
        </w:rPr>
        <w:t xml:space="preserve">Atliekamas žaliasis pirkimas.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w:t>
      </w:r>
      <w:r w:rsidR="008811B4" w:rsidRPr="0055142E">
        <w:rPr>
          <w:rFonts w:ascii="Calibri" w:hAnsi="Calibri" w:cs="Calibri"/>
          <w:b/>
          <w:bCs/>
          <w:lang w:val="lt-LT"/>
        </w:rPr>
        <w:t>4.3 punktu</w:t>
      </w:r>
      <w:r w:rsidR="00080CEA" w:rsidRPr="0055142E">
        <w:rPr>
          <w:rFonts w:ascii="Calibri" w:hAnsi="Calibri" w:cs="Calibri"/>
          <w:lang w:val="lt-LT"/>
        </w:rPr>
        <w:t>&lt;...&gt;“</w:t>
      </w:r>
      <w:r w:rsidR="00205DC2" w:rsidRPr="0055142E">
        <w:rPr>
          <w:rFonts w:ascii="Calibri" w:hAnsi="Calibri" w:cs="Calibri"/>
          <w:lang w:val="lt-LT"/>
        </w:rPr>
        <w:t xml:space="preserve"> </w:t>
      </w:r>
      <w:r w:rsidR="00BD6132" w:rsidRPr="0055142E">
        <w:rPr>
          <w:rFonts w:ascii="Calibri" w:hAnsi="Calibri" w:cs="Calibri"/>
          <w:lang w:val="lt-LT"/>
        </w:rPr>
        <w:t>(</w:t>
      </w:r>
      <w:r w:rsidR="00BD6132" w:rsidRPr="0055142E">
        <w:rPr>
          <w:rFonts w:ascii="Calibri" w:hAnsi="Calibri" w:cs="Calibri"/>
          <w:b/>
          <w:bCs/>
          <w:lang w:val="lt-LT"/>
        </w:rPr>
        <w:t>„nėra produktų sąraše</w:t>
      </w:r>
      <w:r w:rsidR="00BD6132" w:rsidRPr="0055142E">
        <w:rPr>
          <w:rFonts w:ascii="Calibri" w:hAnsi="Calibri" w:cs="Calibri"/>
          <w:lang w:val="lt-LT"/>
        </w:rPr>
        <w:t xml:space="preserv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w:t>
      </w:r>
      <w:r w:rsidR="00BD6132" w:rsidRPr="0055142E">
        <w:rPr>
          <w:rFonts w:ascii="Calibri" w:hAnsi="Calibri" w:cs="Calibri"/>
          <w:lang w:val="lt-LT"/>
        </w:rPr>
        <w:lastRenderedPageBreak/>
        <w:t>standartizacijos organizacijų priimtais standartais, ar kitais tiekėjo pateiktais lygiaverčiais įrodymais &lt;...&gt;“).</w:t>
      </w:r>
    </w:p>
    <w:p w14:paraId="3F4D1A75" w14:textId="77777777" w:rsidR="00BD6132" w:rsidRPr="0055142E" w:rsidRDefault="00BD6132" w:rsidP="0055142E">
      <w:pPr>
        <w:spacing w:after="0" w:line="276" w:lineRule="auto"/>
        <w:rPr>
          <w:rFonts w:ascii="Calibri" w:hAnsi="Calibri" w:cs="Calibri"/>
          <w:lang w:val="lt-LT"/>
        </w:rPr>
      </w:pPr>
      <w:r w:rsidRPr="0055142E">
        <w:rPr>
          <w:rFonts w:ascii="Calibri" w:hAnsi="Calibri" w:cs="Calibri"/>
          <w:lang w:val="lt-LT"/>
        </w:rPr>
        <w:t xml:space="preserve">Pažymima, kad Pirkimo objektas šiuo atveju </w:t>
      </w:r>
      <w:r w:rsidRPr="0055142E">
        <w:rPr>
          <w:rFonts w:ascii="Calibri" w:hAnsi="Calibri" w:cs="Calibri"/>
          <w:b/>
          <w:bCs/>
          <w:lang w:val="lt-LT"/>
        </w:rPr>
        <w:t>patenka</w:t>
      </w:r>
      <w:r w:rsidRPr="0055142E">
        <w:rPr>
          <w:rFonts w:ascii="Calibri" w:hAnsi="Calibri" w:cs="Calibri"/>
          <w:lang w:val="lt-LT"/>
        </w:rPr>
        <w:t xml:space="preserve"> į Tvarkos aprašo priede Nr. 1 „Produktų, kurių viešiesiems pirkimams ir pirkimams taikytini minimalūs aplinkos apsaugos kriterijai, sąrašas“ nurodytą </w:t>
      </w:r>
      <w:r w:rsidRPr="0055142E">
        <w:rPr>
          <w:rFonts w:ascii="Calibri" w:hAnsi="Calibri" w:cs="Calibri"/>
          <w:b/>
          <w:bCs/>
          <w:lang w:val="lt-LT"/>
        </w:rPr>
        <w:t>sąrašą</w:t>
      </w:r>
      <w:r w:rsidRPr="0055142E">
        <w:rPr>
          <w:rFonts w:ascii="Calibri" w:hAnsi="Calibri" w:cs="Calibri"/>
          <w:lang w:val="lt-LT"/>
        </w:rPr>
        <w:t>, t. y. taikomas 12 punktas „Pastatų projektavimo paslaugos ir statybos darbai“.</w:t>
      </w:r>
    </w:p>
    <w:p w14:paraId="0BFCCBE1" w14:textId="77777777" w:rsidR="00BD6132" w:rsidRPr="0055142E" w:rsidRDefault="00BD6132" w:rsidP="0055142E">
      <w:pPr>
        <w:spacing w:after="0" w:line="276" w:lineRule="auto"/>
        <w:rPr>
          <w:rFonts w:ascii="Calibri" w:hAnsi="Calibri" w:cs="Calibri"/>
          <w:lang w:val="lt-LT"/>
        </w:rPr>
      </w:pPr>
      <w:r w:rsidRPr="0055142E">
        <w:rPr>
          <w:rFonts w:ascii="Calibri" w:hAnsi="Calibri" w:cs="Calibri"/>
          <w:lang w:val="lt-LT"/>
        </w:rPr>
        <w:t>Tvarkos aprašo 4 punkte nustatyta, kad pirkimas laikomas žaliuoju, kai perkama prekė, paslauga arba darbas tenkina bent vieną iš žemiau esančių papunkčių: 4.1.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Tvarkos aprašo priedo Nr. 2 „Minimalūs aplinkos apsaugos kriterijai“ 15.4 punkte nustatyti statybos darbų minimalūs aplinkos apsaugos kriterijai, kuriuos privaloma taikyti vykdant žaliąjį pirkimą.</w:t>
      </w:r>
    </w:p>
    <w:p w14:paraId="7C263440" w14:textId="77777777" w:rsidR="00BD6132" w:rsidRPr="0055142E" w:rsidRDefault="00BD6132" w:rsidP="0055142E">
      <w:pPr>
        <w:spacing w:after="0" w:line="276" w:lineRule="auto"/>
        <w:rPr>
          <w:rFonts w:ascii="Calibri" w:hAnsi="Calibri" w:cs="Calibri"/>
          <w:lang w:val="lt-LT"/>
        </w:rPr>
      </w:pPr>
      <w:r w:rsidRPr="0055142E">
        <w:rPr>
          <w:rFonts w:ascii="Calibri" w:hAnsi="Calibri" w:cs="Calibri"/>
          <w:lang w:val="lt-LT"/>
        </w:rPr>
        <w:t xml:space="preserve">Tarnyba atkreipia dėmesį į tai, kad Pirkimo specialiųjų sąlygų 1.6 punkte turėtų būti nurodomas Tvarkos aprašo </w:t>
      </w:r>
      <w:r w:rsidRPr="0055142E">
        <w:rPr>
          <w:rFonts w:ascii="Calibri" w:hAnsi="Calibri" w:cs="Calibri"/>
          <w:b/>
          <w:bCs/>
          <w:lang w:val="lt-LT"/>
        </w:rPr>
        <w:t>4.1 papunktis</w:t>
      </w:r>
      <w:r w:rsidRPr="0055142E">
        <w:rPr>
          <w:rFonts w:ascii="Calibri" w:hAnsi="Calibri" w:cs="Calibri"/>
          <w:lang w:val="lt-LT"/>
        </w:rPr>
        <w:t>.</w:t>
      </w:r>
    </w:p>
    <w:p w14:paraId="0092ACB5" w14:textId="26B56495" w:rsidR="00B13595" w:rsidRPr="0055142E" w:rsidRDefault="00BD6132" w:rsidP="0055142E">
      <w:pPr>
        <w:spacing w:after="0" w:line="276" w:lineRule="auto"/>
        <w:rPr>
          <w:rFonts w:ascii="Calibri" w:hAnsi="Calibri" w:cs="Calibri"/>
          <w:lang w:val="lt-LT"/>
        </w:rPr>
      </w:pPr>
      <w:r w:rsidRPr="0055142E">
        <w:rPr>
          <w:rFonts w:ascii="Calibri" w:hAnsi="Calibri" w:cs="Calibri"/>
          <w:lang w:val="lt-LT"/>
        </w:rPr>
        <w:t xml:space="preserve">Tarnyba yra parengusi ir viešai paskelbusi pranešimą </w:t>
      </w:r>
      <w:r w:rsidR="00EF4E4C">
        <w:rPr>
          <w:rFonts w:ascii="Calibri" w:hAnsi="Calibri" w:cs="Calibri"/>
          <w:lang w:val="lt-LT"/>
        </w:rPr>
        <w:t xml:space="preserve">su kuriuo rekomenduotina susipažinti </w:t>
      </w:r>
      <w:r w:rsidRPr="0055142E">
        <w:rPr>
          <w:rFonts w:ascii="Calibri" w:hAnsi="Calibri" w:cs="Calibri"/>
          <w:lang w:val="lt-LT"/>
        </w:rPr>
        <w:t>„</w:t>
      </w:r>
      <w:hyperlink r:id="rId10" w:history="1">
        <w:r w:rsidRPr="0055142E">
          <w:rPr>
            <w:rStyle w:val="Hyperlink"/>
            <w:rFonts w:ascii="Calibri" w:hAnsi="Calibri" w:cs="Calibri"/>
            <w:lang w:val="lt-LT"/>
          </w:rPr>
          <w:t>Pastatų projektavimo paslaugos ir jų statybos darbai. Minimalūs aplinkos apsaugos kriterijų taikymas</w:t>
        </w:r>
      </w:hyperlink>
      <w:r w:rsidRPr="0055142E">
        <w:rPr>
          <w:rFonts w:ascii="Calibri" w:hAnsi="Calibri" w:cs="Calibri"/>
          <w:lang w:val="lt-LT"/>
        </w:rPr>
        <w:t>“.</w:t>
      </w:r>
    </w:p>
    <w:p w14:paraId="726337D6" w14:textId="77777777" w:rsidR="00B13595" w:rsidRPr="0055142E" w:rsidRDefault="00B13595" w:rsidP="0055142E">
      <w:pPr>
        <w:spacing w:line="276" w:lineRule="auto"/>
        <w:rPr>
          <w:rFonts w:ascii="Calibri" w:hAnsi="Calibri" w:cs="Calibri"/>
          <w:lang w:val="lt-LT"/>
        </w:rPr>
      </w:pPr>
    </w:p>
    <w:p w14:paraId="7515F4D3" w14:textId="237DAADA" w:rsidR="000C7B46" w:rsidRPr="00202771" w:rsidRDefault="00B95165" w:rsidP="00202771">
      <w:pPr>
        <w:pStyle w:val="ListParagraph"/>
        <w:numPr>
          <w:ilvl w:val="0"/>
          <w:numId w:val="4"/>
        </w:numPr>
        <w:spacing w:line="276" w:lineRule="auto"/>
        <w:rPr>
          <w:rFonts w:ascii="Calibri" w:hAnsi="Calibri" w:cs="Calibri"/>
          <w:b/>
          <w:bCs/>
          <w:lang w:val="lt-LT"/>
        </w:rPr>
      </w:pPr>
      <w:r w:rsidRPr="0055142E">
        <w:rPr>
          <w:rFonts w:ascii="Calibri" w:hAnsi="Calibri" w:cs="Calibri"/>
          <w:b/>
          <w:bCs/>
          <w:lang w:val="lt-LT"/>
        </w:rPr>
        <w:t>Dėl kvalifikacijos reikalavimų</w:t>
      </w:r>
    </w:p>
    <w:p w14:paraId="2FB665EA" w14:textId="77777777" w:rsidR="006F7D72" w:rsidRDefault="008D6C32" w:rsidP="006F7D72">
      <w:pPr>
        <w:spacing w:after="0" w:line="276" w:lineRule="auto"/>
        <w:rPr>
          <w:rFonts w:ascii="Calibri" w:hAnsi="Calibri" w:cs="Calibri"/>
          <w:lang w:val="lt-LT"/>
        </w:rPr>
      </w:pPr>
      <w:r w:rsidRPr="0055142E">
        <w:rPr>
          <w:rFonts w:ascii="Calibri" w:hAnsi="Calibri" w:cs="Calibri"/>
          <w:b/>
          <w:bCs/>
          <w:lang w:val="lt-LT"/>
        </w:rPr>
        <w:t>3.1.</w:t>
      </w:r>
      <w:r w:rsidRPr="0055142E">
        <w:rPr>
          <w:rFonts w:ascii="Calibri" w:hAnsi="Calibri" w:cs="Calibri"/>
          <w:lang w:val="lt-LT"/>
        </w:rPr>
        <w:t xml:space="preserve"> </w:t>
      </w:r>
      <w:r w:rsidR="000C7B46" w:rsidRPr="0055142E">
        <w:rPr>
          <w:rFonts w:ascii="Calibri" w:hAnsi="Calibri" w:cs="Calibri"/>
          <w:lang w:val="lt-LT"/>
        </w:rPr>
        <w:t>Pirkimo sąlygų 4 pried</w:t>
      </w:r>
      <w:r w:rsidR="005B4B67" w:rsidRPr="0055142E">
        <w:rPr>
          <w:rFonts w:ascii="Calibri" w:hAnsi="Calibri" w:cs="Calibri"/>
          <w:lang w:val="lt-LT"/>
        </w:rPr>
        <w:t>o</w:t>
      </w:r>
      <w:r w:rsidR="000C7B46" w:rsidRPr="0055142E">
        <w:rPr>
          <w:rFonts w:ascii="Calibri" w:hAnsi="Calibri" w:cs="Calibri"/>
          <w:lang w:val="lt-LT"/>
        </w:rPr>
        <w:t xml:space="preserve"> „Tiekėjų kvalifikacijos reikalavimai ir reikalavimai laikytis aplinkos apsaugos vadybos sistemos standartų” (toliau – Kvalifikacijos reikalavimai) </w:t>
      </w:r>
      <w:r w:rsidRPr="0055142E">
        <w:rPr>
          <w:rFonts w:ascii="Calibri" w:hAnsi="Calibri" w:cs="Calibri"/>
          <w:lang w:val="lt-LT"/>
        </w:rPr>
        <w:t xml:space="preserve">1 lentelės 3.1 punkte </w:t>
      </w:r>
      <w:r w:rsidR="000C7B46" w:rsidRPr="0055142E">
        <w:rPr>
          <w:rFonts w:ascii="Calibri" w:hAnsi="Calibri" w:cs="Calibri"/>
          <w:lang w:val="lt-LT"/>
        </w:rPr>
        <w:t>nustatytas kvalifikacinis reikalavimas</w:t>
      </w:r>
      <w:r w:rsidR="000C7B46" w:rsidRPr="0055142E">
        <w:rPr>
          <w:rFonts w:ascii="Calibri" w:hAnsi="Calibri" w:cs="Calibri"/>
        </w:rPr>
        <w:t xml:space="preserve"> </w:t>
      </w:r>
      <w:r w:rsidR="000C7B46" w:rsidRPr="0055142E">
        <w:rPr>
          <w:rFonts w:ascii="Calibri" w:hAnsi="Calibri" w:cs="Calibri"/>
          <w:lang w:val="lt-LT"/>
        </w:rPr>
        <w:t>Tiekėjui:</w:t>
      </w:r>
      <w:r w:rsidR="000C7B46" w:rsidRPr="0055142E">
        <w:rPr>
          <w:rFonts w:ascii="Calibri" w:hAnsi="Calibri" w:cs="Calibri"/>
        </w:rPr>
        <w:t xml:space="preserve"> </w:t>
      </w:r>
      <w:r w:rsidR="000C7B46" w:rsidRPr="0055142E">
        <w:rPr>
          <w:rFonts w:ascii="Calibri" w:hAnsi="Calibri" w:cs="Calibri"/>
          <w:lang w:val="lt-LT"/>
        </w:rPr>
        <w:t xml:space="preserve">„Teisė būti </w:t>
      </w:r>
      <w:r w:rsidR="000C7B46" w:rsidRPr="00D62D5E">
        <w:rPr>
          <w:rFonts w:ascii="Calibri" w:hAnsi="Calibri" w:cs="Calibri"/>
          <w:b/>
          <w:bCs/>
          <w:lang w:val="lt-LT"/>
        </w:rPr>
        <w:t>ypatingojo statinio rangovu</w:t>
      </w:r>
      <w:r w:rsidR="000C7B46" w:rsidRPr="0055142E">
        <w:rPr>
          <w:rFonts w:ascii="Calibri" w:hAnsi="Calibri" w:cs="Calibri"/>
          <w:lang w:val="lt-LT"/>
        </w:rPr>
        <w:t xml:space="preserve"> ir vykdyti sutartyje nurodytus darbus (</w:t>
      </w:r>
      <w:r w:rsidR="000C7B46" w:rsidRPr="00D62D5E">
        <w:rPr>
          <w:rFonts w:ascii="Calibri" w:hAnsi="Calibri" w:cs="Calibri"/>
          <w:b/>
          <w:bCs/>
          <w:lang w:val="lt-LT"/>
        </w:rPr>
        <w:t>negyvenamieji pastatai</w:t>
      </w:r>
      <w:r w:rsidR="000C7B46" w:rsidRPr="0055142E">
        <w:rPr>
          <w:rFonts w:ascii="Calibri" w:hAnsi="Calibri" w:cs="Calibri"/>
          <w:lang w:val="lt-LT"/>
        </w:rPr>
        <w:t xml:space="preserve">, statybos darbų sritis – bendrieji statybos darbai)“. </w:t>
      </w:r>
    </w:p>
    <w:p w14:paraId="2D9E2B63" w14:textId="0A5F74C6" w:rsidR="00DE5D39" w:rsidRDefault="00DE5D39" w:rsidP="006F7D72">
      <w:pPr>
        <w:spacing w:after="0" w:line="276" w:lineRule="auto"/>
        <w:rPr>
          <w:rFonts w:ascii="Calibri" w:hAnsi="Calibri" w:cs="Calibri"/>
          <w:lang w:val="lt-LT"/>
        </w:rPr>
      </w:pPr>
      <w:r w:rsidRPr="00DE5D39">
        <w:rPr>
          <w:rFonts w:ascii="Calibri" w:eastAsia="Times New Roman" w:hAnsi="Calibri" w:cs="Calibri"/>
          <w:kern w:val="0"/>
          <w:lang w:val="lt-LT" w:eastAsia="lt-LT"/>
          <w14:ligatures w14:val="none"/>
        </w:rPr>
        <w:t xml:space="preserve">Tarnyba </w:t>
      </w:r>
      <w:r w:rsidR="006C11D9">
        <w:rPr>
          <w:rFonts w:ascii="Calibri" w:eastAsia="Times New Roman" w:hAnsi="Calibri" w:cs="Calibri"/>
          <w:kern w:val="0"/>
          <w:lang w:val="lt-LT" w:eastAsia="lt-LT"/>
          <w14:ligatures w14:val="none"/>
        </w:rPr>
        <w:t>atkreipia dėmesį</w:t>
      </w:r>
      <w:r w:rsidRPr="00DE5D39">
        <w:rPr>
          <w:rFonts w:ascii="Calibri" w:eastAsia="Times New Roman" w:hAnsi="Calibri" w:cs="Calibri"/>
          <w:kern w:val="0"/>
          <w:lang w:val="lt-LT" w:eastAsia="lt-LT"/>
          <w14:ligatures w14:val="none"/>
        </w:rPr>
        <w:t xml:space="preserve">, kad pagal naują </w:t>
      </w:r>
      <w:hyperlink r:id="rId11" w:history="1">
        <w:r w:rsidRPr="00DE5D39">
          <w:rPr>
            <w:rStyle w:val="Hyperlink"/>
            <w:rFonts w:ascii="Calibri" w:hAnsi="Calibri" w:cs="Calibri"/>
            <w:lang w:val="lt-LT" w:eastAsia="lt-LT"/>
          </w:rPr>
          <w:t>Statybos techninio reglamento STR 1.01.03:2017 „Statinių klasifikavimas“</w:t>
        </w:r>
      </w:hyperlink>
      <w:r w:rsidRPr="00DE5D39">
        <w:rPr>
          <w:rFonts w:ascii="Calibri" w:eastAsia="Times New Roman" w:hAnsi="Calibri" w:cs="Calibri"/>
          <w:kern w:val="0"/>
          <w:lang w:val="lt-LT" w:eastAsia="lt-LT"/>
          <w14:ligatures w14:val="none"/>
        </w:rPr>
        <w:t xml:space="preserve"> (toliau – STR Statinių klasifikavimas) redakciją, pastatai pagal paskirtį nebeskirstomi į grupes, atitinkamai – </w:t>
      </w:r>
      <w:r w:rsidR="00202771">
        <w:rPr>
          <w:rFonts w:ascii="Calibri" w:eastAsia="Times New Roman" w:hAnsi="Calibri" w:cs="Calibri"/>
          <w:kern w:val="0"/>
          <w:lang w:val="lt-LT" w:eastAsia="lt-LT"/>
          <w14:ligatures w14:val="none"/>
        </w:rPr>
        <w:t>ne</w:t>
      </w:r>
      <w:r w:rsidRPr="00DE5D39">
        <w:rPr>
          <w:rFonts w:ascii="Calibri" w:eastAsia="Times New Roman" w:hAnsi="Calibri" w:cs="Calibri"/>
          <w:kern w:val="0"/>
          <w:lang w:val="lt-LT" w:eastAsia="lt-LT"/>
          <w14:ligatures w14:val="none"/>
        </w:rPr>
        <w:t xml:space="preserve">gyvenamųjų pastatų grupė nebeskirstoma į tam tikrus pogrupius. Šiuo atveju, kvalifikacijos reikalavime nėra nurodytas (išskirtas) konkretus </w:t>
      </w:r>
      <w:r>
        <w:rPr>
          <w:rFonts w:ascii="Calibri" w:hAnsi="Calibri" w:cs="Calibri"/>
          <w:lang w:val="lt-LT" w:eastAsia="lt-LT"/>
        </w:rPr>
        <w:t>ne</w:t>
      </w:r>
      <w:r w:rsidRPr="00DE5D39">
        <w:rPr>
          <w:rFonts w:ascii="Calibri" w:eastAsia="Times New Roman" w:hAnsi="Calibri" w:cs="Calibri"/>
          <w:kern w:val="0"/>
          <w:lang w:val="lt-LT" w:eastAsia="lt-LT"/>
          <w14:ligatures w14:val="none"/>
        </w:rPr>
        <w:t xml:space="preserve">gyvenamojo pastato pogrupis. Siekiant aiškumo, kaip </w:t>
      </w:r>
      <w:r w:rsidR="00EF4E4C">
        <w:rPr>
          <w:rFonts w:ascii="Calibri" w:eastAsia="Times New Roman" w:hAnsi="Calibri" w:cs="Calibri"/>
          <w:kern w:val="0"/>
          <w:lang w:val="lt-LT" w:eastAsia="lt-LT"/>
          <w14:ligatures w14:val="none"/>
        </w:rPr>
        <w:t xml:space="preserve">būtų </w:t>
      </w:r>
      <w:r w:rsidRPr="00DE5D39">
        <w:rPr>
          <w:rFonts w:ascii="Calibri" w:eastAsia="Times New Roman" w:hAnsi="Calibri" w:cs="Calibri"/>
          <w:kern w:val="0"/>
          <w:lang w:val="lt-LT" w:eastAsia="lt-LT"/>
          <w14:ligatures w14:val="none"/>
        </w:rPr>
        <w:t xml:space="preserve"> vertinamas Pirkimo dalyvio kvalifikacijos atestatas, kuriame būtų nurodytas konkretus </w:t>
      </w:r>
      <w:r>
        <w:rPr>
          <w:rFonts w:ascii="Calibri" w:hAnsi="Calibri" w:cs="Calibri"/>
          <w:lang w:val="lt-LT" w:eastAsia="lt-LT"/>
        </w:rPr>
        <w:t>ne</w:t>
      </w:r>
      <w:r w:rsidRPr="00DE5D39">
        <w:rPr>
          <w:rFonts w:ascii="Calibri" w:eastAsia="Times New Roman" w:hAnsi="Calibri" w:cs="Calibri"/>
          <w:kern w:val="0"/>
          <w:lang w:val="lt-LT" w:eastAsia="lt-LT"/>
          <w14:ligatures w14:val="none"/>
        </w:rPr>
        <w:t xml:space="preserve">gyvenamojo pastato pogrupis, nes galimai yra tiekėjų, kurių atestatai buvo išduoti galiojant ankstesniam teisiniam reglamentavimui, t. y. išduoti atestatai, suteikiantys teisę atlikti darbus atitinkamų </w:t>
      </w:r>
      <w:r>
        <w:rPr>
          <w:rFonts w:ascii="Calibri" w:hAnsi="Calibri" w:cs="Calibri"/>
          <w:lang w:val="lt-LT" w:eastAsia="lt-LT"/>
        </w:rPr>
        <w:t>ne</w:t>
      </w:r>
      <w:r w:rsidRPr="00DE5D39">
        <w:rPr>
          <w:rFonts w:ascii="Calibri" w:eastAsia="Times New Roman" w:hAnsi="Calibri" w:cs="Calibri"/>
          <w:kern w:val="0"/>
          <w:lang w:val="lt-LT" w:eastAsia="lt-LT"/>
          <w14:ligatures w14:val="none"/>
        </w:rPr>
        <w:t>gyvenamųjų pastatų pogrupyje, atitinkančiame Pirkimo objektą, rekomenduo</w:t>
      </w:r>
      <w:r w:rsidR="00EF4E4C">
        <w:rPr>
          <w:rFonts w:ascii="Calibri" w:eastAsia="Times New Roman" w:hAnsi="Calibri" w:cs="Calibri"/>
          <w:kern w:val="0"/>
          <w:lang w:val="lt-LT" w:eastAsia="lt-LT"/>
          <w14:ligatures w14:val="none"/>
        </w:rPr>
        <w:t xml:space="preserve">tina reikalavime </w:t>
      </w:r>
      <w:r w:rsidRPr="00DE5D39">
        <w:rPr>
          <w:rFonts w:ascii="Calibri" w:eastAsia="Times New Roman" w:hAnsi="Calibri" w:cs="Calibri"/>
          <w:kern w:val="0"/>
          <w:lang w:val="lt-LT" w:eastAsia="lt-LT"/>
          <w14:ligatures w14:val="none"/>
        </w:rPr>
        <w:t xml:space="preserve"> nu</w:t>
      </w:r>
      <w:r w:rsidR="00EF4E4C">
        <w:rPr>
          <w:rFonts w:ascii="Calibri" w:eastAsia="Times New Roman" w:hAnsi="Calibri" w:cs="Calibri"/>
          <w:kern w:val="0"/>
          <w:lang w:val="lt-LT" w:eastAsia="lt-LT"/>
          <w14:ligatures w14:val="none"/>
        </w:rPr>
        <w:t>rodyti</w:t>
      </w:r>
      <w:r w:rsidRPr="00DE5D39">
        <w:rPr>
          <w:rFonts w:ascii="Calibri" w:eastAsia="Times New Roman" w:hAnsi="Calibri" w:cs="Calibri"/>
          <w:kern w:val="0"/>
          <w:lang w:val="lt-LT" w:eastAsia="lt-LT"/>
          <w14:ligatures w14:val="none"/>
        </w:rPr>
        <w:t xml:space="preserve"> konkretų </w:t>
      </w:r>
      <w:r>
        <w:rPr>
          <w:rFonts w:ascii="Calibri" w:hAnsi="Calibri" w:cs="Calibri"/>
          <w:lang w:val="lt-LT" w:eastAsia="lt-LT"/>
        </w:rPr>
        <w:t>ne</w:t>
      </w:r>
      <w:r w:rsidRPr="00DE5D39">
        <w:rPr>
          <w:rFonts w:ascii="Calibri" w:eastAsia="Times New Roman" w:hAnsi="Calibri" w:cs="Calibri"/>
          <w:kern w:val="0"/>
          <w:lang w:val="lt-LT" w:eastAsia="lt-LT"/>
          <w14:ligatures w14:val="none"/>
        </w:rPr>
        <w:t xml:space="preserve">gyvenamųjų pastatų pogrupį (pagal </w:t>
      </w:r>
      <w:hyperlink r:id="rId12" w:history="1">
        <w:r w:rsidRPr="00DE5D39">
          <w:rPr>
            <w:rStyle w:val="Hyperlink"/>
            <w:rFonts w:ascii="Calibri" w:hAnsi="Calibri" w:cs="Calibri"/>
            <w:lang w:val="lt-LT" w:eastAsia="lt-LT"/>
          </w:rPr>
          <w:t>iki 2024 m. gruodžio 12 d. galiojusią STR Statinių klasifikavimas</w:t>
        </w:r>
      </w:hyperlink>
      <w:r w:rsidRPr="00DE5D39">
        <w:rPr>
          <w:rFonts w:ascii="Calibri" w:eastAsia="Times New Roman" w:hAnsi="Calibri" w:cs="Calibri"/>
          <w:kern w:val="0"/>
          <w:lang w:val="lt-LT" w:eastAsia="lt-LT"/>
          <w14:ligatures w14:val="none"/>
        </w:rPr>
        <w:t xml:space="preserve"> redakciją), taip pat nurodyti, kad kaip kvalifikaciją atitinkantys </w:t>
      </w:r>
      <w:r w:rsidRPr="00DE5D39">
        <w:rPr>
          <w:rFonts w:ascii="Calibri" w:eastAsia="Times New Roman" w:hAnsi="Calibri" w:cs="Calibri"/>
          <w:kern w:val="0"/>
          <w:lang w:val="lt-LT" w:eastAsia="lt-LT"/>
          <w14:ligatures w14:val="none"/>
        </w:rPr>
        <w:lastRenderedPageBreak/>
        <w:t xml:space="preserve">dokumentai bus priimtini ir atestatai, kuriuose nurodyta visa reikalaujama statinių grupė (neišskirti / nenurodyti pogrupiai) bei atestatai, suteikiantys teisę atlikti darbus konkrečiame </w:t>
      </w:r>
      <w:r>
        <w:rPr>
          <w:rFonts w:ascii="Calibri" w:hAnsi="Calibri" w:cs="Calibri"/>
          <w:lang w:val="lt-LT" w:eastAsia="lt-LT"/>
        </w:rPr>
        <w:t>ne</w:t>
      </w:r>
      <w:r w:rsidRPr="00DE5D39">
        <w:rPr>
          <w:rFonts w:ascii="Calibri" w:eastAsia="Times New Roman" w:hAnsi="Calibri" w:cs="Calibri"/>
          <w:kern w:val="0"/>
          <w:lang w:val="lt-LT" w:eastAsia="lt-LT"/>
          <w14:ligatures w14:val="none"/>
        </w:rPr>
        <w:t xml:space="preserve">gyvenamųjų pastatų pogrupyje. </w:t>
      </w:r>
    </w:p>
    <w:p w14:paraId="7B59AF0D" w14:textId="77777777" w:rsidR="00F90788" w:rsidRPr="0055142E" w:rsidRDefault="00F90788" w:rsidP="0055142E">
      <w:pPr>
        <w:pStyle w:val="paragraph"/>
        <w:spacing w:before="0" w:beforeAutospacing="0" w:after="0" w:afterAutospacing="0" w:line="276" w:lineRule="auto"/>
        <w:textAlignment w:val="baseline"/>
        <w:rPr>
          <w:rFonts w:ascii="Calibri" w:hAnsi="Calibri" w:cs="Calibri"/>
          <w:lang w:val="lt-LT" w:eastAsia="lt-LT"/>
        </w:rPr>
      </w:pPr>
    </w:p>
    <w:p w14:paraId="2273AC25" w14:textId="0B0F76D2" w:rsidR="0098779A" w:rsidRPr="0055142E" w:rsidRDefault="00A34701" w:rsidP="00F90788">
      <w:pPr>
        <w:pStyle w:val="paragraph"/>
        <w:spacing w:before="0" w:beforeAutospacing="0" w:after="0" w:afterAutospacing="0" w:line="276" w:lineRule="auto"/>
        <w:textAlignment w:val="baseline"/>
        <w:rPr>
          <w:rFonts w:ascii="Calibri" w:hAnsi="Calibri" w:cs="Calibri"/>
          <w:lang w:val="lt-LT" w:eastAsia="lt-LT"/>
        </w:rPr>
      </w:pPr>
      <w:r w:rsidRPr="0055142E">
        <w:rPr>
          <w:rFonts w:ascii="Calibri" w:hAnsi="Calibri" w:cs="Calibri"/>
          <w:b/>
          <w:bCs/>
          <w:lang w:val="lt-LT" w:eastAsia="lt-LT"/>
        </w:rPr>
        <w:t>3.2.</w:t>
      </w:r>
      <w:r w:rsidRPr="0055142E">
        <w:rPr>
          <w:rFonts w:ascii="Calibri" w:hAnsi="Calibri" w:cs="Calibri"/>
          <w:lang w:val="lt-LT" w:eastAsia="lt-LT"/>
        </w:rPr>
        <w:t xml:space="preserve"> </w:t>
      </w:r>
      <w:r w:rsidR="00EF4E4C">
        <w:rPr>
          <w:rFonts w:ascii="Calibri" w:hAnsi="Calibri" w:cs="Calibri"/>
          <w:lang w:val="lt-LT" w:eastAsia="lt-LT"/>
        </w:rPr>
        <w:t>Tame pačiame kvalifikacijos reikalavime nurodyta</w:t>
      </w:r>
      <w:r w:rsidR="0098779A" w:rsidRPr="0098779A">
        <w:rPr>
          <w:rFonts w:ascii="Calibri" w:hAnsi="Calibri" w:cs="Calibri"/>
          <w:lang w:val="lt-LT" w:eastAsia="lt-LT"/>
        </w:rPr>
        <w:t>:</w:t>
      </w:r>
      <w:r w:rsidR="0098779A" w:rsidRPr="0098779A">
        <w:rPr>
          <w:rFonts w:ascii="Calibri" w:hAnsi="Calibri" w:cs="Calibri"/>
          <w:lang w:eastAsia="lt-LT"/>
        </w:rPr>
        <w:t xml:space="preserve"> </w:t>
      </w:r>
      <w:r w:rsidR="0098779A" w:rsidRPr="0098779A">
        <w:rPr>
          <w:rFonts w:ascii="Calibri" w:hAnsi="Calibri" w:cs="Calibri"/>
          <w:lang w:val="lt-LT" w:eastAsia="lt-LT"/>
        </w:rPr>
        <w:t xml:space="preserve">„Teisė būti ypatingojo statinio rangovu ir vykdyti sutartyje nurodytus darbus (negyvenamieji pastatai, </w:t>
      </w:r>
      <w:r w:rsidR="0098779A" w:rsidRPr="0098779A">
        <w:rPr>
          <w:rFonts w:ascii="Calibri" w:hAnsi="Calibri" w:cs="Calibri"/>
          <w:b/>
          <w:bCs/>
          <w:lang w:val="lt-LT" w:eastAsia="lt-LT"/>
        </w:rPr>
        <w:t>statybos darbų sritis – bendrieji statybos darbai</w:t>
      </w:r>
      <w:r w:rsidR="0098779A" w:rsidRPr="0098779A">
        <w:rPr>
          <w:rFonts w:ascii="Calibri" w:hAnsi="Calibri" w:cs="Calibri"/>
          <w:lang w:val="lt-LT" w:eastAsia="lt-LT"/>
        </w:rPr>
        <w:t xml:space="preserve">)“. </w:t>
      </w:r>
    </w:p>
    <w:p w14:paraId="6F075AE3" w14:textId="1D979285" w:rsidR="00EC1DFA" w:rsidRPr="00EC1DFA" w:rsidRDefault="00EC1DFA" w:rsidP="00F90788">
      <w:pPr>
        <w:pStyle w:val="paragraph"/>
        <w:spacing w:before="0" w:beforeAutospacing="0" w:after="0" w:afterAutospacing="0" w:line="276" w:lineRule="auto"/>
        <w:textAlignment w:val="baseline"/>
        <w:rPr>
          <w:rFonts w:ascii="Calibri" w:hAnsi="Calibri" w:cs="Calibri"/>
          <w:lang w:val="lt-LT" w:eastAsia="lt-LT"/>
        </w:rPr>
      </w:pPr>
      <w:r w:rsidRPr="00EC1DFA">
        <w:rPr>
          <w:rFonts w:ascii="Calibri" w:hAnsi="Calibri" w:cs="Calibri"/>
          <w:lang w:val="lt-LT" w:eastAsia="lt-LT"/>
        </w:rPr>
        <w:t xml:space="preserve">Tarnyba pažymi, kad tais atvejais, kai Perkančioji organizacija siekia įsitikinti, ar tiekėjai turi teisę verstis tam tikra veikla, reikalavimas turi būti formuluojamas kuo tiksliau, atsižvelgiant į Pirkimo objektą bei visas susijusias konkrečias aplinkybes. Pirkimo atveju, reikalaujama, kad tiekėjai turėtų atestatą, suteikiantį teisę atlikti statybos darbus visose bendrųjų statybos darbų srityse. Atkreiptinas dėmesys, kad </w:t>
      </w:r>
      <w:hyperlink r:id="rId13" w:history="1">
        <w:r w:rsidRPr="00EC1DFA">
          <w:rPr>
            <w:rStyle w:val="Hyperlink"/>
            <w:rFonts w:ascii="Calibri" w:hAnsi="Calibri" w:cs="Calibri"/>
            <w:lang w:val="lt-LT" w:eastAsia="lt-LT"/>
          </w:rPr>
          <w:t>Statybos techninio reglamento STR 1.06.01:2016 „Statybos darbai. Statinio statybos priežiūra“</w:t>
        </w:r>
      </w:hyperlink>
      <w:r w:rsidRPr="00EC1DFA">
        <w:rPr>
          <w:rFonts w:ascii="Calibri" w:hAnsi="Calibri" w:cs="Calibri"/>
          <w:lang w:val="lt-LT" w:eastAsia="lt-LT"/>
        </w:rPr>
        <w:t xml:space="preserve"> 1 priede bendrieji statybos darbai </w:t>
      </w:r>
      <w:r w:rsidRPr="00D62D5E">
        <w:rPr>
          <w:rFonts w:ascii="Calibri" w:hAnsi="Calibri" w:cs="Calibri"/>
          <w:b/>
          <w:bCs/>
          <w:lang w:val="lt-LT" w:eastAsia="lt-LT"/>
        </w:rPr>
        <w:t>skirstomi į žemės darbus</w:t>
      </w:r>
      <w:r w:rsidRPr="00EC1DFA">
        <w:rPr>
          <w:rFonts w:ascii="Calibri" w:hAnsi="Calibri" w:cs="Calibri"/>
          <w:lang w:val="lt-LT" w:eastAsia="lt-LT"/>
        </w:rPr>
        <w:t xml:space="preserve"> (statybos sklypo reljefo tvarkymas, pamatų duobių, iškasų, tranšėjų kasimas ir užpylimas; pylimų supylimas; kanalų ir griovių kasimas bei jų tvirtinimas; kasimo ir užpylimo darbai sausinimo ir drėkinimo sistemoms įrengti; jūros ir vidaus vandens telkinių dugno gilinimas; užtvankų supylimas; kiti panašaus profilio darbai) </w:t>
      </w:r>
      <w:r w:rsidRPr="00D62D5E">
        <w:rPr>
          <w:rFonts w:ascii="Calibri" w:hAnsi="Calibri" w:cs="Calibri"/>
          <w:b/>
          <w:bCs/>
          <w:lang w:val="lt-LT" w:eastAsia="lt-LT"/>
        </w:rPr>
        <w:t>ir statybinių konstrukcijų</w:t>
      </w:r>
      <w:r w:rsidRPr="00EC1DFA">
        <w:rPr>
          <w:rFonts w:ascii="Calibri" w:hAnsi="Calibri" w:cs="Calibri"/>
          <w:lang w:val="lt-LT" w:eastAsia="lt-LT"/>
        </w:rPr>
        <w:t xml:space="preserve"> (gelžbetonio, betono, metalo, mūro, medžio ir kitų) statybos ir montavimo, hidroizoliacijos, stogų įrengimo, apdailos darbus bei kitus panašaus profilio darbus. Įvertinus tai, kad perkami </w:t>
      </w:r>
      <w:r w:rsidR="001E2208" w:rsidRPr="0055142E">
        <w:rPr>
          <w:rFonts w:ascii="Calibri" w:hAnsi="Calibri" w:cs="Calibri"/>
          <w:lang w:val="lt-LT" w:eastAsia="lt-LT"/>
        </w:rPr>
        <w:t xml:space="preserve">mokslo paskirties pastato </w:t>
      </w:r>
      <w:r w:rsidR="0055142E" w:rsidRPr="0055142E">
        <w:rPr>
          <w:rFonts w:ascii="Calibri" w:hAnsi="Calibri" w:cs="Calibri"/>
          <w:lang w:val="lt-LT" w:eastAsia="lt-LT"/>
        </w:rPr>
        <w:t>modernizavimo (atnaujinimo) darbai</w:t>
      </w:r>
      <w:r w:rsidRPr="00EC1DFA">
        <w:rPr>
          <w:rFonts w:ascii="Calibri" w:hAnsi="Calibri" w:cs="Calibri"/>
          <w:lang w:val="lt-LT" w:eastAsia="lt-LT"/>
        </w:rPr>
        <w:t xml:space="preserve">, reikalavimas, kad tiekėjai turėtų teisę atlikti statybos darbus visose bendrųjų statybos darbų srityse, Tarnybos nuomone, yra neproporcingas. </w:t>
      </w:r>
    </w:p>
    <w:p w14:paraId="699E2EDA" w14:textId="2B142509" w:rsidR="005319F5" w:rsidRDefault="00EC1DFA" w:rsidP="00F90788">
      <w:pPr>
        <w:pStyle w:val="paragraph"/>
        <w:spacing w:before="0" w:beforeAutospacing="0" w:after="0" w:afterAutospacing="0" w:line="276" w:lineRule="auto"/>
        <w:textAlignment w:val="baseline"/>
        <w:rPr>
          <w:rFonts w:ascii="Calibri" w:hAnsi="Calibri" w:cs="Calibri"/>
          <w:lang w:val="lt-LT" w:eastAsia="lt-LT"/>
        </w:rPr>
      </w:pPr>
      <w:r w:rsidRPr="00EC1DFA">
        <w:rPr>
          <w:rFonts w:ascii="Calibri" w:hAnsi="Calibri" w:cs="Calibri"/>
          <w:lang w:val="lt-LT" w:eastAsia="lt-LT"/>
        </w:rPr>
        <w:t>Atsižvelgiant į tai, kas nurodyta, Tarnyba rekomenduoja tikslinti kvalifikacijos reikalavimą, nurodant konkrečias bendrųjų statybos darbų sritis, susijusias su Pirkimo objektu.</w:t>
      </w:r>
    </w:p>
    <w:p w14:paraId="53222F11" w14:textId="77777777" w:rsidR="00F90788" w:rsidRPr="0055142E" w:rsidRDefault="00F90788" w:rsidP="00F90788">
      <w:pPr>
        <w:pStyle w:val="paragraph"/>
        <w:spacing w:before="0" w:beforeAutospacing="0" w:after="0" w:afterAutospacing="0" w:line="276" w:lineRule="auto"/>
        <w:textAlignment w:val="baseline"/>
        <w:rPr>
          <w:rFonts w:ascii="Calibri" w:hAnsi="Calibri" w:cs="Calibri"/>
          <w:lang w:val="lt-LT" w:eastAsia="lt-LT"/>
        </w:rPr>
      </w:pPr>
    </w:p>
    <w:p w14:paraId="28C8F877" w14:textId="19D869F8" w:rsidR="00684894" w:rsidRPr="0055142E" w:rsidRDefault="008D6C32" w:rsidP="000D6DD4">
      <w:pPr>
        <w:spacing w:after="0" w:line="276" w:lineRule="auto"/>
        <w:rPr>
          <w:rFonts w:ascii="Calibri" w:hAnsi="Calibri" w:cs="Calibri"/>
          <w:lang w:val="lt-LT"/>
        </w:rPr>
      </w:pPr>
      <w:r w:rsidRPr="0055142E">
        <w:rPr>
          <w:rFonts w:ascii="Calibri" w:hAnsi="Calibri" w:cs="Calibri"/>
          <w:b/>
          <w:bCs/>
          <w:lang w:val="lt-LT"/>
        </w:rPr>
        <w:t>3.</w:t>
      </w:r>
      <w:r w:rsidR="00F90788">
        <w:rPr>
          <w:rFonts w:ascii="Calibri" w:hAnsi="Calibri" w:cs="Calibri"/>
          <w:b/>
          <w:bCs/>
          <w:lang w:val="lt-LT"/>
        </w:rPr>
        <w:t>3</w:t>
      </w:r>
      <w:r w:rsidRPr="0055142E">
        <w:rPr>
          <w:rFonts w:ascii="Calibri" w:hAnsi="Calibri" w:cs="Calibri"/>
          <w:b/>
          <w:bCs/>
          <w:lang w:val="lt-LT"/>
        </w:rPr>
        <w:t>.</w:t>
      </w:r>
      <w:r w:rsidRPr="0055142E">
        <w:rPr>
          <w:rFonts w:ascii="Calibri" w:hAnsi="Calibri" w:cs="Calibri"/>
          <w:lang w:val="lt-LT"/>
        </w:rPr>
        <w:t xml:space="preserve"> Kvalifikacijos reikalavimų </w:t>
      </w:r>
      <w:r w:rsidR="00D57F18" w:rsidRPr="0055142E">
        <w:rPr>
          <w:rFonts w:ascii="Calibri" w:hAnsi="Calibri" w:cs="Calibri"/>
          <w:lang w:val="lt-LT"/>
        </w:rPr>
        <w:t xml:space="preserve">1 lentelės 3.2 punkte nustatytas reikalavimas </w:t>
      </w:r>
      <w:r w:rsidR="00EF4E4C">
        <w:rPr>
          <w:rFonts w:ascii="Calibri" w:hAnsi="Calibri" w:cs="Calibri"/>
          <w:lang w:val="lt-LT"/>
        </w:rPr>
        <w:t xml:space="preserve">tiekėjui </w:t>
      </w:r>
      <w:r w:rsidR="00D57F18" w:rsidRPr="0055142E">
        <w:rPr>
          <w:rFonts w:ascii="Calibri" w:hAnsi="Calibri" w:cs="Calibri"/>
          <w:lang w:val="lt-LT"/>
        </w:rPr>
        <w:t>„</w:t>
      </w:r>
      <w:r w:rsidR="00684894" w:rsidRPr="0055142E">
        <w:rPr>
          <w:rFonts w:ascii="Calibri" w:hAnsi="Calibri" w:cs="Calibri"/>
          <w:lang w:val="lt-LT"/>
        </w:rPr>
        <w:t xml:space="preserve">pagal vieną ar daugiau sutarčių turi būti tinkamai įvykdęs ir/ar vykdyti </w:t>
      </w:r>
      <w:r w:rsidR="00684894" w:rsidRPr="0055142E">
        <w:rPr>
          <w:rFonts w:ascii="Calibri" w:hAnsi="Calibri" w:cs="Calibri"/>
          <w:b/>
          <w:bCs/>
          <w:lang w:val="lt-LT"/>
        </w:rPr>
        <w:t>negyvenamojo pastato</w:t>
      </w:r>
      <w:r w:rsidR="00684894" w:rsidRPr="0055142E">
        <w:rPr>
          <w:rFonts w:ascii="Calibri" w:hAnsi="Calibri" w:cs="Calibri"/>
          <w:lang w:val="lt-LT"/>
        </w:rPr>
        <w:t xml:space="preserve"> statybos (nauja statyba/ rekonstrukcija/ kapitalinis remontas)  darbų kurių bendra vertė ne mažesnė kaip 1.000.000,00 Eur be PVM“. </w:t>
      </w:r>
    </w:p>
    <w:p w14:paraId="77677EAB" w14:textId="221403A3" w:rsidR="008D6C32" w:rsidRDefault="00321F49" w:rsidP="000D6DD4">
      <w:pPr>
        <w:spacing w:after="0" w:line="276" w:lineRule="auto"/>
        <w:rPr>
          <w:rFonts w:ascii="Calibri" w:hAnsi="Calibri" w:cs="Calibri"/>
          <w:lang w:val="lt-LT"/>
        </w:rPr>
      </w:pPr>
      <w:r w:rsidRPr="00321F49">
        <w:rPr>
          <w:rFonts w:ascii="Calibri" w:hAnsi="Calibri" w:cs="Calibri"/>
          <w:lang w:val="lt-LT"/>
        </w:rPr>
        <w:t xml:space="preserve">Atsižvelgiant į tai, kad techninio ir profesinio pajėgumo vertinimo tikslas – įsitikinti, jog tiekėjas turi numatomos sudaryti pirkimo sutarties vykdymui būtinus žmogiškuosius ir techninius išteklius bei patirtį, kyla abejonių ar šiuo atveju, reikalavimas būti atlikus atitinkamus darbus tik </w:t>
      </w:r>
      <w:r w:rsidRPr="00321F49">
        <w:rPr>
          <w:rFonts w:ascii="Calibri" w:hAnsi="Calibri" w:cs="Calibri"/>
          <w:b/>
          <w:bCs/>
          <w:lang w:val="lt-LT"/>
        </w:rPr>
        <w:t>negyvenamuosiuose pastatuose</w:t>
      </w:r>
      <w:r w:rsidRPr="00321F49">
        <w:rPr>
          <w:rFonts w:ascii="Calibri" w:hAnsi="Calibri" w:cs="Calibri"/>
          <w:lang w:val="lt-LT"/>
        </w:rPr>
        <w:t xml:space="preserve"> nėra pernelyg susiaurintas? Kyla klausimas, kodėl šiuo atveju netinkamais būtų laikomi atlikti darbai, pavyzdžiui, negyvenamosios ir/ar </w:t>
      </w:r>
      <w:r w:rsidRPr="00321F49">
        <w:rPr>
          <w:rFonts w:ascii="Calibri" w:hAnsi="Calibri" w:cs="Calibri"/>
          <w:b/>
          <w:bCs/>
          <w:lang w:val="lt-LT"/>
        </w:rPr>
        <w:t>gyvenamosios paskirties pastatuose</w:t>
      </w:r>
      <w:r w:rsidRPr="00321F49">
        <w:rPr>
          <w:rFonts w:ascii="Calibri" w:hAnsi="Calibri" w:cs="Calibri"/>
          <w:lang w:val="lt-LT"/>
        </w:rPr>
        <w:t xml:space="preserve">? Pažymėtina, kad tinkama patirtis (įvertinus pirkimo objektą) gali būti įgyta atlikus nurodytus darbus nebūtinai </w:t>
      </w:r>
      <w:r w:rsidRPr="00321F49">
        <w:rPr>
          <w:rFonts w:ascii="Calibri" w:hAnsi="Calibri" w:cs="Calibri"/>
          <w:b/>
          <w:bCs/>
          <w:lang w:val="lt-LT"/>
        </w:rPr>
        <w:t>konkrečios paskirties statiniuose</w:t>
      </w:r>
      <w:r w:rsidR="00BE4923" w:rsidRPr="0055142E">
        <w:rPr>
          <w:rFonts w:ascii="Calibri" w:hAnsi="Calibri" w:cs="Calibri"/>
          <w:b/>
          <w:bCs/>
          <w:lang w:val="lt-LT"/>
        </w:rPr>
        <w:t xml:space="preserve">, </w:t>
      </w:r>
      <w:r w:rsidR="00BE4923" w:rsidRPr="0055142E">
        <w:rPr>
          <w:rFonts w:ascii="Calibri" w:hAnsi="Calibri" w:cs="Calibri"/>
          <w:lang w:val="lt-LT"/>
        </w:rPr>
        <w:t>o</w:t>
      </w:r>
      <w:r w:rsidRPr="00321F49">
        <w:rPr>
          <w:rFonts w:ascii="Calibri" w:hAnsi="Calibri" w:cs="Calibri"/>
          <w:lang w:val="lt-LT"/>
        </w:rPr>
        <w:t xml:space="preserve"> </w:t>
      </w:r>
      <w:r w:rsidR="00EF4E4C">
        <w:rPr>
          <w:rFonts w:ascii="Calibri" w:hAnsi="Calibri" w:cs="Calibri"/>
          <w:lang w:val="lt-LT"/>
        </w:rPr>
        <w:t xml:space="preserve">turėtų būti </w:t>
      </w:r>
      <w:r w:rsidRPr="00321F49">
        <w:rPr>
          <w:rFonts w:ascii="Calibri" w:hAnsi="Calibri" w:cs="Calibri"/>
          <w:lang w:val="lt-LT"/>
        </w:rPr>
        <w:lastRenderedPageBreak/>
        <w:t>nurodoma platesnė patirtis panašiuose statiniuose</w:t>
      </w:r>
      <w:r w:rsidRPr="00321F49">
        <w:rPr>
          <w:rFonts w:ascii="Calibri" w:hAnsi="Calibri" w:cs="Calibri"/>
          <w:vertAlign w:val="superscript"/>
          <w:lang w:val="lt-LT"/>
        </w:rPr>
        <w:footnoteReference w:id="1"/>
      </w:r>
      <w:r w:rsidR="00BE4923" w:rsidRPr="0055142E">
        <w:rPr>
          <w:rFonts w:ascii="Calibri" w:hAnsi="Calibri" w:cs="Calibri"/>
          <w:lang w:val="lt-LT"/>
        </w:rPr>
        <w:t>, todėl T</w:t>
      </w:r>
      <w:r w:rsidRPr="00321F49">
        <w:rPr>
          <w:rFonts w:ascii="Calibri" w:hAnsi="Calibri" w:cs="Calibri"/>
          <w:lang w:val="lt-LT"/>
        </w:rPr>
        <w:t>arnyba rekomenduoja</w:t>
      </w:r>
      <w:r w:rsidR="000D4919" w:rsidRPr="0055142E">
        <w:rPr>
          <w:rFonts w:ascii="Calibri" w:hAnsi="Calibri" w:cs="Calibri"/>
          <w:lang w:val="lt-LT"/>
        </w:rPr>
        <w:t xml:space="preserve"> vykd</w:t>
      </w:r>
      <w:r w:rsidR="00EF4E4C">
        <w:rPr>
          <w:rFonts w:ascii="Calibri" w:hAnsi="Calibri" w:cs="Calibri"/>
          <w:lang w:val="lt-LT"/>
        </w:rPr>
        <w:t xml:space="preserve">ant </w:t>
      </w:r>
      <w:r w:rsidR="000D4919" w:rsidRPr="0055142E">
        <w:rPr>
          <w:rFonts w:ascii="Calibri" w:hAnsi="Calibri" w:cs="Calibri"/>
          <w:lang w:val="lt-LT"/>
        </w:rPr>
        <w:t xml:space="preserve"> pirkimu</w:t>
      </w:r>
      <w:r w:rsidR="00EF4E4C">
        <w:rPr>
          <w:rFonts w:ascii="Calibri" w:hAnsi="Calibri" w:cs="Calibri"/>
          <w:lang w:val="lt-LT"/>
        </w:rPr>
        <w:t xml:space="preserve">s ir formuluojant reikalavimą </w:t>
      </w:r>
      <w:r w:rsidRPr="00321F49">
        <w:rPr>
          <w:rFonts w:ascii="Calibri" w:hAnsi="Calibri" w:cs="Calibri"/>
          <w:lang w:val="lt-LT"/>
        </w:rPr>
        <w:t>dėl darbų atlikimo, jo pernelyg nesusiaurinti nurodant konkrečias statinių paskirtis.</w:t>
      </w:r>
    </w:p>
    <w:p w14:paraId="73643C1F" w14:textId="77777777" w:rsidR="000D6DD4" w:rsidRPr="0055142E" w:rsidRDefault="000D6DD4" w:rsidP="000D6DD4">
      <w:pPr>
        <w:spacing w:after="0" w:line="276" w:lineRule="auto"/>
        <w:rPr>
          <w:rFonts w:ascii="Calibri" w:hAnsi="Calibri" w:cs="Calibri"/>
          <w:lang w:val="lt-LT"/>
        </w:rPr>
      </w:pPr>
    </w:p>
    <w:p w14:paraId="75C564DD" w14:textId="3C6F3316" w:rsidR="00472DF6" w:rsidRPr="0055142E" w:rsidRDefault="00DA4A9C" w:rsidP="0055142E">
      <w:pPr>
        <w:pStyle w:val="ListParagraph"/>
        <w:numPr>
          <w:ilvl w:val="0"/>
          <w:numId w:val="4"/>
        </w:numPr>
        <w:spacing w:line="276" w:lineRule="auto"/>
        <w:rPr>
          <w:rFonts w:ascii="Calibri" w:hAnsi="Calibri" w:cs="Calibri"/>
          <w:b/>
          <w:bCs/>
          <w:lang w:val="lt-LT"/>
        </w:rPr>
      </w:pPr>
      <w:r w:rsidRPr="0055142E">
        <w:rPr>
          <w:rFonts w:ascii="Calibri" w:hAnsi="Calibri" w:cs="Calibri"/>
          <w:b/>
          <w:bCs/>
          <w:lang w:val="lt-LT"/>
        </w:rPr>
        <w:t>Dėl  Sutarties projekto nuostatų</w:t>
      </w:r>
    </w:p>
    <w:p w14:paraId="70D6714D" w14:textId="66A98CF5" w:rsidR="00F62BC5" w:rsidRPr="0055142E" w:rsidRDefault="00A251E3" w:rsidP="0055142E">
      <w:pPr>
        <w:spacing w:line="276" w:lineRule="auto"/>
        <w:rPr>
          <w:rFonts w:ascii="Calibri" w:hAnsi="Calibri" w:cs="Calibri"/>
          <w:bCs/>
          <w:lang w:val="lt-LT"/>
        </w:rPr>
      </w:pPr>
      <w:bookmarkStart w:id="0" w:name="_Toc192169534"/>
      <w:r w:rsidRPr="0055142E">
        <w:rPr>
          <w:rFonts w:ascii="Calibri" w:hAnsi="Calibri" w:cs="Calibri"/>
          <w:bCs/>
          <w:lang w:val="lt-LT"/>
        </w:rPr>
        <w:t>Pirkimo sąlygų 10 priedo „Sutarties projektas“</w:t>
      </w:r>
      <w:bookmarkEnd w:id="0"/>
      <w:r w:rsidRPr="0055142E">
        <w:rPr>
          <w:rFonts w:ascii="Calibri" w:hAnsi="Calibri" w:cs="Calibri"/>
          <w:bCs/>
          <w:lang w:val="lt-LT"/>
        </w:rPr>
        <w:t xml:space="preserve"> (toliau – Sutarties projektas)</w:t>
      </w:r>
      <w:r w:rsidR="009F5805" w:rsidRPr="0055142E">
        <w:rPr>
          <w:rFonts w:ascii="Calibri" w:hAnsi="Calibri" w:cs="Calibri"/>
          <w:bCs/>
          <w:lang w:val="lt-LT"/>
        </w:rPr>
        <w:t xml:space="preserve"> 7.4 </w:t>
      </w:r>
      <w:r w:rsidR="00E95890" w:rsidRPr="0055142E">
        <w:rPr>
          <w:rFonts w:ascii="Calibri" w:hAnsi="Calibri" w:cs="Calibri"/>
          <w:bCs/>
          <w:lang w:val="lt-LT"/>
        </w:rPr>
        <w:t xml:space="preserve">punkte </w:t>
      </w:r>
      <w:r w:rsidR="00D62775" w:rsidRPr="0055142E">
        <w:rPr>
          <w:rFonts w:ascii="Calibri" w:hAnsi="Calibri" w:cs="Calibri"/>
          <w:bCs/>
          <w:lang w:val="lt-LT"/>
        </w:rPr>
        <w:t>nustatyta, jog Sutarties kainai bus taikoma peržiūra</w:t>
      </w:r>
      <w:r w:rsidR="00075D7C" w:rsidRPr="0055142E">
        <w:rPr>
          <w:rFonts w:ascii="Calibri" w:hAnsi="Calibri" w:cs="Calibri"/>
          <w:bCs/>
          <w:lang w:val="lt-LT"/>
        </w:rPr>
        <w:t xml:space="preserve">, o </w:t>
      </w:r>
      <w:r w:rsidR="005F7033" w:rsidRPr="0055142E">
        <w:rPr>
          <w:rFonts w:ascii="Calibri" w:hAnsi="Calibri" w:cs="Calibri"/>
          <w:bCs/>
          <w:lang w:val="lt-LT"/>
        </w:rPr>
        <w:t>7.6 punkte nustatyta, jog Sutarties kainos per</w:t>
      </w:r>
      <w:r w:rsidR="008D34EC" w:rsidRPr="0055142E">
        <w:rPr>
          <w:rFonts w:ascii="Calibri" w:hAnsi="Calibri" w:cs="Calibri"/>
          <w:bCs/>
          <w:lang w:val="lt-LT"/>
        </w:rPr>
        <w:t>žiūros dažnumas nebus ribojamas</w:t>
      </w:r>
      <w:r w:rsidR="00911193" w:rsidRPr="0055142E">
        <w:rPr>
          <w:rFonts w:ascii="Calibri" w:hAnsi="Calibri" w:cs="Calibri"/>
          <w:bCs/>
          <w:lang w:val="lt-LT"/>
        </w:rPr>
        <w:t xml:space="preserve">. Kitos su Sutarties kainos peržiūra susijusios </w:t>
      </w:r>
      <w:r w:rsidR="00EF23B2" w:rsidRPr="0055142E">
        <w:rPr>
          <w:rFonts w:ascii="Calibri" w:hAnsi="Calibri" w:cs="Calibri"/>
          <w:bCs/>
          <w:lang w:val="lt-LT"/>
        </w:rPr>
        <w:t>sąlygos</w:t>
      </w:r>
      <w:r w:rsidR="00911193" w:rsidRPr="0055142E">
        <w:rPr>
          <w:rFonts w:ascii="Calibri" w:hAnsi="Calibri" w:cs="Calibri"/>
          <w:bCs/>
          <w:lang w:val="lt-LT"/>
        </w:rPr>
        <w:t xml:space="preserve"> taikomos pagal </w:t>
      </w:r>
      <w:r w:rsidR="00354A2D" w:rsidRPr="0055142E">
        <w:rPr>
          <w:rFonts w:ascii="Calibri" w:hAnsi="Calibri" w:cs="Calibri"/>
          <w:bCs/>
          <w:lang w:val="lt-LT"/>
        </w:rPr>
        <w:t xml:space="preserve">Statybos rangos sutarties Bendrąsias </w:t>
      </w:r>
      <w:r w:rsidR="004D7D29" w:rsidRPr="0055142E">
        <w:rPr>
          <w:rFonts w:ascii="Calibri" w:hAnsi="Calibri" w:cs="Calibri"/>
          <w:bCs/>
          <w:lang w:val="lt-LT"/>
        </w:rPr>
        <w:t>sąlygas</w:t>
      </w:r>
      <w:r w:rsidR="00014137" w:rsidRPr="0055142E">
        <w:rPr>
          <w:rFonts w:ascii="Calibri" w:hAnsi="Calibri" w:cs="Calibri"/>
          <w:bCs/>
          <w:lang w:val="lt-LT"/>
        </w:rPr>
        <w:t xml:space="preserve">, kurių </w:t>
      </w:r>
      <w:r w:rsidR="00C63344" w:rsidRPr="0055142E">
        <w:rPr>
          <w:rFonts w:ascii="Calibri" w:hAnsi="Calibri" w:cs="Calibri"/>
          <w:bCs/>
          <w:lang w:val="lt-LT"/>
        </w:rPr>
        <w:t>15.5.3</w:t>
      </w:r>
      <w:r w:rsidR="004734FA" w:rsidRPr="0055142E">
        <w:rPr>
          <w:rFonts w:ascii="Calibri" w:hAnsi="Calibri" w:cs="Calibri"/>
          <w:bCs/>
          <w:lang w:val="lt-LT"/>
        </w:rPr>
        <w:t xml:space="preserve"> papunktyje nustatyta, jog „</w:t>
      </w:r>
      <w:bookmarkStart w:id="1" w:name="_Ref88653909"/>
      <w:r w:rsidR="00F62BC5" w:rsidRPr="0055142E">
        <w:rPr>
          <w:rFonts w:ascii="Calibri" w:hAnsi="Calibri" w:cs="Calibri"/>
          <w:bCs/>
          <w:lang w:val="lt-LT"/>
        </w:rPr>
        <w:t>Rangovui mokėtinos sumos už Statybos darbus gali būti perskaičiuojamos, jeigu Lietuvos Respublikos statistikos departamento (www.stat.gov.lt) kas mėnesį skelbiamo:</w:t>
      </w:r>
      <w:bookmarkEnd w:id="1"/>
      <w:r w:rsidR="00F62BC5" w:rsidRPr="0055142E">
        <w:rPr>
          <w:rFonts w:ascii="Calibri" w:hAnsi="Calibri" w:cs="Calibri"/>
          <w:bCs/>
          <w:lang w:val="lt-LT"/>
        </w:rPr>
        <w:t xml:space="preserve"> </w:t>
      </w:r>
    </w:p>
    <w:p w14:paraId="6DC59320" w14:textId="6962094E" w:rsidR="00F62BC5" w:rsidRPr="0055142E" w:rsidRDefault="00F62BC5" w:rsidP="0055142E">
      <w:pPr>
        <w:spacing w:line="276" w:lineRule="auto"/>
        <w:rPr>
          <w:rFonts w:ascii="Calibri" w:hAnsi="Calibri" w:cs="Calibri"/>
          <w:bCs/>
          <w:lang w:val="lt-LT"/>
        </w:rPr>
      </w:pPr>
      <w:bookmarkStart w:id="2" w:name="_3sv78d1" w:colFirst="0" w:colLast="0"/>
      <w:bookmarkStart w:id="3" w:name="_Ref88653892"/>
      <w:bookmarkEnd w:id="2"/>
      <w:r w:rsidRPr="0055142E">
        <w:rPr>
          <w:rFonts w:ascii="Calibri" w:hAnsi="Calibri" w:cs="Calibri"/>
          <w:bCs/>
          <w:lang w:val="lt-LT"/>
        </w:rPr>
        <w:t xml:space="preserve">15.5.3.1. </w:t>
      </w:r>
      <w:r w:rsidRPr="0055142E">
        <w:rPr>
          <w:rFonts w:ascii="Calibri" w:hAnsi="Calibri" w:cs="Calibri"/>
          <w:b/>
          <w:lang w:val="lt-LT"/>
        </w:rPr>
        <w:t>pastatų remonto sąnaudų elementų</w:t>
      </w:r>
      <w:r w:rsidRPr="0055142E">
        <w:rPr>
          <w:rFonts w:ascii="Calibri" w:hAnsi="Calibri" w:cs="Calibri"/>
          <w:bCs/>
          <w:lang w:val="lt-LT"/>
        </w:rPr>
        <w:t xml:space="preserve"> kainų indekso reikšmė pakinta daugiau kaip 0,05 per bet kurį Darbų vykdymo laikotarpį – </w:t>
      </w:r>
      <w:r w:rsidRPr="0055142E">
        <w:rPr>
          <w:rFonts w:ascii="Calibri" w:hAnsi="Calibri" w:cs="Calibri"/>
          <w:b/>
          <w:lang w:val="lt-LT"/>
        </w:rPr>
        <w:t>tuo atveju, kai pagal Sutartį vykdomi pastato remonto darbai; arba</w:t>
      </w:r>
      <w:bookmarkEnd w:id="3"/>
    </w:p>
    <w:p w14:paraId="4FAA3214" w14:textId="4A4A6C33" w:rsidR="00F62BC5" w:rsidRPr="0055142E" w:rsidRDefault="00F62BC5" w:rsidP="0055142E">
      <w:pPr>
        <w:spacing w:line="276" w:lineRule="auto"/>
        <w:rPr>
          <w:rFonts w:ascii="Calibri" w:hAnsi="Calibri" w:cs="Calibri"/>
          <w:bCs/>
          <w:lang w:val="lt-LT"/>
        </w:rPr>
      </w:pPr>
      <w:r w:rsidRPr="0055142E">
        <w:rPr>
          <w:rFonts w:ascii="Calibri" w:hAnsi="Calibri" w:cs="Calibri"/>
          <w:bCs/>
          <w:lang w:val="lt-LT"/>
        </w:rPr>
        <w:t>15.</w:t>
      </w:r>
      <w:r w:rsidR="008533F3" w:rsidRPr="0055142E">
        <w:rPr>
          <w:rFonts w:ascii="Calibri" w:hAnsi="Calibri" w:cs="Calibri"/>
          <w:bCs/>
          <w:lang w:val="lt-LT"/>
        </w:rPr>
        <w:t xml:space="preserve">5.3.2. </w:t>
      </w:r>
      <w:r w:rsidRPr="0055142E">
        <w:rPr>
          <w:rFonts w:ascii="Calibri" w:hAnsi="Calibri" w:cs="Calibri"/>
          <w:b/>
          <w:lang w:val="lt-LT"/>
        </w:rPr>
        <w:t>statybos sąnaudų elementų kainų indekso, labiausiai atitinkančio Objekto rūšį</w:t>
      </w:r>
      <w:r w:rsidRPr="0055142E">
        <w:rPr>
          <w:rFonts w:ascii="Calibri" w:hAnsi="Calibri" w:cs="Calibri"/>
          <w:bCs/>
          <w:lang w:val="lt-LT"/>
        </w:rPr>
        <w:t xml:space="preserve">, reikšmė pakinta daugiau kaip 0,05 per bet kurį Darbų vykdymo laikotarpį – </w:t>
      </w:r>
      <w:r w:rsidRPr="0055142E">
        <w:rPr>
          <w:rFonts w:ascii="Calibri" w:hAnsi="Calibri" w:cs="Calibri"/>
          <w:b/>
          <w:lang w:val="lt-LT"/>
        </w:rPr>
        <w:t xml:space="preserve">visais kitais atvejais, negu nurodytasis </w:t>
      </w:r>
      <w:r w:rsidRPr="0055142E">
        <w:rPr>
          <w:rFonts w:ascii="Calibri" w:hAnsi="Calibri" w:cs="Calibri"/>
          <w:b/>
          <w:lang w:val="lt-LT"/>
        </w:rPr>
        <w:fldChar w:fldCharType="begin"/>
      </w:r>
      <w:r w:rsidRPr="0055142E">
        <w:rPr>
          <w:rFonts w:ascii="Calibri" w:hAnsi="Calibri" w:cs="Calibri"/>
          <w:b/>
          <w:lang w:val="lt-LT"/>
        </w:rPr>
        <w:instrText xml:space="preserve"> REF _Ref88653892 \r \h  \* MERGEFORMAT </w:instrText>
      </w:r>
      <w:r w:rsidRPr="0055142E">
        <w:rPr>
          <w:rFonts w:ascii="Calibri" w:hAnsi="Calibri" w:cs="Calibri"/>
          <w:b/>
          <w:lang w:val="lt-LT"/>
        </w:rPr>
      </w:r>
      <w:r w:rsidRPr="0055142E">
        <w:rPr>
          <w:rFonts w:ascii="Calibri" w:hAnsi="Calibri" w:cs="Calibri"/>
          <w:b/>
          <w:lang w:val="lt-LT"/>
        </w:rPr>
        <w:fldChar w:fldCharType="separate"/>
      </w:r>
      <w:r w:rsidRPr="0055142E">
        <w:rPr>
          <w:rFonts w:ascii="Calibri" w:hAnsi="Calibri" w:cs="Calibri"/>
          <w:b/>
          <w:lang w:val="lt-LT"/>
        </w:rPr>
        <w:t>15.5.3.1</w:t>
      </w:r>
      <w:r w:rsidRPr="0055142E">
        <w:rPr>
          <w:rFonts w:ascii="Calibri" w:hAnsi="Calibri" w:cs="Calibri"/>
          <w:b/>
          <w:lang w:val="lt-LT"/>
        </w:rPr>
        <w:fldChar w:fldCharType="end"/>
      </w:r>
      <w:r w:rsidRPr="0055142E">
        <w:rPr>
          <w:rFonts w:ascii="Calibri" w:hAnsi="Calibri" w:cs="Calibri"/>
          <w:b/>
          <w:lang w:val="lt-LT"/>
        </w:rPr>
        <w:t xml:space="preserve"> punkte</w:t>
      </w:r>
      <w:r w:rsidR="00F74CF0" w:rsidRPr="0055142E">
        <w:rPr>
          <w:rFonts w:ascii="Calibri" w:hAnsi="Calibri" w:cs="Calibri"/>
          <w:b/>
          <w:lang w:val="lt-LT"/>
        </w:rPr>
        <w:t>“</w:t>
      </w:r>
      <w:r w:rsidRPr="0055142E">
        <w:rPr>
          <w:rFonts w:ascii="Calibri" w:hAnsi="Calibri" w:cs="Calibri"/>
          <w:bCs/>
          <w:lang w:val="lt-LT"/>
        </w:rPr>
        <w:t>.</w:t>
      </w:r>
    </w:p>
    <w:p w14:paraId="55A522BE" w14:textId="066890AE" w:rsidR="00F74CF0" w:rsidRPr="0055142E" w:rsidRDefault="00F74CF0" w:rsidP="0055142E">
      <w:pPr>
        <w:spacing w:after="0" w:line="276" w:lineRule="auto"/>
        <w:rPr>
          <w:rFonts w:ascii="Calibri" w:hAnsi="Calibri" w:cs="Calibri"/>
          <w:bCs/>
          <w:lang w:val="lt-LT"/>
        </w:rPr>
      </w:pPr>
      <w:r w:rsidRPr="0055142E">
        <w:rPr>
          <w:rFonts w:ascii="Calibri" w:hAnsi="Calibri" w:cs="Calibri"/>
          <w:bCs/>
          <w:lang w:val="lt-LT"/>
        </w:rPr>
        <w:t>Šiuo atveju nėra aišku</w:t>
      </w:r>
      <w:r w:rsidR="00C32A7A" w:rsidRPr="0055142E">
        <w:rPr>
          <w:rFonts w:ascii="Calibri" w:hAnsi="Calibri" w:cs="Calibri"/>
          <w:bCs/>
          <w:lang w:val="lt-LT"/>
        </w:rPr>
        <w:t>, pagal k</w:t>
      </w:r>
      <w:r w:rsidR="00AF3DAD" w:rsidRPr="0055142E">
        <w:rPr>
          <w:rFonts w:ascii="Calibri" w:hAnsi="Calibri" w:cs="Calibri"/>
          <w:bCs/>
          <w:lang w:val="lt-LT"/>
        </w:rPr>
        <w:t>urį</w:t>
      </w:r>
      <w:r w:rsidR="00C32A7A" w:rsidRPr="0055142E">
        <w:rPr>
          <w:rFonts w:ascii="Calibri" w:hAnsi="Calibri" w:cs="Calibri"/>
          <w:bCs/>
          <w:lang w:val="lt-LT"/>
        </w:rPr>
        <w:t xml:space="preserve"> indeksą </w:t>
      </w:r>
      <w:r w:rsidR="00EF4E4C">
        <w:rPr>
          <w:rFonts w:ascii="Calibri" w:hAnsi="Calibri" w:cs="Calibri"/>
          <w:bCs/>
          <w:lang w:val="lt-LT"/>
        </w:rPr>
        <w:t xml:space="preserve">faktiškai </w:t>
      </w:r>
      <w:r w:rsidR="00C32A7A" w:rsidRPr="0055142E">
        <w:rPr>
          <w:rFonts w:ascii="Calibri" w:hAnsi="Calibri" w:cs="Calibri"/>
          <w:bCs/>
          <w:lang w:val="lt-LT"/>
        </w:rPr>
        <w:t>būtų perskaičiuojama Sutarties kaina</w:t>
      </w:r>
      <w:r w:rsidR="00D32201" w:rsidRPr="0055142E">
        <w:rPr>
          <w:rFonts w:ascii="Calibri" w:hAnsi="Calibri" w:cs="Calibri"/>
          <w:bCs/>
          <w:lang w:val="lt-LT"/>
        </w:rPr>
        <w:t>, todėl</w:t>
      </w:r>
    </w:p>
    <w:p w14:paraId="03A6B526" w14:textId="332038C7" w:rsidR="00A251E3" w:rsidRPr="0055142E" w:rsidRDefault="005B516E" w:rsidP="0055142E">
      <w:pPr>
        <w:spacing w:after="0" w:line="276" w:lineRule="auto"/>
        <w:rPr>
          <w:rFonts w:ascii="Calibri" w:hAnsi="Calibri" w:cs="Calibri"/>
          <w:bCs/>
          <w:lang w:val="lt-LT"/>
        </w:rPr>
      </w:pPr>
      <w:r w:rsidRPr="0055142E">
        <w:rPr>
          <w:rFonts w:ascii="Calibri" w:hAnsi="Calibri" w:cs="Calibri"/>
          <w:bCs/>
          <w:lang w:val="lt-LT"/>
        </w:rPr>
        <w:t>v</w:t>
      </w:r>
      <w:r w:rsidR="008E4505" w:rsidRPr="0055142E">
        <w:rPr>
          <w:rFonts w:ascii="Calibri" w:hAnsi="Calibri" w:cs="Calibri"/>
          <w:bCs/>
          <w:lang w:val="lt-LT"/>
        </w:rPr>
        <w:t xml:space="preserve">adovaujantis Įstatymo 35 straipsnio 4 dalies nuostata, kad „&lt;...&gt; Pirkimo dokumentai turi būti tikslūs, aiškūs, be dviprasmybių &lt;...&gt;“, bei siekiant, kad Pirkimo sutarties vykdymo metu nekiltų ginčų tarp sutarties šalių dėl sutarties sąlygų taikymo, Tarnyba rekomenduoja </w:t>
      </w:r>
      <w:r w:rsidR="009C5825" w:rsidRPr="0055142E">
        <w:rPr>
          <w:rFonts w:ascii="Calibri" w:hAnsi="Calibri" w:cs="Calibri"/>
          <w:bCs/>
          <w:lang w:val="lt-LT"/>
        </w:rPr>
        <w:t xml:space="preserve">Statybos rangos sutarties </w:t>
      </w:r>
      <w:r w:rsidR="000771A4" w:rsidRPr="0055142E">
        <w:rPr>
          <w:rFonts w:ascii="Calibri" w:hAnsi="Calibri" w:cs="Calibri"/>
          <w:bCs/>
          <w:lang w:val="lt-LT"/>
        </w:rPr>
        <w:t>specialiosiose sąlygose</w:t>
      </w:r>
      <w:r w:rsidR="008E4505" w:rsidRPr="0055142E">
        <w:rPr>
          <w:rFonts w:ascii="Calibri" w:hAnsi="Calibri" w:cs="Calibri"/>
          <w:bCs/>
          <w:lang w:val="lt-LT"/>
        </w:rPr>
        <w:t xml:space="preserve"> aiškiai nurodyti</w:t>
      </w:r>
      <w:r w:rsidR="00FD399D" w:rsidRPr="0055142E">
        <w:rPr>
          <w:rFonts w:ascii="Calibri" w:hAnsi="Calibri" w:cs="Calibri"/>
          <w:bCs/>
          <w:lang w:val="lt-LT"/>
        </w:rPr>
        <w:t>,</w:t>
      </w:r>
      <w:r w:rsidR="008E4505" w:rsidRPr="0055142E">
        <w:rPr>
          <w:rFonts w:ascii="Calibri" w:hAnsi="Calibri" w:cs="Calibri"/>
          <w:bCs/>
          <w:lang w:val="lt-LT"/>
        </w:rPr>
        <w:t xml:space="preserve"> k</w:t>
      </w:r>
      <w:r w:rsidR="00386D49" w:rsidRPr="0055142E">
        <w:rPr>
          <w:rFonts w:ascii="Calibri" w:hAnsi="Calibri" w:cs="Calibri"/>
          <w:bCs/>
          <w:lang w:val="lt-LT"/>
        </w:rPr>
        <w:t xml:space="preserve">uriam </w:t>
      </w:r>
      <w:r w:rsidR="008E4505" w:rsidRPr="0055142E">
        <w:rPr>
          <w:rFonts w:ascii="Calibri" w:hAnsi="Calibri" w:cs="Calibri"/>
          <w:bCs/>
          <w:lang w:val="lt-LT"/>
        </w:rPr>
        <w:t xml:space="preserve">indeksui pakitus, būtų </w:t>
      </w:r>
      <w:r w:rsidR="00AD3F92" w:rsidRPr="0055142E">
        <w:rPr>
          <w:rFonts w:ascii="Calibri" w:hAnsi="Calibri" w:cs="Calibri"/>
          <w:bCs/>
          <w:lang w:val="lt-LT"/>
        </w:rPr>
        <w:t>taikoma Sutarties kainos peržiūra.</w:t>
      </w:r>
    </w:p>
    <w:p w14:paraId="4A01C093" w14:textId="77777777" w:rsidR="005E4433" w:rsidRPr="0055142E" w:rsidRDefault="005E4433" w:rsidP="0055142E">
      <w:pPr>
        <w:spacing w:after="0" w:line="276" w:lineRule="auto"/>
        <w:rPr>
          <w:rFonts w:ascii="Calibri" w:hAnsi="Calibri" w:cs="Calibri"/>
          <w:bCs/>
          <w:lang w:val="lt-LT"/>
        </w:rPr>
      </w:pPr>
      <w:r w:rsidRPr="0055142E">
        <w:rPr>
          <w:rFonts w:ascii="Calibri" w:hAnsi="Calibri" w:cs="Calibri"/>
          <w:bCs/>
          <w:lang w:val="lt-LT"/>
        </w:rPr>
        <w:t xml:space="preserve">Atkreipiame dėmesį į tai, kad nuo 2023 m. sausio 1 d. Lietuvos Respublikos statistikos departamentas pakeitė pavadinimą į Valstybės duomenų agentūrą. </w:t>
      </w:r>
    </w:p>
    <w:p w14:paraId="58AB0D87" w14:textId="77777777" w:rsidR="00ED225F" w:rsidRPr="0055142E" w:rsidRDefault="00ED225F" w:rsidP="0055142E">
      <w:pPr>
        <w:spacing w:line="276" w:lineRule="auto"/>
        <w:rPr>
          <w:rFonts w:ascii="Calibri" w:hAnsi="Calibri" w:cs="Calibri"/>
          <w:lang w:val="lt-LT"/>
        </w:rPr>
      </w:pPr>
    </w:p>
    <w:p w14:paraId="2290C285" w14:textId="20D8692D" w:rsidR="00E1720D" w:rsidRPr="0055142E" w:rsidRDefault="00BE6B4B" w:rsidP="0055142E">
      <w:pPr>
        <w:spacing w:line="276" w:lineRule="auto"/>
        <w:rPr>
          <w:rFonts w:ascii="Calibri" w:hAnsi="Calibri" w:cs="Calibri"/>
          <w:b/>
          <w:bCs/>
          <w:iCs/>
          <w:lang w:val="lt-LT"/>
        </w:rPr>
      </w:pPr>
      <w:r w:rsidRPr="0055142E">
        <w:rPr>
          <w:rFonts w:ascii="Calibri" w:hAnsi="Calibri" w:cs="Calibri"/>
          <w:b/>
          <w:bCs/>
          <w:iCs/>
          <w:lang w:val="lt-LT"/>
        </w:rPr>
        <w:t>5</w:t>
      </w:r>
      <w:r w:rsidR="00E1720D" w:rsidRPr="0055142E">
        <w:rPr>
          <w:rFonts w:ascii="Calibri" w:hAnsi="Calibri" w:cs="Calibri"/>
          <w:b/>
          <w:bCs/>
          <w:iCs/>
          <w:lang w:val="lt-LT"/>
        </w:rPr>
        <w:t>. Dėl numatomos pirkimo vertės</w:t>
      </w:r>
    </w:p>
    <w:p w14:paraId="7D00AB67" w14:textId="4BC23FEB" w:rsidR="00ED225F" w:rsidRPr="0055142E" w:rsidRDefault="00E1720D" w:rsidP="0055142E">
      <w:pPr>
        <w:spacing w:line="276" w:lineRule="auto"/>
        <w:rPr>
          <w:rFonts w:ascii="Calibri" w:hAnsi="Calibri" w:cs="Calibri"/>
          <w:iCs/>
          <w:lang w:val="lt-LT"/>
        </w:rPr>
      </w:pPr>
      <w:r w:rsidRPr="0055142E">
        <w:rPr>
          <w:rFonts w:ascii="Calibri" w:hAnsi="Calibri" w:cs="Calibri"/>
          <w:iCs/>
          <w:lang w:val="lt-LT"/>
        </w:rPr>
        <w:t>Tarnybai atliekant Pirkimo dokumentų prevencinę peržiūrą, aktuali yra numatoma Pirkimo vertė (be PVM), todėl Tarnyba prašo ją nurodyti. Ši informacija nebus skelbiama ir viešinama, nes ji yra reikalinga atliekamos Pirkimo prevencinės peržiūros ir statistikos tikslais.</w:t>
      </w:r>
    </w:p>
    <w:p w14:paraId="2D412434" w14:textId="6B6DB1F5" w:rsidR="00391A84" w:rsidRPr="0055142E" w:rsidRDefault="00391A84" w:rsidP="0055142E">
      <w:pPr>
        <w:spacing w:line="276" w:lineRule="auto"/>
        <w:rPr>
          <w:rFonts w:ascii="Calibri" w:hAnsi="Calibri" w:cs="Calibri"/>
          <w:lang w:val="lt-LT"/>
        </w:rPr>
      </w:pPr>
      <w:r w:rsidRPr="0055142E">
        <w:rPr>
          <w:rFonts w:ascii="Calibri" w:hAnsi="Calibri" w:cs="Calibri"/>
          <w:lang w:val="lt-LT"/>
        </w:rPr>
        <w:t>Atsižvelgdama į tai, kas nurodyta, Tarnyba rekomenduoja peržiūrėti ir patikslinti Pirkim</w:t>
      </w:r>
      <w:r w:rsidR="008045F7">
        <w:rPr>
          <w:rFonts w:ascii="Calibri" w:hAnsi="Calibri" w:cs="Calibri"/>
          <w:lang w:val="lt-LT"/>
        </w:rPr>
        <w:t>o</w:t>
      </w:r>
      <w:r w:rsidRPr="0055142E">
        <w:rPr>
          <w:rFonts w:ascii="Calibri" w:hAnsi="Calibri" w:cs="Calibri"/>
          <w:lang w:val="lt-LT"/>
        </w:rPr>
        <w:t xml:space="preserve"> dokumentus pagal šioje Rekomendacijoje pateiktas pastabas. Primename, kad Perkančioji organizacija, patikslinusi Pirkim</w:t>
      </w:r>
      <w:r w:rsidR="008045F7">
        <w:rPr>
          <w:rFonts w:ascii="Calibri" w:hAnsi="Calibri" w:cs="Calibri"/>
          <w:lang w:val="lt-LT"/>
        </w:rPr>
        <w:t>o</w:t>
      </w:r>
      <w:r w:rsidRPr="0055142E">
        <w:rPr>
          <w:rFonts w:ascii="Calibri" w:hAnsi="Calibri" w:cs="Calibri"/>
          <w:lang w:val="lt-LT"/>
        </w:rPr>
        <w:t xml:space="preserve"> dokumentus, turi visus pakeitimus paskelbti CVP IS ir spręsti </w:t>
      </w:r>
      <w:r w:rsidRPr="0055142E">
        <w:rPr>
          <w:rFonts w:ascii="Calibri" w:hAnsi="Calibri" w:cs="Calibri"/>
          <w:lang w:val="lt-LT"/>
        </w:rPr>
        <w:lastRenderedPageBreak/>
        <w:t>klausimą dėl  pasiūlymų pateikimo termino pratęsimo  protingam laikotarpiui, per kurį potencialūs tiekėjai galėtų susipažinti su patikslintais  Pirkimo dokumentais.</w:t>
      </w:r>
    </w:p>
    <w:p w14:paraId="3716A493" w14:textId="77777777" w:rsidR="00391A84" w:rsidRPr="0055142E" w:rsidRDefault="00391A84" w:rsidP="0055142E">
      <w:pPr>
        <w:spacing w:line="276" w:lineRule="auto"/>
        <w:rPr>
          <w:rFonts w:ascii="Calibri" w:hAnsi="Calibri" w:cs="Calibri"/>
          <w:lang w:val="lt-LT"/>
        </w:rPr>
      </w:pPr>
      <w:r w:rsidRPr="0055142E">
        <w:rPr>
          <w:rFonts w:ascii="Calibri" w:hAnsi="Calibri" w:cs="Calibri"/>
          <w:lang w:val="lt-LT"/>
        </w:rPr>
        <w:t>Pažymėtina, kad visais atvejais sprendimą dėl tolimesnio Pirkimų procedūrų vykdymo ar nutraukimo priima pati Perkančioji organizacija, vadovaudamasi Įstatymo 29 straipsnio 3</w:t>
      </w:r>
      <w:r w:rsidRPr="0055142E">
        <w:rPr>
          <w:rFonts w:ascii="Calibri" w:hAnsi="Calibri" w:cs="Calibri"/>
          <w:vertAlign w:val="superscript"/>
          <w:lang w:val="lt-LT"/>
        </w:rPr>
        <w:footnoteReference w:id="2"/>
      </w:r>
      <w:r w:rsidRPr="0055142E">
        <w:rPr>
          <w:rFonts w:ascii="Calibri" w:hAnsi="Calibri" w:cs="Calibri"/>
          <w:lang w:val="lt-LT"/>
        </w:rPr>
        <w:t xml:space="preserve"> ir 4</w:t>
      </w:r>
      <w:r w:rsidRPr="0055142E">
        <w:rPr>
          <w:rFonts w:ascii="Calibri" w:hAnsi="Calibri" w:cs="Calibri"/>
          <w:vertAlign w:val="superscript"/>
          <w:lang w:val="lt-LT"/>
        </w:rPr>
        <w:footnoteReference w:id="3"/>
      </w:r>
      <w:r w:rsidRPr="0055142E">
        <w:rPr>
          <w:rFonts w:ascii="Calibri" w:hAnsi="Calibri" w:cs="Calibri"/>
          <w:lang w:val="lt-LT"/>
        </w:rPr>
        <w:t>dalių bei 36 straipsnio 6 dalies</w:t>
      </w:r>
      <w:r w:rsidRPr="0055142E">
        <w:rPr>
          <w:rFonts w:ascii="Calibri" w:hAnsi="Calibri" w:cs="Calibri"/>
          <w:vertAlign w:val="superscript"/>
          <w:lang w:val="lt-LT"/>
        </w:rPr>
        <w:footnoteReference w:id="4"/>
      </w:r>
      <w:r w:rsidRPr="0055142E">
        <w:rPr>
          <w:rFonts w:ascii="Calibri" w:hAnsi="Calibri" w:cs="Calibri"/>
          <w:lang w:val="lt-LT"/>
        </w:rPr>
        <w:t xml:space="preserve"> nuostatomis. </w:t>
      </w:r>
    </w:p>
    <w:p w14:paraId="252A1A11" w14:textId="77777777" w:rsidR="00391A84" w:rsidRPr="0055142E" w:rsidRDefault="00391A84" w:rsidP="0055142E">
      <w:pPr>
        <w:spacing w:line="276" w:lineRule="auto"/>
        <w:rPr>
          <w:rFonts w:ascii="Calibri" w:hAnsi="Calibri" w:cs="Calibri"/>
          <w:lang w:val="lt"/>
        </w:rPr>
      </w:pPr>
    </w:p>
    <w:p w14:paraId="395058EF" w14:textId="77777777" w:rsidR="00391A84" w:rsidRPr="0055142E" w:rsidRDefault="00391A84" w:rsidP="0055142E">
      <w:pPr>
        <w:spacing w:line="276" w:lineRule="auto"/>
        <w:rPr>
          <w:rFonts w:ascii="Calibri" w:hAnsi="Calibri" w:cs="Calibri"/>
          <w:lang w:val="lt-LT"/>
        </w:rPr>
      </w:pPr>
    </w:p>
    <w:p w14:paraId="26633EBB" w14:textId="77D20C3D" w:rsidR="004B4924" w:rsidRPr="00F75D16" w:rsidRDefault="004B4924">
      <w:pPr>
        <w:rPr>
          <w:rFonts w:ascii="Arial" w:hAnsi="Arial" w:cs="Arial"/>
        </w:rPr>
      </w:pPr>
    </w:p>
    <w:sectPr w:rsidR="004B4924" w:rsidRPr="00F75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9825D" w14:textId="77777777" w:rsidR="006567B4" w:rsidRDefault="006567B4" w:rsidP="00391A84">
      <w:pPr>
        <w:spacing w:after="0" w:line="240" w:lineRule="auto"/>
      </w:pPr>
      <w:r>
        <w:separator/>
      </w:r>
    </w:p>
  </w:endnote>
  <w:endnote w:type="continuationSeparator" w:id="0">
    <w:p w14:paraId="4BFF1AD6" w14:textId="77777777" w:rsidR="006567B4" w:rsidRDefault="006567B4" w:rsidP="00391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FE0E0" w14:textId="77777777" w:rsidR="006567B4" w:rsidRDefault="006567B4" w:rsidP="00391A84">
      <w:pPr>
        <w:spacing w:after="0" w:line="240" w:lineRule="auto"/>
      </w:pPr>
      <w:r>
        <w:separator/>
      </w:r>
    </w:p>
  </w:footnote>
  <w:footnote w:type="continuationSeparator" w:id="0">
    <w:p w14:paraId="55D9AA62" w14:textId="77777777" w:rsidR="006567B4" w:rsidRDefault="006567B4" w:rsidP="00391A84">
      <w:pPr>
        <w:spacing w:after="0" w:line="240" w:lineRule="auto"/>
      </w:pPr>
      <w:r>
        <w:continuationSeparator/>
      </w:r>
    </w:p>
  </w:footnote>
  <w:footnote w:id="1">
    <w:p w14:paraId="735E9E47" w14:textId="77777777" w:rsidR="00321F49" w:rsidRPr="00846679" w:rsidRDefault="00321F49" w:rsidP="00321F49">
      <w:pPr>
        <w:pStyle w:val="FootnoteText"/>
      </w:pPr>
      <w:r>
        <w:rPr>
          <w:rStyle w:val="FootnoteReference"/>
        </w:rPr>
        <w:footnoteRef/>
      </w:r>
      <w:r w:rsidRPr="006849DD">
        <w:t xml:space="preserve"> </w:t>
      </w:r>
      <w:hyperlink r:id="rId1" w:history="1">
        <w:r w:rsidRPr="00846679">
          <w:rPr>
            <w:rStyle w:val="Hyperlink"/>
          </w:rPr>
          <w:t>Statybų darbų gairės</w:t>
        </w:r>
      </w:hyperlink>
      <w:r w:rsidRPr="00846679">
        <w:t>.</w:t>
      </w:r>
    </w:p>
  </w:footnote>
  <w:footnote w:id="2">
    <w:p w14:paraId="7AB47264" w14:textId="77777777" w:rsidR="00391A84" w:rsidRDefault="00391A84" w:rsidP="00391A84">
      <w:pPr>
        <w:pStyle w:val="FootnoteText"/>
      </w:pPr>
      <w:r>
        <w:rPr>
          <w:rStyle w:val="FootnoteReference"/>
        </w:rPr>
        <w:footnoteRef/>
      </w:r>
      <w:r>
        <w:t xml:space="preserve"> </w:t>
      </w:r>
      <w:r w:rsidRPr="00025E91">
        <w:rPr>
          <w:rFonts w:ascii="Calibri" w:hAnsi="Calibri" w:cs="Calibri"/>
          <w:bCs/>
          <w:color w:val="000000"/>
        </w:rPr>
        <w:t>Perkančioji</w:t>
      </w:r>
      <w:r w:rsidRPr="00025E91">
        <w:rPr>
          <w:rFonts w:ascii="Calibri" w:hAnsi="Calibri" w:cs="Calibri"/>
          <w:color w:val="000000"/>
        </w:rPr>
        <w:t xml:space="preserve"> organizacija privalo </w:t>
      </w:r>
      <w:r w:rsidRPr="00025E91">
        <w:rPr>
          <w:rFonts w:ascii="Calibri" w:hAnsi="Calibri" w:cs="Calibri"/>
          <w:bCs/>
          <w:color w:val="000000"/>
        </w:rPr>
        <w:t>nutraukti pradėtas pirkimo ar projekto konkurso procedūras</w:t>
      </w:r>
      <w:r w:rsidRPr="00025E91">
        <w:rPr>
          <w:rFonts w:ascii="Calibri" w:hAnsi="Calibri" w:cs="Calibri"/>
          <w:color w:val="000000"/>
        </w:rPr>
        <w:t>, jeigu buvo pažeisti šio įstatymo 17 straipsnio 1 dalyje nustatyti principai ir atitinkamos padėties negalima ištaisyti</w:t>
      </w:r>
      <w:r>
        <w:rPr>
          <w:rFonts w:ascii="Calibri" w:hAnsi="Calibri" w:cs="Calibri"/>
          <w:color w:val="000000"/>
        </w:rPr>
        <w:t>.</w:t>
      </w:r>
    </w:p>
  </w:footnote>
  <w:footnote w:id="3">
    <w:p w14:paraId="7795621B" w14:textId="77777777" w:rsidR="00391A84" w:rsidRDefault="00391A84" w:rsidP="00391A84">
      <w:pPr>
        <w:pStyle w:val="FootnoteText"/>
      </w:pPr>
      <w:r>
        <w:rPr>
          <w:rStyle w:val="FootnoteReference"/>
        </w:rPr>
        <w:footnoteRef/>
      </w:r>
      <w:r>
        <w:t xml:space="preserve"> </w:t>
      </w:r>
      <w:r w:rsidRPr="004918C8">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t>.</w:t>
      </w:r>
    </w:p>
  </w:footnote>
  <w:footnote w:id="4">
    <w:p w14:paraId="38E1A8B6" w14:textId="77777777" w:rsidR="00391A84" w:rsidRDefault="00391A84" w:rsidP="00391A84">
      <w:pPr>
        <w:pStyle w:val="FootnoteText"/>
      </w:pPr>
      <w:r>
        <w:rPr>
          <w:rStyle w:val="FootnoteReference"/>
        </w:rPr>
        <w:footnoteRef/>
      </w:r>
      <w:r>
        <w:t xml:space="preserve"> </w:t>
      </w:r>
      <w:r w:rsidRPr="00036A09">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r>
        <w:rPr>
          <w:color w:val="000000"/>
          <w:szCs w:val="24"/>
          <w:lang w:eastAsia="lt-LT"/>
        </w:rPr>
        <w:t xml:space="preserve">Tarptautinių pirkimų atveju negali būti daromi tokie esminiai pirkimo sąlygų pakeitimai, </w:t>
      </w:r>
      <w:r>
        <w:rPr>
          <w:spacing w:val="2"/>
          <w:szCs w:val="24"/>
          <w:shd w:val="clear" w:color="auto" w:fill="FFFFFF"/>
        </w:rPr>
        <w:t>dėl kurių</w:t>
      </w:r>
      <w:r>
        <w:rPr>
          <w:bCs/>
          <w:szCs w:val="24"/>
        </w:rPr>
        <w:t xml:space="preserve"> </w:t>
      </w:r>
      <w:r>
        <w:rPr>
          <w:color w:val="000000"/>
          <w:szCs w:val="24"/>
          <w:lang w:eastAsia="lt-LT"/>
        </w:rPr>
        <w:t>būtų buvę galima leisti dalyvauti kitiems kandidatams, negu iš pradžių atrinktiesiems, arba pirkimo procedūra būtų pritraukusi daugiau dalyvių.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2A50"/>
    <w:multiLevelType w:val="multilevel"/>
    <w:tmpl w:val="ACFCE762"/>
    <w:lvl w:ilvl="0">
      <w:start w:val="3"/>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1A8D517C"/>
    <w:multiLevelType w:val="hybridMultilevel"/>
    <w:tmpl w:val="A8CAC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900BE5"/>
    <w:multiLevelType w:val="multilevel"/>
    <w:tmpl w:val="E2B0039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F235E1D"/>
    <w:multiLevelType w:val="hybridMultilevel"/>
    <w:tmpl w:val="6D76C8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55525F"/>
    <w:multiLevelType w:val="multilevel"/>
    <w:tmpl w:val="FCFAD16C"/>
    <w:lvl w:ilvl="0">
      <w:start w:val="1"/>
      <w:numFmt w:val="decimal"/>
      <w:lvlText w:val="%1."/>
      <w:lvlJc w:val="left"/>
      <w:pPr>
        <w:tabs>
          <w:tab w:val="num" w:pos="360"/>
        </w:tabs>
        <w:ind w:left="360" w:hanging="360"/>
      </w:pPr>
      <w:rPr>
        <w:rFonts w:ascii="Calibri" w:hAnsi="Calibri" w:cs="Calibri"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986785879">
    <w:abstractNumId w:val="2"/>
  </w:num>
  <w:num w:numId="2" w16cid:durableId="1652903088">
    <w:abstractNumId w:val="1"/>
  </w:num>
  <w:num w:numId="3" w16cid:durableId="482355269">
    <w:abstractNumId w:val="0"/>
  </w:num>
  <w:num w:numId="4" w16cid:durableId="979656989">
    <w:abstractNumId w:val="4"/>
  </w:num>
  <w:num w:numId="5" w16cid:durableId="1261791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050"/>
    <w:rsid w:val="00004CA4"/>
    <w:rsid w:val="00014137"/>
    <w:rsid w:val="00015A7A"/>
    <w:rsid w:val="000361D3"/>
    <w:rsid w:val="000419DE"/>
    <w:rsid w:val="000516D9"/>
    <w:rsid w:val="00054F31"/>
    <w:rsid w:val="00063D8C"/>
    <w:rsid w:val="00065A97"/>
    <w:rsid w:val="000671FF"/>
    <w:rsid w:val="00075D7C"/>
    <w:rsid w:val="000771A4"/>
    <w:rsid w:val="00080CEA"/>
    <w:rsid w:val="00084E64"/>
    <w:rsid w:val="00085CDD"/>
    <w:rsid w:val="00096583"/>
    <w:rsid w:val="000965CC"/>
    <w:rsid w:val="00096709"/>
    <w:rsid w:val="00097438"/>
    <w:rsid w:val="000A4096"/>
    <w:rsid w:val="000C1AFB"/>
    <w:rsid w:val="000C6C2E"/>
    <w:rsid w:val="000C6EDC"/>
    <w:rsid w:val="000C775A"/>
    <w:rsid w:val="000C7B46"/>
    <w:rsid w:val="000D4919"/>
    <w:rsid w:val="000D6DD4"/>
    <w:rsid w:val="000E1D64"/>
    <w:rsid w:val="000E4878"/>
    <w:rsid w:val="000F0D6E"/>
    <w:rsid w:val="00112CBE"/>
    <w:rsid w:val="00137D5F"/>
    <w:rsid w:val="00144E2D"/>
    <w:rsid w:val="0017654D"/>
    <w:rsid w:val="00190F19"/>
    <w:rsid w:val="00192B5E"/>
    <w:rsid w:val="00197B28"/>
    <w:rsid w:val="00197F98"/>
    <w:rsid w:val="001A6050"/>
    <w:rsid w:val="001E2208"/>
    <w:rsid w:val="001E2569"/>
    <w:rsid w:val="001E4FF7"/>
    <w:rsid w:val="001F4E58"/>
    <w:rsid w:val="00202771"/>
    <w:rsid w:val="00205DC2"/>
    <w:rsid w:val="00215B2B"/>
    <w:rsid w:val="002228E4"/>
    <w:rsid w:val="00233796"/>
    <w:rsid w:val="00234B67"/>
    <w:rsid w:val="00240169"/>
    <w:rsid w:val="00247841"/>
    <w:rsid w:val="00250B75"/>
    <w:rsid w:val="00255892"/>
    <w:rsid w:val="00267B68"/>
    <w:rsid w:val="00271C65"/>
    <w:rsid w:val="00292BA2"/>
    <w:rsid w:val="002B79D0"/>
    <w:rsid w:val="002C2DBF"/>
    <w:rsid w:val="002D169D"/>
    <w:rsid w:val="002E39AA"/>
    <w:rsid w:val="002E4EBF"/>
    <w:rsid w:val="002E7971"/>
    <w:rsid w:val="002F1296"/>
    <w:rsid w:val="002F14A0"/>
    <w:rsid w:val="00312E1F"/>
    <w:rsid w:val="00321F49"/>
    <w:rsid w:val="003421FE"/>
    <w:rsid w:val="00346E5B"/>
    <w:rsid w:val="00354A2D"/>
    <w:rsid w:val="00355FE5"/>
    <w:rsid w:val="003759DC"/>
    <w:rsid w:val="00386D49"/>
    <w:rsid w:val="00391A84"/>
    <w:rsid w:val="003936AC"/>
    <w:rsid w:val="003B369F"/>
    <w:rsid w:val="003C59D2"/>
    <w:rsid w:val="003D09DE"/>
    <w:rsid w:val="003E3ACD"/>
    <w:rsid w:val="0040129E"/>
    <w:rsid w:val="00404BF0"/>
    <w:rsid w:val="00410E1D"/>
    <w:rsid w:val="00412859"/>
    <w:rsid w:val="00416A2C"/>
    <w:rsid w:val="00430240"/>
    <w:rsid w:val="00436EAF"/>
    <w:rsid w:val="00445A2C"/>
    <w:rsid w:val="004477D7"/>
    <w:rsid w:val="00451197"/>
    <w:rsid w:val="00453277"/>
    <w:rsid w:val="00455AF0"/>
    <w:rsid w:val="00457A81"/>
    <w:rsid w:val="00467D4D"/>
    <w:rsid w:val="00470950"/>
    <w:rsid w:val="00472C2A"/>
    <w:rsid w:val="00472DF6"/>
    <w:rsid w:val="004734FA"/>
    <w:rsid w:val="004A268B"/>
    <w:rsid w:val="004A5E92"/>
    <w:rsid w:val="004B4924"/>
    <w:rsid w:val="004C10FF"/>
    <w:rsid w:val="004D7D29"/>
    <w:rsid w:val="004E261D"/>
    <w:rsid w:val="004E3C74"/>
    <w:rsid w:val="004F01BD"/>
    <w:rsid w:val="004F1992"/>
    <w:rsid w:val="00501174"/>
    <w:rsid w:val="00506751"/>
    <w:rsid w:val="00520ECC"/>
    <w:rsid w:val="00526993"/>
    <w:rsid w:val="005319F5"/>
    <w:rsid w:val="00546BCB"/>
    <w:rsid w:val="0055142E"/>
    <w:rsid w:val="00567927"/>
    <w:rsid w:val="00577F36"/>
    <w:rsid w:val="00581CEC"/>
    <w:rsid w:val="005847A5"/>
    <w:rsid w:val="005977B9"/>
    <w:rsid w:val="005B4B67"/>
    <w:rsid w:val="005B4D47"/>
    <w:rsid w:val="005B516E"/>
    <w:rsid w:val="005B7E12"/>
    <w:rsid w:val="005C77E1"/>
    <w:rsid w:val="005E4433"/>
    <w:rsid w:val="005F7033"/>
    <w:rsid w:val="00602578"/>
    <w:rsid w:val="006472E7"/>
    <w:rsid w:val="006567B4"/>
    <w:rsid w:val="006827F2"/>
    <w:rsid w:val="00684894"/>
    <w:rsid w:val="00687DDB"/>
    <w:rsid w:val="006B1447"/>
    <w:rsid w:val="006C11D9"/>
    <w:rsid w:val="006C4B5A"/>
    <w:rsid w:val="006C7B0D"/>
    <w:rsid w:val="006F7D72"/>
    <w:rsid w:val="00707BAB"/>
    <w:rsid w:val="00715225"/>
    <w:rsid w:val="00717F14"/>
    <w:rsid w:val="00735506"/>
    <w:rsid w:val="0074073F"/>
    <w:rsid w:val="00743838"/>
    <w:rsid w:val="00746686"/>
    <w:rsid w:val="00747D97"/>
    <w:rsid w:val="007602E4"/>
    <w:rsid w:val="00763AE6"/>
    <w:rsid w:val="00764814"/>
    <w:rsid w:val="007A1811"/>
    <w:rsid w:val="007A7650"/>
    <w:rsid w:val="007B27D1"/>
    <w:rsid w:val="007C3BF7"/>
    <w:rsid w:val="007C3EDD"/>
    <w:rsid w:val="00800B6A"/>
    <w:rsid w:val="008014ED"/>
    <w:rsid w:val="008034E6"/>
    <w:rsid w:val="008045F7"/>
    <w:rsid w:val="00807D51"/>
    <w:rsid w:val="00810658"/>
    <w:rsid w:val="00825893"/>
    <w:rsid w:val="008533F3"/>
    <w:rsid w:val="00853F4B"/>
    <w:rsid w:val="00860822"/>
    <w:rsid w:val="00877C11"/>
    <w:rsid w:val="008811B4"/>
    <w:rsid w:val="00897769"/>
    <w:rsid w:val="008A39F4"/>
    <w:rsid w:val="008B3D9B"/>
    <w:rsid w:val="008D2C8C"/>
    <w:rsid w:val="008D34EC"/>
    <w:rsid w:val="008D5FDB"/>
    <w:rsid w:val="008D69FF"/>
    <w:rsid w:val="008D6C32"/>
    <w:rsid w:val="008E4505"/>
    <w:rsid w:val="008F4075"/>
    <w:rsid w:val="008F5329"/>
    <w:rsid w:val="00911193"/>
    <w:rsid w:val="00912E32"/>
    <w:rsid w:val="009153E9"/>
    <w:rsid w:val="00921B00"/>
    <w:rsid w:val="00936167"/>
    <w:rsid w:val="0093616B"/>
    <w:rsid w:val="0093620E"/>
    <w:rsid w:val="00937F3B"/>
    <w:rsid w:val="00944AD6"/>
    <w:rsid w:val="0098779A"/>
    <w:rsid w:val="009B1CF7"/>
    <w:rsid w:val="009B5B91"/>
    <w:rsid w:val="009C07C8"/>
    <w:rsid w:val="009C5825"/>
    <w:rsid w:val="009D29FC"/>
    <w:rsid w:val="009D755A"/>
    <w:rsid w:val="009D7CB6"/>
    <w:rsid w:val="009E0410"/>
    <w:rsid w:val="009E0797"/>
    <w:rsid w:val="009E15F9"/>
    <w:rsid w:val="009E3CA8"/>
    <w:rsid w:val="009F0CDF"/>
    <w:rsid w:val="009F42A5"/>
    <w:rsid w:val="009F5805"/>
    <w:rsid w:val="00A055F7"/>
    <w:rsid w:val="00A251E3"/>
    <w:rsid w:val="00A34701"/>
    <w:rsid w:val="00A524F4"/>
    <w:rsid w:val="00A74C9A"/>
    <w:rsid w:val="00A863BC"/>
    <w:rsid w:val="00AA13D9"/>
    <w:rsid w:val="00AA32A6"/>
    <w:rsid w:val="00AA4977"/>
    <w:rsid w:val="00AA6CD6"/>
    <w:rsid w:val="00AB0B72"/>
    <w:rsid w:val="00AC1591"/>
    <w:rsid w:val="00AD03B5"/>
    <w:rsid w:val="00AD3F92"/>
    <w:rsid w:val="00AF3DAD"/>
    <w:rsid w:val="00B0005A"/>
    <w:rsid w:val="00B06BFA"/>
    <w:rsid w:val="00B13595"/>
    <w:rsid w:val="00B25AA7"/>
    <w:rsid w:val="00B91E06"/>
    <w:rsid w:val="00B95165"/>
    <w:rsid w:val="00BA404E"/>
    <w:rsid w:val="00BA599A"/>
    <w:rsid w:val="00BB1F33"/>
    <w:rsid w:val="00BC5291"/>
    <w:rsid w:val="00BD2FE2"/>
    <w:rsid w:val="00BD6132"/>
    <w:rsid w:val="00BE1D08"/>
    <w:rsid w:val="00BE4923"/>
    <w:rsid w:val="00BE6B4B"/>
    <w:rsid w:val="00BF5C48"/>
    <w:rsid w:val="00BF7626"/>
    <w:rsid w:val="00C03F79"/>
    <w:rsid w:val="00C100DA"/>
    <w:rsid w:val="00C1361F"/>
    <w:rsid w:val="00C32A7A"/>
    <w:rsid w:val="00C55034"/>
    <w:rsid w:val="00C63344"/>
    <w:rsid w:val="00C64083"/>
    <w:rsid w:val="00C65503"/>
    <w:rsid w:val="00C94C57"/>
    <w:rsid w:val="00CB51B9"/>
    <w:rsid w:val="00CB575A"/>
    <w:rsid w:val="00CB6CF2"/>
    <w:rsid w:val="00CB6F2E"/>
    <w:rsid w:val="00CD54E6"/>
    <w:rsid w:val="00CD579D"/>
    <w:rsid w:val="00CD6AE7"/>
    <w:rsid w:val="00CE7155"/>
    <w:rsid w:val="00CE75D6"/>
    <w:rsid w:val="00D0775D"/>
    <w:rsid w:val="00D14D77"/>
    <w:rsid w:val="00D25B8A"/>
    <w:rsid w:val="00D32201"/>
    <w:rsid w:val="00D57F18"/>
    <w:rsid w:val="00D62775"/>
    <w:rsid w:val="00D62D5E"/>
    <w:rsid w:val="00D6486D"/>
    <w:rsid w:val="00D717B5"/>
    <w:rsid w:val="00D72A54"/>
    <w:rsid w:val="00DA4A9C"/>
    <w:rsid w:val="00DB197F"/>
    <w:rsid w:val="00DB35B7"/>
    <w:rsid w:val="00DB5F9F"/>
    <w:rsid w:val="00DC125E"/>
    <w:rsid w:val="00DC46F4"/>
    <w:rsid w:val="00DC780C"/>
    <w:rsid w:val="00DD7929"/>
    <w:rsid w:val="00DE5D39"/>
    <w:rsid w:val="00DE5FB5"/>
    <w:rsid w:val="00DF76B2"/>
    <w:rsid w:val="00E03855"/>
    <w:rsid w:val="00E0527C"/>
    <w:rsid w:val="00E06D7B"/>
    <w:rsid w:val="00E1720D"/>
    <w:rsid w:val="00E20790"/>
    <w:rsid w:val="00E214A4"/>
    <w:rsid w:val="00E23A59"/>
    <w:rsid w:val="00E2660D"/>
    <w:rsid w:val="00E47286"/>
    <w:rsid w:val="00E52BDC"/>
    <w:rsid w:val="00E57B5E"/>
    <w:rsid w:val="00E61006"/>
    <w:rsid w:val="00E73CF5"/>
    <w:rsid w:val="00E77F9F"/>
    <w:rsid w:val="00E84589"/>
    <w:rsid w:val="00E95890"/>
    <w:rsid w:val="00EA3DEC"/>
    <w:rsid w:val="00EB3948"/>
    <w:rsid w:val="00EC1DFA"/>
    <w:rsid w:val="00ED01BA"/>
    <w:rsid w:val="00ED225F"/>
    <w:rsid w:val="00ED7C82"/>
    <w:rsid w:val="00EF23B2"/>
    <w:rsid w:val="00EF4E4C"/>
    <w:rsid w:val="00EF629D"/>
    <w:rsid w:val="00F17DD5"/>
    <w:rsid w:val="00F209A0"/>
    <w:rsid w:val="00F31C1A"/>
    <w:rsid w:val="00F41766"/>
    <w:rsid w:val="00F46C3F"/>
    <w:rsid w:val="00F53370"/>
    <w:rsid w:val="00F62BC5"/>
    <w:rsid w:val="00F71E34"/>
    <w:rsid w:val="00F7358A"/>
    <w:rsid w:val="00F74CF0"/>
    <w:rsid w:val="00F75D16"/>
    <w:rsid w:val="00F90788"/>
    <w:rsid w:val="00FA37C8"/>
    <w:rsid w:val="00FB3835"/>
    <w:rsid w:val="00FB5828"/>
    <w:rsid w:val="00FC7605"/>
    <w:rsid w:val="00FD399D"/>
    <w:rsid w:val="00FD738A"/>
    <w:rsid w:val="00FE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381E"/>
  <w15:chartTrackingRefBased/>
  <w15:docId w15:val="{5ED12BFD-EE13-4115-8F07-5E85FFB5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6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A60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0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0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0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0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0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0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0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0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0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0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0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050"/>
    <w:rPr>
      <w:rFonts w:eastAsiaTheme="majorEastAsia" w:cstheme="majorBidi"/>
      <w:color w:val="272727" w:themeColor="text1" w:themeTint="D8"/>
    </w:rPr>
  </w:style>
  <w:style w:type="paragraph" w:styleId="Title">
    <w:name w:val="Title"/>
    <w:basedOn w:val="Normal"/>
    <w:next w:val="Normal"/>
    <w:link w:val="TitleChar"/>
    <w:uiPriority w:val="10"/>
    <w:qFormat/>
    <w:rsid w:val="001A6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0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050"/>
    <w:pPr>
      <w:spacing w:before="160"/>
      <w:jc w:val="center"/>
    </w:pPr>
    <w:rPr>
      <w:i/>
      <w:iCs/>
      <w:color w:val="404040" w:themeColor="text1" w:themeTint="BF"/>
    </w:rPr>
  </w:style>
  <w:style w:type="character" w:customStyle="1" w:styleId="QuoteChar">
    <w:name w:val="Quote Char"/>
    <w:basedOn w:val="DefaultParagraphFont"/>
    <w:link w:val="Quote"/>
    <w:uiPriority w:val="29"/>
    <w:rsid w:val="001A6050"/>
    <w:rPr>
      <w:i/>
      <w:iCs/>
      <w:color w:val="404040" w:themeColor="text1" w:themeTint="BF"/>
    </w:rPr>
  </w:style>
  <w:style w:type="paragraph" w:styleId="ListParagraph">
    <w:name w:val="List Paragraph"/>
    <w:basedOn w:val="Normal"/>
    <w:uiPriority w:val="34"/>
    <w:qFormat/>
    <w:rsid w:val="001A6050"/>
    <w:pPr>
      <w:ind w:left="720"/>
      <w:contextualSpacing/>
    </w:pPr>
  </w:style>
  <w:style w:type="character" w:styleId="IntenseEmphasis">
    <w:name w:val="Intense Emphasis"/>
    <w:basedOn w:val="DefaultParagraphFont"/>
    <w:uiPriority w:val="21"/>
    <w:qFormat/>
    <w:rsid w:val="001A6050"/>
    <w:rPr>
      <w:i/>
      <w:iCs/>
      <w:color w:val="0F4761" w:themeColor="accent1" w:themeShade="BF"/>
    </w:rPr>
  </w:style>
  <w:style w:type="paragraph" w:styleId="IntenseQuote">
    <w:name w:val="Intense Quote"/>
    <w:basedOn w:val="Normal"/>
    <w:next w:val="Normal"/>
    <w:link w:val="IntenseQuoteChar"/>
    <w:uiPriority w:val="30"/>
    <w:qFormat/>
    <w:rsid w:val="001A6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050"/>
    <w:rPr>
      <w:i/>
      <w:iCs/>
      <w:color w:val="0F4761" w:themeColor="accent1" w:themeShade="BF"/>
    </w:rPr>
  </w:style>
  <w:style w:type="character" w:styleId="IntenseReference">
    <w:name w:val="Intense Reference"/>
    <w:basedOn w:val="DefaultParagraphFont"/>
    <w:uiPriority w:val="32"/>
    <w:qFormat/>
    <w:rsid w:val="001A6050"/>
    <w:rPr>
      <w:b/>
      <w:bCs/>
      <w:smallCaps/>
      <w:color w:val="0F4761" w:themeColor="accent1" w:themeShade="BF"/>
      <w:spacing w:val="5"/>
    </w:rPr>
  </w:style>
  <w:style w:type="character" w:styleId="Hyperlink">
    <w:name w:val="Hyperlink"/>
    <w:basedOn w:val="DefaultParagraphFont"/>
    <w:uiPriority w:val="99"/>
    <w:unhideWhenUsed/>
    <w:rsid w:val="00416A2C"/>
    <w:rPr>
      <w:color w:val="467886" w:themeColor="hyperlink"/>
      <w:u w:val="single"/>
    </w:rPr>
  </w:style>
  <w:style w:type="character" w:customStyle="1" w:styleId="UnresolvedMention1">
    <w:name w:val="Unresolved Mention1"/>
    <w:basedOn w:val="DefaultParagraphFont"/>
    <w:uiPriority w:val="99"/>
    <w:semiHidden/>
    <w:unhideWhenUsed/>
    <w:rsid w:val="00416A2C"/>
    <w:rPr>
      <w:color w:val="605E5C"/>
      <w:shd w:val="clear" w:color="auto" w:fill="E1DFDD"/>
    </w:rPr>
  </w:style>
  <w:style w:type="character" w:styleId="CommentReference">
    <w:name w:val="annotation reference"/>
    <w:basedOn w:val="DefaultParagraphFont"/>
    <w:uiPriority w:val="99"/>
    <w:unhideWhenUsed/>
    <w:qFormat/>
    <w:rsid w:val="007C3EDD"/>
    <w:rPr>
      <w:sz w:val="16"/>
      <w:szCs w:val="16"/>
    </w:rPr>
  </w:style>
  <w:style w:type="paragraph" w:styleId="CommentText">
    <w:name w:val="annotation text"/>
    <w:basedOn w:val="Normal"/>
    <w:link w:val="CommentTextChar"/>
    <w:unhideWhenUsed/>
    <w:rsid w:val="007C3EDD"/>
    <w:pPr>
      <w:spacing w:after="0" w:line="240" w:lineRule="auto"/>
    </w:pPr>
    <w:rPr>
      <w:rFonts w:ascii="Times New Roman" w:eastAsia="Times New Roman" w:hAnsi="Times New Roman" w:cs="Times New Roman"/>
      <w:kern w:val="0"/>
      <w:sz w:val="20"/>
      <w:szCs w:val="20"/>
      <w:lang w:val="lt-LT"/>
      <w14:ligatures w14:val="none"/>
    </w:rPr>
  </w:style>
  <w:style w:type="character" w:customStyle="1" w:styleId="CommentTextChar">
    <w:name w:val="Comment Text Char"/>
    <w:basedOn w:val="DefaultParagraphFont"/>
    <w:link w:val="CommentText"/>
    <w:uiPriority w:val="99"/>
    <w:rsid w:val="007C3EDD"/>
    <w:rPr>
      <w:rFonts w:ascii="Times New Roman" w:eastAsia="Times New Roman" w:hAnsi="Times New Roman" w:cs="Times New Roman"/>
      <w:kern w:val="0"/>
      <w:sz w:val="20"/>
      <w:szCs w:val="20"/>
      <w:lang w:val="lt-LT"/>
      <w14:ligatures w14:val="none"/>
    </w:rPr>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391A84"/>
    <w:pPr>
      <w:spacing w:after="0" w:line="240" w:lineRule="auto"/>
    </w:pPr>
    <w:rPr>
      <w:kern w:val="0"/>
      <w:sz w:val="20"/>
      <w:szCs w:val="20"/>
      <w:lang w:val="lt-LT"/>
      <w14:ligatures w14:val="none"/>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391A84"/>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391A84"/>
    <w:rPr>
      <w:vertAlign w:val="superscript"/>
    </w:rPr>
  </w:style>
  <w:style w:type="character" w:styleId="UnresolvedMention">
    <w:name w:val="Unresolved Mention"/>
    <w:basedOn w:val="DefaultParagraphFont"/>
    <w:uiPriority w:val="99"/>
    <w:semiHidden/>
    <w:unhideWhenUsed/>
    <w:rsid w:val="009E0797"/>
    <w:rPr>
      <w:color w:val="605E5C"/>
      <w:shd w:val="clear" w:color="auto" w:fill="E1DFDD"/>
    </w:rPr>
  </w:style>
  <w:style w:type="character" w:styleId="FollowedHyperlink">
    <w:name w:val="FollowedHyperlink"/>
    <w:basedOn w:val="DefaultParagraphFont"/>
    <w:uiPriority w:val="99"/>
    <w:semiHidden/>
    <w:unhideWhenUsed/>
    <w:rsid w:val="00BD6132"/>
    <w:rPr>
      <w:color w:val="96607D" w:themeColor="followedHyperlink"/>
      <w:u w:val="single"/>
    </w:rPr>
  </w:style>
  <w:style w:type="paragraph" w:customStyle="1" w:styleId="paragraph">
    <w:name w:val="paragraph"/>
    <w:basedOn w:val="Normal"/>
    <w:rsid w:val="00D717B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267B68"/>
    <w:pPr>
      <w:spacing w:after="160"/>
    </w:pPr>
    <w:rPr>
      <w:rFonts w:asciiTheme="minorHAnsi" w:eastAsiaTheme="minorHAnsi" w:hAnsiTheme="minorHAnsi" w:cstheme="minorBidi"/>
      <w:b/>
      <w:bCs/>
      <w:kern w:val="2"/>
      <w:lang w:val="en-US"/>
      <w14:ligatures w14:val="standardContextual"/>
    </w:rPr>
  </w:style>
  <w:style w:type="character" w:customStyle="1" w:styleId="CommentSubjectChar">
    <w:name w:val="Comment Subject Char"/>
    <w:basedOn w:val="CommentTextChar"/>
    <w:link w:val="CommentSubject"/>
    <w:uiPriority w:val="99"/>
    <w:semiHidden/>
    <w:rsid w:val="00267B68"/>
    <w:rPr>
      <w:rFonts w:ascii="Times New Roman" w:eastAsia="Times New Roman" w:hAnsi="Times New Roman" w:cs="Times New Roman"/>
      <w:b/>
      <w:bCs/>
      <w:kern w:val="0"/>
      <w:sz w:val="20"/>
      <w:szCs w:val="20"/>
      <w:lang w:val="lt-LT"/>
      <w14:ligatures w14:val="none"/>
    </w:rPr>
  </w:style>
  <w:style w:type="paragraph" w:styleId="Revision">
    <w:name w:val="Revision"/>
    <w:hidden/>
    <w:uiPriority w:val="99"/>
    <w:semiHidden/>
    <w:rsid w:val="00EF4E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43522381/19113/Skelbimas_apie_pirkim%C4%85_2025_04_01.pptx" TargetMode="External"/><Relationship Id="rId13" Type="http://schemas.openxmlformats.org/officeDocument/2006/relationships/hyperlink" Target="https://e-seimas.lrs.lt/portal/legalAct/lt/TAD/e0458643b88611e6a3e9de0fc8d85cd8/khiadWSLN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c14e6210afe511e6b844f0f29024f5ac/BvSbVwyZN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c14e6210afe511e6b844f0f29024f5ac/QfUCYBbxT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media/viesa/saugykla/2024/7/Y4QabEOlhOI.pdf" TargetMode="External"/><Relationship Id="rId4" Type="http://schemas.openxmlformats.org/officeDocument/2006/relationships/settings" Target="settings.xml"/><Relationship Id="rId9" Type="http://schemas.openxmlformats.org/officeDocument/2006/relationships/hyperlink" Target="https://vpt.lrv.lt/public/canonical/1740118315/18940/Prane%C5%A1imas_apie_pakeitimus_2025_02_21.pptx"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Statybos_darbu_gaires_2023-07-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587FB-7B01-4DF0-9606-6FE7BF04E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1791</Words>
  <Characters>10214</Characters>
  <Application>Microsoft Office Word</Application>
  <DocSecurity>0</DocSecurity>
  <Lines>85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3</cp:revision>
  <dcterms:created xsi:type="dcterms:W3CDTF">2025-06-11T12:11:00Z</dcterms:created>
  <dcterms:modified xsi:type="dcterms:W3CDTF">2025-06-11T12:18:00Z</dcterms:modified>
</cp:coreProperties>
</file>