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642F" w14:textId="77777777" w:rsidR="000600AC" w:rsidRPr="00796550" w:rsidRDefault="000600AC" w:rsidP="000600AC">
      <w:pPr>
        <w:spacing w:after="0" w:line="276" w:lineRule="auto"/>
        <w:ind w:firstLine="709"/>
        <w:rPr>
          <w:rFonts w:ascii="Calibri" w:eastAsia="Calibri" w:hAnsi="Calibri" w:cs="Calibri"/>
          <w:sz w:val="24"/>
          <w:szCs w:val="24"/>
          <w:lang w:val="lt-LT"/>
        </w:rPr>
      </w:pPr>
      <w:r w:rsidRPr="00796550">
        <w:rPr>
          <w:rFonts w:ascii="Calibri" w:eastAsia="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1E3A58FC" w14:textId="77777777" w:rsidR="000600AC" w:rsidRPr="00796550" w:rsidRDefault="000600AC" w:rsidP="000600AC">
      <w:pPr>
        <w:shd w:val="clear" w:color="auto" w:fill="FFFFFF"/>
        <w:spacing w:after="0" w:line="276" w:lineRule="auto"/>
        <w:ind w:firstLine="709"/>
        <w:rPr>
          <w:rFonts w:ascii="Calibri" w:eastAsia="Times New Roman" w:hAnsi="Calibri" w:cs="Calibri"/>
          <w:color w:val="333333"/>
          <w:kern w:val="0"/>
          <w:sz w:val="24"/>
          <w:szCs w:val="24"/>
          <w:lang w:val="lt-LT"/>
          <w14:ligatures w14:val="none"/>
        </w:rPr>
      </w:pPr>
      <w:r w:rsidRPr="00796550">
        <w:rPr>
          <w:rFonts w:ascii="Calibri" w:eastAsia="Calibri" w:hAnsi="Calibri" w:cs="Calibri"/>
          <w:sz w:val="24"/>
          <w:szCs w:val="24"/>
          <w:lang w:val="lt-LT"/>
        </w:rPr>
        <w:t xml:space="preserve">Vadovaujantis Tarnybai Įstatyme nustatyta pažeidimų prevencijos funkcija, šiuo metu atliekama </w:t>
      </w:r>
      <w:r w:rsidRPr="00796550">
        <w:rPr>
          <w:rFonts w:ascii="Calibri" w:eastAsia="Calibri" w:hAnsi="Calibri" w:cs="Calibri"/>
          <w:b/>
          <w:bCs/>
          <w:sz w:val="24"/>
          <w:szCs w:val="24"/>
          <w:lang w:val="lt-LT"/>
        </w:rPr>
        <w:t xml:space="preserve">Šiaulių rajono savivaldybės administracijos </w:t>
      </w:r>
      <w:r w:rsidRPr="00796550">
        <w:rPr>
          <w:rFonts w:ascii="Calibri" w:eastAsia="Calibri" w:hAnsi="Calibri" w:cs="Calibri"/>
          <w:sz w:val="24"/>
          <w:szCs w:val="24"/>
          <w:lang w:val="lt-LT"/>
        </w:rPr>
        <w:t xml:space="preserve">(toliau – Perkančioji organizacija) </w:t>
      </w:r>
      <w:r>
        <w:rPr>
          <w:rFonts w:ascii="Calibri" w:eastAsia="Calibri" w:hAnsi="Calibri" w:cs="Calibri"/>
          <w:sz w:val="24"/>
          <w:szCs w:val="24"/>
          <w:lang w:val="lt-LT"/>
        </w:rPr>
        <w:t xml:space="preserve">pakartotinai </w:t>
      </w:r>
      <w:r w:rsidRPr="00796550">
        <w:rPr>
          <w:rFonts w:ascii="Calibri" w:eastAsia="Calibri" w:hAnsi="Calibri" w:cs="Calibri"/>
          <w:sz w:val="24"/>
          <w:szCs w:val="24"/>
          <w:lang w:val="lt-LT"/>
        </w:rPr>
        <w:t>vykdomo pirkimo Nr.</w:t>
      </w:r>
      <w:r w:rsidRPr="00796550">
        <w:rPr>
          <w:rFonts w:ascii="Calibri" w:eastAsia="Calibri" w:hAnsi="Calibri" w:cs="Calibri"/>
          <w:b/>
          <w:bCs/>
          <w:sz w:val="24"/>
          <w:szCs w:val="24"/>
          <w:lang w:val="lt-LT"/>
        </w:rPr>
        <w:t xml:space="preserve"> 2816842 „Gyvenamosios paskirties (įvairių socialinių grupių asmenims) namo, Ventos g. 13A, Kuršėnai, Šiaulių r. sav., naujos statybos darbai (Supaprastintas atviras konkursas)“</w:t>
      </w:r>
      <w:r w:rsidRPr="00796550">
        <w:rPr>
          <w:rFonts w:ascii="Calibri" w:eastAsia="Calibri" w:hAnsi="Calibri" w:cs="Calibri"/>
          <w:sz w:val="24"/>
          <w:szCs w:val="24"/>
          <w:lang w:val="lt-LT"/>
        </w:rPr>
        <w:t xml:space="preserve"> (toliau – Pirkimas) dokumentų atitikties Įstatymui ir su jo įgyvendinimu susijusiems teisės aktams peržiūra (peržiūra prevenciniais tikslais atliekama tam tikra apimtimi).</w:t>
      </w:r>
    </w:p>
    <w:p w14:paraId="3F748367" w14:textId="77777777" w:rsidR="000600AC" w:rsidRPr="00796550" w:rsidRDefault="000600AC" w:rsidP="000600AC">
      <w:pPr>
        <w:spacing w:after="0" w:line="276" w:lineRule="auto"/>
        <w:ind w:firstLine="709"/>
        <w:rPr>
          <w:rFonts w:ascii="Calibri" w:eastAsia="Calibri" w:hAnsi="Calibri" w:cs="Calibri"/>
          <w:sz w:val="24"/>
          <w:szCs w:val="24"/>
          <w:lang w:val="lt-LT"/>
        </w:rPr>
      </w:pPr>
      <w:r>
        <w:rPr>
          <w:rFonts w:ascii="Calibri" w:eastAsia="Calibri" w:hAnsi="Calibri" w:cs="Calibri"/>
          <w:sz w:val="24"/>
          <w:szCs w:val="24"/>
          <w:lang w:val="lt-LT"/>
        </w:rPr>
        <w:t>Atkreiptinas dėmesys, kad Tarnyba atliko prieš tai vykdyto pirkimo Nr. 2257404 „</w:t>
      </w:r>
      <w:r w:rsidRPr="00A80300">
        <w:rPr>
          <w:rFonts w:ascii="Calibri" w:eastAsia="Calibri" w:hAnsi="Calibri" w:cs="Calibri"/>
          <w:sz w:val="24"/>
          <w:szCs w:val="24"/>
          <w:lang w:val="lt-LT"/>
        </w:rPr>
        <w:t>Gyvenamosios paskirties (įvairių socialinių grupių asmenims) namo, Ventos g. 13A, Kuršėnai, Šiaulių r. sav., naujos statybos darbai (Supaprastintas atviras konkursas)“</w:t>
      </w:r>
      <w:r>
        <w:rPr>
          <w:rFonts w:ascii="Calibri" w:eastAsia="Calibri" w:hAnsi="Calibri" w:cs="Calibri"/>
          <w:sz w:val="24"/>
          <w:szCs w:val="24"/>
          <w:lang w:val="lt-LT"/>
        </w:rPr>
        <w:t xml:space="preserve"> prevencinę peržiūrą, pateikė savo pastabas ir rekomendacijas, tačiau į dalį teiktų rekomendacijų Perkančioji organizacija neatsižvelgė arba pirkimo dokumentus patikslino netinkamai, todėl </w:t>
      </w:r>
      <w:r w:rsidRPr="00796550">
        <w:rPr>
          <w:rFonts w:ascii="Calibri" w:eastAsia="Calibri" w:hAnsi="Calibri" w:cs="Calibri"/>
          <w:sz w:val="24"/>
          <w:szCs w:val="24"/>
          <w:lang w:val="lt-LT"/>
        </w:rPr>
        <w:t>Tarnyba</w:t>
      </w:r>
      <w:r>
        <w:rPr>
          <w:rFonts w:ascii="Calibri" w:eastAsia="Calibri" w:hAnsi="Calibri" w:cs="Calibri"/>
          <w:sz w:val="24"/>
          <w:szCs w:val="24"/>
          <w:lang w:val="lt-LT"/>
        </w:rPr>
        <w:t xml:space="preserve"> pakartotinai</w:t>
      </w:r>
      <w:r w:rsidRPr="00796550">
        <w:rPr>
          <w:rFonts w:ascii="Calibri" w:eastAsia="Calibri" w:hAnsi="Calibri" w:cs="Calibri"/>
          <w:sz w:val="24"/>
          <w:szCs w:val="24"/>
          <w:lang w:val="lt-LT"/>
        </w:rPr>
        <w:t xml:space="preserve"> teikia pastabas ir rekomendacijas (toliau – Rekomendacija) dėl Pirkimo dokumentų nuostatų.</w:t>
      </w:r>
    </w:p>
    <w:p w14:paraId="3C81A8D8" w14:textId="77777777" w:rsidR="000600AC" w:rsidRPr="00796550" w:rsidRDefault="000600AC" w:rsidP="000600AC">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sidRPr="00796550">
        <w:rPr>
          <w:rFonts w:ascii="Calibri" w:hAnsi="Calibri" w:cs="Calibri"/>
          <w:b/>
          <w:bCs/>
          <w:sz w:val="24"/>
          <w:szCs w:val="24"/>
          <w:lang w:val="lt-LT"/>
        </w:rPr>
        <w:t>Dėl skelbimo apie pirkimą informacijos </w:t>
      </w:r>
    </w:p>
    <w:p w14:paraId="55374DF2" w14:textId="77777777" w:rsidR="000600AC" w:rsidRPr="00796550" w:rsidRDefault="000600AC" w:rsidP="000600AC">
      <w:pPr>
        <w:pStyle w:val="ListParagraph"/>
        <w:widowControl w:val="0"/>
        <w:tabs>
          <w:tab w:val="left" w:pos="426"/>
        </w:tabs>
        <w:spacing w:after="0" w:line="276" w:lineRule="auto"/>
        <w:ind w:left="0" w:firstLine="709"/>
        <w:rPr>
          <w:rFonts w:ascii="Calibri" w:hAnsi="Calibri" w:cs="Calibri"/>
          <w:sz w:val="24"/>
          <w:szCs w:val="24"/>
          <w:lang w:val="lt-LT"/>
        </w:rPr>
      </w:pPr>
      <w:r w:rsidRPr="00796550">
        <w:rPr>
          <w:rFonts w:ascii="Calibri" w:eastAsiaTheme="minorEastAsia" w:hAnsi="Calibri" w:cs="Calibri"/>
          <w:sz w:val="24"/>
          <w:szCs w:val="24"/>
          <w:lang w:val="lt-LT" w:eastAsia="lt-LT"/>
        </w:rPr>
        <w:t xml:space="preserve">Pažymėtina, jog siekiant padėti pirkimo vykdytojams tinkamai užpildyti skelbimus, Tarnyba yra parengusi mokomąją priemonę </w:t>
      </w:r>
      <w:hyperlink r:id="rId7" w:history="1">
        <w:r w:rsidRPr="00796550">
          <w:rPr>
            <w:rStyle w:val="Hyperlink"/>
            <w:rFonts w:ascii="Calibri" w:hAnsi="Calibri" w:cs="Calibri"/>
            <w:sz w:val="24"/>
            <w:szCs w:val="24"/>
            <w:lang w:val="lt-LT"/>
          </w:rPr>
          <w:t>Skelbimas apie pirkimą</w:t>
        </w:r>
      </w:hyperlink>
      <w:r w:rsidRPr="00796550">
        <w:rPr>
          <w:rFonts w:ascii="Calibri" w:eastAsiaTheme="minorEastAsia" w:hAnsi="Calibri" w:cs="Calibri"/>
          <w:sz w:val="24"/>
          <w:szCs w:val="24"/>
          <w:lang w:val="lt-LT" w:eastAsia="lt-LT"/>
        </w:rPr>
        <w:t xml:space="preserve">, kurios 18 skaidrėje pateikta informacija, kaip turi būti pildoma informacija </w:t>
      </w:r>
      <w:r w:rsidRPr="00796550">
        <w:rPr>
          <w:rFonts w:ascii="Calibri" w:eastAsiaTheme="minorEastAsia" w:hAnsi="Calibri" w:cs="Calibri"/>
          <w:b/>
          <w:bCs/>
          <w:sz w:val="24"/>
          <w:szCs w:val="24"/>
          <w:lang w:val="lt-LT" w:eastAsia="lt-LT"/>
        </w:rPr>
        <w:t>apie numatomą sutarties galiojimą</w:t>
      </w:r>
      <w:r w:rsidRPr="00796550">
        <w:rPr>
          <w:rFonts w:ascii="Calibri" w:eastAsiaTheme="minorEastAsia" w:hAnsi="Calibri" w:cs="Calibri"/>
          <w:sz w:val="24"/>
          <w:szCs w:val="24"/>
          <w:lang w:val="lt-LT" w:eastAsia="lt-LT"/>
        </w:rPr>
        <w:t>.</w:t>
      </w:r>
    </w:p>
    <w:p w14:paraId="45B610D5" w14:textId="77777777" w:rsidR="000600AC" w:rsidRPr="00796550" w:rsidRDefault="000600AC" w:rsidP="000600AC">
      <w:pPr>
        <w:widowControl w:val="0"/>
        <w:tabs>
          <w:tab w:val="left" w:pos="426"/>
        </w:tabs>
        <w:spacing w:after="0" w:line="276" w:lineRule="auto"/>
        <w:ind w:firstLine="709"/>
        <w:rPr>
          <w:rFonts w:ascii="Calibri" w:hAnsi="Calibri" w:cs="Calibri"/>
          <w:sz w:val="24"/>
          <w:szCs w:val="24"/>
          <w:lang w:val="lt-LT"/>
        </w:rPr>
      </w:pPr>
      <w:r w:rsidRPr="00796550">
        <w:rPr>
          <w:rFonts w:ascii="Calibri" w:hAnsi="Calibri" w:cs="Calibri"/>
          <w:sz w:val="24"/>
          <w:szCs w:val="24"/>
          <w:lang w:val="lt-LT"/>
        </w:rPr>
        <w:t xml:space="preserve">Skelbimo apie pirkimą 5.1.3 papunktyje nurodyta, kad numatomas </w:t>
      </w:r>
      <w:r w:rsidRPr="00796550">
        <w:rPr>
          <w:rFonts w:ascii="Calibri" w:hAnsi="Calibri" w:cs="Calibri"/>
          <w:b/>
          <w:bCs/>
          <w:sz w:val="24"/>
          <w:szCs w:val="24"/>
          <w:lang w:val="lt-LT"/>
        </w:rPr>
        <w:t>Sutarties galiojimas 15 mėnesių</w:t>
      </w:r>
      <w:r w:rsidRPr="00796550">
        <w:rPr>
          <w:rFonts w:ascii="Calibri" w:hAnsi="Calibri" w:cs="Calibri"/>
          <w:sz w:val="24"/>
          <w:szCs w:val="24"/>
          <w:lang w:val="lt-LT"/>
        </w:rPr>
        <w:t xml:space="preserve">, tačiau Sutarties projekto (Pirkimo Specialiųjų sąlygų 8 priedas) (toliau – Sutarties projektas) 3.4 punkte nustatyta, kad </w:t>
      </w:r>
      <w:r w:rsidRPr="00796550">
        <w:rPr>
          <w:rFonts w:ascii="Calibri" w:hAnsi="Calibri" w:cs="Calibri"/>
          <w:b/>
          <w:bCs/>
          <w:sz w:val="24"/>
          <w:szCs w:val="24"/>
          <w:lang w:val="lt-LT"/>
        </w:rPr>
        <w:t>darbų atlikimo terminas</w:t>
      </w:r>
      <w:r w:rsidRPr="00796550">
        <w:rPr>
          <w:rFonts w:ascii="Calibri" w:hAnsi="Calibri" w:cs="Calibri"/>
          <w:sz w:val="24"/>
          <w:szCs w:val="24"/>
          <w:lang w:val="lt-LT"/>
        </w:rPr>
        <w:t xml:space="preserve"> – </w:t>
      </w:r>
      <w:r w:rsidRPr="00796550">
        <w:rPr>
          <w:rFonts w:ascii="Calibri" w:hAnsi="Calibri" w:cs="Calibri"/>
          <w:b/>
          <w:bCs/>
          <w:sz w:val="24"/>
          <w:szCs w:val="24"/>
          <w:lang w:val="lt-LT"/>
        </w:rPr>
        <w:t>14 mėnesių</w:t>
      </w:r>
      <w:r w:rsidRPr="00796550">
        <w:rPr>
          <w:rFonts w:ascii="Calibri" w:hAnsi="Calibri" w:cs="Calibri"/>
          <w:sz w:val="24"/>
          <w:szCs w:val="24"/>
          <w:lang w:val="lt-LT"/>
        </w:rPr>
        <w:t xml:space="preserve"> nuo Sutarties pasirašymo dienos, darbų atlikimo terminas gali būti pratęstas iki</w:t>
      </w:r>
      <w:r w:rsidRPr="00796550">
        <w:rPr>
          <w:rFonts w:ascii="Calibri" w:hAnsi="Calibri" w:cs="Calibri"/>
          <w:b/>
          <w:bCs/>
          <w:sz w:val="24"/>
          <w:szCs w:val="24"/>
          <w:lang w:val="lt-LT"/>
        </w:rPr>
        <w:t xml:space="preserve"> 2 mėnesių</w:t>
      </w:r>
      <w:r w:rsidRPr="00796550">
        <w:rPr>
          <w:rFonts w:ascii="Calibri" w:hAnsi="Calibri" w:cs="Calibri"/>
          <w:sz w:val="24"/>
          <w:szCs w:val="24"/>
          <w:lang w:val="lt-LT"/>
        </w:rPr>
        <w:t xml:space="preserve">, mokėjimo terminas </w:t>
      </w:r>
      <w:r w:rsidRPr="00796550">
        <w:rPr>
          <w:rFonts w:ascii="Calibri" w:hAnsi="Calibri" w:cs="Calibri"/>
          <w:b/>
          <w:bCs/>
          <w:sz w:val="24"/>
          <w:szCs w:val="24"/>
          <w:lang w:val="lt-LT"/>
        </w:rPr>
        <w:t>– 30 dienų</w:t>
      </w:r>
      <w:r w:rsidRPr="00796550">
        <w:rPr>
          <w:rFonts w:ascii="Calibri" w:hAnsi="Calibri" w:cs="Calibri"/>
          <w:sz w:val="24"/>
          <w:szCs w:val="24"/>
          <w:lang w:val="lt-LT"/>
        </w:rPr>
        <w:t>. Sutarties projekto 8 skyriuje apibrėžta statinio statybos užbaigimo procedūra, 9.6 punkte nurodyta – „Galutinį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w:t>
      </w:r>
    </w:p>
    <w:p w14:paraId="74B0A600" w14:textId="77777777" w:rsidR="000600AC" w:rsidRPr="00796550" w:rsidRDefault="000600AC" w:rsidP="000600AC">
      <w:pPr>
        <w:pStyle w:val="ListParagraph"/>
        <w:widowControl w:val="0"/>
        <w:tabs>
          <w:tab w:val="left" w:pos="426"/>
        </w:tabs>
        <w:spacing w:after="0" w:line="276" w:lineRule="auto"/>
        <w:ind w:left="0" w:firstLine="709"/>
        <w:rPr>
          <w:rFonts w:ascii="Calibri" w:eastAsiaTheme="minorEastAsia" w:hAnsi="Calibri" w:cs="Calibri"/>
          <w:sz w:val="24"/>
          <w:szCs w:val="24"/>
          <w:lang w:val="lt-LT" w:eastAsia="lt-LT"/>
        </w:rPr>
      </w:pPr>
      <w:r w:rsidRPr="00796550">
        <w:rPr>
          <w:rFonts w:ascii="Calibri" w:hAnsi="Calibri" w:cs="Calibri"/>
          <w:sz w:val="24"/>
          <w:szCs w:val="24"/>
          <w:lang w:val="lt-LT"/>
        </w:rPr>
        <w:t xml:space="preserve">Atsižvelgiant į tai, kad skelbime apie pirkimą turi būti nurodomas </w:t>
      </w:r>
      <w:r w:rsidRPr="00796550">
        <w:rPr>
          <w:rFonts w:ascii="Calibri" w:hAnsi="Calibri" w:cs="Calibri"/>
          <w:b/>
          <w:bCs/>
          <w:sz w:val="24"/>
          <w:szCs w:val="24"/>
          <w:lang w:val="lt-LT"/>
        </w:rPr>
        <w:t>Sutarties galiojimo terminas</w:t>
      </w:r>
      <w:r w:rsidRPr="00796550">
        <w:rPr>
          <w:rFonts w:ascii="Calibri" w:hAnsi="Calibri" w:cs="Calibri"/>
          <w:sz w:val="24"/>
          <w:szCs w:val="24"/>
          <w:lang w:val="lt-LT"/>
        </w:rPr>
        <w:t xml:space="preserve"> (bet ne darbų atlikimo terminas), Perkančioji organizacija turi tinkamai įsivertinti Sutarties projekte nurodytų abipusių sutartinių įsipareigojimų terminus (įskaitant galutinio atsiskaitymo terminus, visus numatomus sutarties pratęsimus, bei kitų sutartinių įsipareigojimų įvykdymo terminus) ir </w:t>
      </w:r>
      <w:hyperlink r:id="rId8" w:history="1">
        <w:r w:rsidRPr="00796550">
          <w:rPr>
            <w:rFonts w:ascii="Calibri" w:hAnsi="Calibri" w:cs="Calibri"/>
            <w:color w:val="091A5A"/>
            <w:sz w:val="24"/>
            <w:szCs w:val="24"/>
            <w:u w:val="single"/>
            <w:bdr w:val="none" w:sz="0" w:space="0" w:color="auto" w:frame="1"/>
            <w:shd w:val="clear" w:color="auto" w:fill="FFFFFF"/>
            <w:lang w:val="lt-LT"/>
          </w:rPr>
          <w:t>Pranešimu apie pakeitimus</w:t>
        </w:r>
      </w:hyperlink>
      <w:r w:rsidRPr="00796550">
        <w:rPr>
          <w:rFonts w:ascii="Calibri" w:eastAsiaTheme="minorEastAsia" w:hAnsi="Calibri" w:cs="Calibri"/>
          <w:sz w:val="24"/>
          <w:szCs w:val="24"/>
          <w:lang w:val="lt-LT" w:eastAsia="lt-LT"/>
        </w:rPr>
        <w:t xml:space="preserve"> patikslinti skelbimo apie pirkimą informaciją.</w:t>
      </w:r>
    </w:p>
    <w:p w14:paraId="37DD3A0C" w14:textId="77777777" w:rsidR="000600AC" w:rsidRDefault="000600AC" w:rsidP="000600AC">
      <w:pPr>
        <w:pStyle w:val="ListParagraph"/>
        <w:numPr>
          <w:ilvl w:val="0"/>
          <w:numId w:val="1"/>
        </w:numPr>
        <w:spacing w:after="0" w:line="276" w:lineRule="auto"/>
        <w:ind w:left="0" w:firstLine="709"/>
        <w:rPr>
          <w:rFonts w:ascii="Calibri" w:hAnsi="Calibri" w:cs="Calibri"/>
          <w:b/>
          <w:bCs/>
          <w:sz w:val="24"/>
          <w:szCs w:val="24"/>
          <w:lang w:val="lt-LT"/>
        </w:rPr>
      </w:pPr>
      <w:r w:rsidRPr="006A0648">
        <w:rPr>
          <w:rFonts w:ascii="Calibri" w:hAnsi="Calibri" w:cs="Calibri"/>
          <w:b/>
          <w:bCs/>
          <w:sz w:val="24"/>
          <w:szCs w:val="24"/>
          <w:lang w:val="lt-LT"/>
        </w:rPr>
        <w:t>Dėl Pirkimo objekto neskaidymo į dalis</w:t>
      </w:r>
    </w:p>
    <w:p w14:paraId="3D08B580" w14:textId="77777777" w:rsidR="000600AC" w:rsidRPr="00BF6B11" w:rsidRDefault="000600AC" w:rsidP="000600AC">
      <w:pPr>
        <w:tabs>
          <w:tab w:val="left" w:pos="993"/>
        </w:tabs>
        <w:spacing w:after="0" w:line="276" w:lineRule="auto"/>
        <w:ind w:firstLine="709"/>
        <w:contextualSpacing/>
        <w:rPr>
          <w:rFonts w:ascii="Calibri" w:hAnsi="Calibri" w:cs="Calibri"/>
          <w:kern w:val="0"/>
          <w:sz w:val="24"/>
          <w:szCs w:val="24"/>
          <w:lang w:val="lt-LT"/>
          <w14:ligatures w14:val="none"/>
        </w:rPr>
      </w:pPr>
      <w:r w:rsidRPr="006A0648">
        <w:rPr>
          <w:rFonts w:ascii="Calibri" w:hAnsi="Calibri" w:cs="Calibri"/>
          <w:sz w:val="24"/>
          <w:szCs w:val="24"/>
          <w:lang w:val="lt-LT"/>
        </w:rPr>
        <w:t>Pirkimo Specialiųjų sąlygų 2.2 punkte nustatyta: „</w:t>
      </w:r>
      <w:r w:rsidRPr="00A80300">
        <w:rPr>
          <w:rFonts w:ascii="Calibri" w:eastAsia="Calibri" w:hAnsi="Calibri" w:cs="Calibri"/>
          <w:sz w:val="24"/>
          <w:szCs w:val="24"/>
          <w:lang w:val="lt-LT"/>
        </w:rPr>
        <w:t>Pirkimo</w:t>
      </w:r>
      <w:r w:rsidRPr="00A80300">
        <w:rPr>
          <w:rFonts w:ascii="Calibri" w:hAnsi="Calibri" w:cs="Calibri"/>
          <w:sz w:val="24"/>
          <w:szCs w:val="24"/>
          <w:lang w:val="lt-LT"/>
        </w:rPr>
        <w:t xml:space="preserve"> objektas į dalis neskaidomas. Objektui „Gyvenamosios paskirties (įvairių socialinių grupių asmenims) pastato, Ventos g. 13A, </w:t>
      </w:r>
      <w:r w:rsidRPr="00A80300">
        <w:rPr>
          <w:rFonts w:ascii="Calibri" w:hAnsi="Calibri" w:cs="Calibri"/>
          <w:sz w:val="24"/>
          <w:szCs w:val="24"/>
          <w:lang w:val="lt-LT"/>
        </w:rPr>
        <w:lastRenderedPageBreak/>
        <w:t xml:space="preserve">Kuršėnai, Šiaulių r. sav., nauja statyba“ yra parengtas techninis projektas. Pirkimo vykdytojas turėdamas statinio projektą gali aiškiai, tiksliai, nedviprasmiškai apibrėžti pirkimo objektą: kiekius, naudojamas medžiagas ir pan. 28 straipsnio 3 dalyje įtvirtinta specialioji pirkimo objekto skaidymo į dalis taisyklė, susijusi su perkančiosios organizacijos pareiga statinio statybos darbų ir statinio projektavimo paslaugų pirkimą atlikti dalimis, t. y. statinio statybos darbų pirkimas turi būti atskirtas nuo statinio projektavimo paslaugų ir sudaromos atskiros pirkimo sutartys. </w:t>
      </w:r>
      <w:hyperlink r:id="rId9" w:history="1">
        <w:r w:rsidRPr="00BF6B11">
          <w:rPr>
            <w:rStyle w:val="Hyperlink"/>
            <w:rFonts w:ascii="Calibri" w:hAnsi="Calibri" w:cs="Calibri"/>
            <w:sz w:val="24"/>
            <w:szCs w:val="24"/>
          </w:rPr>
          <w:t>VPĮ</w:t>
        </w:r>
      </w:hyperlink>
      <w:r w:rsidRPr="00BF6B11">
        <w:rPr>
          <w:rFonts w:ascii="Calibri" w:hAnsi="Calibri" w:cs="Calibri"/>
          <w:sz w:val="24"/>
          <w:szCs w:val="24"/>
        </w:rPr>
        <w:t xml:space="preserve"> 28 </w:t>
      </w:r>
      <w:r w:rsidRPr="00A80300">
        <w:rPr>
          <w:rFonts w:ascii="Calibri" w:hAnsi="Calibri" w:cs="Calibri"/>
          <w:sz w:val="24"/>
          <w:szCs w:val="24"/>
          <w:lang w:val="lt-LT"/>
        </w:rPr>
        <w:t>straipsnio</w:t>
      </w:r>
      <w:r w:rsidRPr="00BF6B11">
        <w:rPr>
          <w:rFonts w:ascii="Calibri" w:hAnsi="Calibri" w:cs="Calibri"/>
          <w:sz w:val="24"/>
          <w:szCs w:val="24"/>
        </w:rPr>
        <w:t xml:space="preserve"> 3 </w:t>
      </w:r>
      <w:proofErr w:type="spellStart"/>
      <w:r w:rsidRPr="00BF6B11">
        <w:rPr>
          <w:rFonts w:ascii="Calibri" w:hAnsi="Calibri" w:cs="Calibri"/>
          <w:sz w:val="24"/>
          <w:szCs w:val="24"/>
        </w:rPr>
        <w:t>dalyje</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įtvirtintas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reguliavimas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yra</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visiškai</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naujas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pasikeitus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statybos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įstatymui</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perkamas</w:t>
      </w:r>
      <w:proofErr w:type="spellEnd"/>
      <w:r w:rsidRPr="00BF6B11">
        <w:rPr>
          <w:rFonts w:ascii="Calibri" w:hAnsi="Calibri" w:cs="Calibri"/>
          <w:sz w:val="24"/>
          <w:szCs w:val="24"/>
        </w:rPr>
        <w:t xml:space="preserve"> tik </w:t>
      </w:r>
      <w:proofErr w:type="spellStart"/>
      <w:r w:rsidRPr="00BF6B11">
        <w:rPr>
          <w:rFonts w:ascii="Calibri" w:hAnsi="Calibri" w:cs="Calibri"/>
          <w:sz w:val="24"/>
          <w:szCs w:val="24"/>
        </w:rPr>
        <w:t>vienas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techninis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darbo</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projektas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Kadangi</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projektas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parengtas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seniau</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neturime</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detalizuotos</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projekto</w:t>
      </w:r>
      <w:proofErr w:type="spellEnd"/>
      <w:r w:rsidRPr="00BF6B11">
        <w:rPr>
          <w:rFonts w:ascii="Calibri" w:hAnsi="Calibri" w:cs="Calibri"/>
          <w:sz w:val="24"/>
          <w:szCs w:val="24"/>
        </w:rPr>
        <w:t xml:space="preserve"> </w:t>
      </w:r>
      <w:proofErr w:type="spellStart"/>
      <w:r w:rsidRPr="00BF6B11">
        <w:rPr>
          <w:rFonts w:ascii="Calibri" w:hAnsi="Calibri" w:cs="Calibri"/>
          <w:sz w:val="24"/>
          <w:szCs w:val="24"/>
        </w:rPr>
        <w:t>dalies</w:t>
      </w:r>
      <w:proofErr w:type="spellEnd"/>
      <w:r w:rsidRPr="00BF6B11">
        <w:rPr>
          <w:rFonts w:ascii="Calibri" w:hAnsi="Calibri" w:cs="Calibri"/>
          <w:sz w:val="24"/>
          <w:szCs w:val="24"/>
        </w:rPr>
        <w:t xml:space="preserve">. </w:t>
      </w:r>
      <w:r w:rsidRPr="00A80300">
        <w:rPr>
          <w:rFonts w:ascii="Calibri" w:hAnsi="Calibri" w:cs="Calibri"/>
          <w:sz w:val="24"/>
          <w:szCs w:val="24"/>
          <w:lang w:val="lt-LT"/>
        </w:rPr>
        <w:t>Dėl racionalaus laiko sąnaudų panaudojimo tikslinga projekto dalies pirkimą sujungti</w:t>
      </w:r>
      <w:r w:rsidRPr="00BF6B11">
        <w:rPr>
          <w:rFonts w:ascii="Calibri" w:hAnsi="Calibri" w:cs="Calibri"/>
          <w:sz w:val="24"/>
          <w:szCs w:val="24"/>
        </w:rPr>
        <w:t xml:space="preserve"> </w:t>
      </w:r>
      <w:r w:rsidRPr="00BF6B11">
        <w:rPr>
          <w:rFonts w:ascii="Calibri" w:hAnsi="Calibri" w:cs="Calibri"/>
          <w:sz w:val="24"/>
          <w:szCs w:val="24"/>
          <w:lang w:val="lt-LT"/>
        </w:rPr>
        <w:t>su statinio statybos darbais</w:t>
      </w:r>
      <w:r w:rsidRPr="00BF6B11">
        <w:rPr>
          <w:rFonts w:ascii="Calibri" w:hAnsi="Calibri" w:cs="Calibri"/>
          <w:sz w:val="24"/>
          <w:szCs w:val="24"/>
        </w:rPr>
        <w:t>“</w:t>
      </w:r>
      <w:r w:rsidRPr="00BF6B11">
        <w:rPr>
          <w:rFonts w:ascii="Calibri" w:hAnsi="Calibri" w:cs="Calibri"/>
          <w:kern w:val="0"/>
          <w:sz w:val="24"/>
          <w:szCs w:val="24"/>
          <w:lang w:val="lt-LT"/>
          <w14:ligatures w14:val="none"/>
        </w:rPr>
        <w:t>.</w:t>
      </w:r>
    </w:p>
    <w:p w14:paraId="1227D2DC" w14:textId="77777777" w:rsidR="000600AC" w:rsidRPr="009F46D9" w:rsidRDefault="000600AC" w:rsidP="000600AC">
      <w:pPr>
        <w:spacing w:after="0" w:line="276" w:lineRule="auto"/>
        <w:ind w:firstLine="567"/>
        <w:rPr>
          <w:rFonts w:ascii="Calibri" w:hAnsi="Calibri" w:cs="Calibri"/>
          <w:sz w:val="24"/>
          <w:szCs w:val="24"/>
          <w:lang w:val="lt-LT"/>
        </w:rPr>
      </w:pPr>
      <w:r w:rsidRPr="009F46D9">
        <w:rPr>
          <w:rFonts w:ascii="Calibri" w:hAnsi="Calibri" w:cs="Calibri"/>
          <w:kern w:val="0"/>
          <w:sz w:val="24"/>
          <w:szCs w:val="24"/>
          <w:lang w:val="lt-LT"/>
          <w14:ligatures w14:val="none"/>
        </w:rPr>
        <w:t xml:space="preserve">Tarnybos vertinimu, Specialiųjų Pirkimo sąlygų 2.2 papunktyje nurodytas Pirkimo neskaidymo į dalis pagrindimas </w:t>
      </w:r>
      <w:r>
        <w:rPr>
          <w:rFonts w:ascii="Calibri" w:hAnsi="Calibri" w:cs="Calibri"/>
          <w:kern w:val="0"/>
          <w:sz w:val="24"/>
          <w:szCs w:val="24"/>
          <w:lang w:val="lt-LT"/>
          <w14:ligatures w14:val="none"/>
        </w:rPr>
        <w:t>šiuo atveju nėra tinkamas, t. y. nėra argumentuotas,</w:t>
      </w:r>
      <w:r w:rsidRPr="009F46D9">
        <w:rPr>
          <w:rFonts w:ascii="Calibri" w:hAnsi="Calibri" w:cs="Calibri"/>
          <w:kern w:val="0"/>
          <w:sz w:val="24"/>
          <w:szCs w:val="24"/>
          <w:lang w:val="lt-LT"/>
          <w14:ligatures w14:val="none"/>
        </w:rPr>
        <w:t xml:space="preserve"> todėl rekomenduotina Pirkimo dokumentuose pateikti motyvuotą (pagrįstą argumentais) Pirkimo neskaidymo į dalis pagrindimą </w:t>
      </w:r>
      <w:r w:rsidRPr="009F46D9">
        <w:rPr>
          <w:rFonts w:ascii="Calibri" w:hAnsi="Calibri" w:cs="Calibri"/>
          <w:sz w:val="24"/>
          <w:szCs w:val="24"/>
          <w:lang w:val="lt-LT"/>
        </w:rPr>
        <w:t>dėl projektavimo paslaugų įsigijimo kartu su rangos darbais.</w:t>
      </w:r>
    </w:p>
    <w:p w14:paraId="1CD0EFDB" w14:textId="77777777" w:rsidR="000600AC" w:rsidRPr="00C87D21" w:rsidRDefault="000600AC" w:rsidP="000600AC">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sidRPr="00C87D21">
        <w:rPr>
          <w:rFonts w:ascii="Calibri" w:hAnsi="Calibri" w:cs="Calibri"/>
          <w:b/>
          <w:bCs/>
          <w:sz w:val="24"/>
          <w:szCs w:val="24"/>
          <w:lang w:val="lt-LT"/>
        </w:rPr>
        <w:t>Dėl tiekėjų kvalifikacijos reikalavimų</w:t>
      </w:r>
    </w:p>
    <w:p w14:paraId="168E654D" w14:textId="77777777" w:rsidR="000600AC" w:rsidRPr="009906A4" w:rsidRDefault="000600AC" w:rsidP="000600AC">
      <w:pPr>
        <w:pStyle w:val="ListParagraph"/>
        <w:numPr>
          <w:ilvl w:val="1"/>
          <w:numId w:val="1"/>
        </w:numPr>
        <w:spacing w:after="0" w:line="276" w:lineRule="auto"/>
        <w:ind w:left="0" w:firstLine="720"/>
        <w:rPr>
          <w:rFonts w:ascii="Calibri" w:hAnsi="Calibri" w:cs="Calibri"/>
          <w:sz w:val="24"/>
          <w:szCs w:val="24"/>
          <w:shd w:val="clear" w:color="auto" w:fill="FFFFFF"/>
          <w:lang w:val="lt-LT"/>
        </w:rPr>
      </w:pPr>
      <w:r w:rsidRPr="009906A4">
        <w:rPr>
          <w:rFonts w:ascii="Calibri" w:hAnsi="Calibri" w:cs="Calibri"/>
          <w:sz w:val="24"/>
          <w:szCs w:val="24"/>
          <w:lang w:val="lt-LT"/>
        </w:rPr>
        <w:t>Pirkimo Specialiųjų sąlygų 4 priedo „Tiekėjų kvalifikacijos reikalavimai“ (toliau – Kvalifikacijos reikalavimai) 1.1 punkte nustatyta, kad „</w:t>
      </w:r>
      <w:r w:rsidRPr="009906A4">
        <w:rPr>
          <w:rFonts w:ascii="Calibri" w:hAnsi="Calibri" w:cs="Calibri"/>
          <w:sz w:val="24"/>
          <w:szCs w:val="24"/>
          <w:shd w:val="clear" w:color="auto" w:fill="FFFFFF"/>
          <w:lang w:val="lt-LT"/>
        </w:rPr>
        <w:t xml:space="preserve">Tiekėjui Lietuvos Respublikos statybos įstatymo nustatyta tvarka privalo turėti teisė būti </w:t>
      </w:r>
      <w:r w:rsidRPr="009906A4">
        <w:rPr>
          <w:rFonts w:ascii="Calibri" w:hAnsi="Calibri" w:cs="Calibri"/>
          <w:b/>
          <w:bCs/>
          <w:sz w:val="24"/>
          <w:szCs w:val="24"/>
          <w:shd w:val="clear" w:color="auto" w:fill="FFFFFF"/>
          <w:lang w:val="lt-LT"/>
        </w:rPr>
        <w:t>neypatingojo statinio, esančio kultūros paveldo objekto apsaugos zonoje,</w:t>
      </w:r>
      <w:r w:rsidRPr="009906A4">
        <w:rPr>
          <w:rFonts w:ascii="Calibri" w:hAnsi="Calibri" w:cs="Calibri"/>
          <w:sz w:val="24"/>
          <w:szCs w:val="24"/>
          <w:shd w:val="clear" w:color="auto" w:fill="FFFFFF"/>
          <w:lang w:val="lt-LT"/>
        </w:rPr>
        <w:t xml:space="preserve"> statybos rangovu. Statiniai: gyvenamieji pastatai (gyvenamosios paskirties (įvairių socialinių grupių asmenims) pastatai), esantys </w:t>
      </w:r>
      <w:r w:rsidRPr="009906A4">
        <w:rPr>
          <w:rFonts w:ascii="Calibri" w:hAnsi="Calibri" w:cs="Calibri"/>
          <w:b/>
          <w:bCs/>
          <w:sz w:val="24"/>
          <w:szCs w:val="24"/>
          <w:shd w:val="clear" w:color="auto" w:fill="FFFFFF"/>
          <w:lang w:val="lt-LT"/>
        </w:rPr>
        <w:t xml:space="preserve">kultūros paveldo objekto </w:t>
      </w:r>
      <w:r w:rsidRPr="009906A4">
        <w:rPr>
          <w:rFonts w:ascii="Calibri" w:hAnsi="Calibri" w:cs="Calibri"/>
          <w:b/>
          <w:bCs/>
          <w:sz w:val="24"/>
          <w:szCs w:val="24"/>
          <w:lang w:val="lt-LT"/>
        </w:rPr>
        <w:t>apsaugos zonoje</w:t>
      </w:r>
      <w:r w:rsidRPr="009906A4">
        <w:rPr>
          <w:rFonts w:ascii="Calibri" w:hAnsi="Calibri" w:cs="Calibri"/>
          <w:sz w:val="24"/>
          <w:szCs w:val="24"/>
          <w:shd w:val="clear" w:color="auto" w:fill="FFFFFF"/>
          <w:lang w:val="lt-LT"/>
        </w:rPr>
        <w:t xml:space="preserve">. </w:t>
      </w:r>
      <w:r w:rsidRPr="009906A4">
        <w:rPr>
          <w:rFonts w:ascii="Calibri" w:hAnsi="Calibri" w:cs="Calibri"/>
          <w:sz w:val="24"/>
          <w:szCs w:val="24"/>
          <w:lang w:val="lt-LT"/>
        </w:rPr>
        <w:t xml:space="preserve">Statybos darbų sritys: &lt;...&gt;“. Kvalifikacijos reikalavimus pagrindžiančiuose dokumentuose nurodyta, kad tiekėjas turi pateikti „&lt;...&gt; </w:t>
      </w:r>
      <w:r w:rsidRPr="009906A4">
        <w:rPr>
          <w:rFonts w:ascii="Calibri" w:hAnsi="Calibri" w:cs="Calibri"/>
          <w:sz w:val="24"/>
          <w:szCs w:val="24"/>
          <w:shd w:val="clear" w:color="auto" w:fill="FFFFFF"/>
          <w:lang w:val="lt-LT"/>
        </w:rPr>
        <w:t xml:space="preserve">valstybės įmonės Registrų centro išduotas Lietuvos Respublikos </w:t>
      </w:r>
      <w:r w:rsidRPr="009906A4">
        <w:rPr>
          <w:rFonts w:ascii="Calibri" w:hAnsi="Calibri" w:cs="Calibri"/>
          <w:b/>
          <w:bCs/>
          <w:sz w:val="24"/>
          <w:szCs w:val="24"/>
          <w:shd w:val="clear" w:color="auto" w:fill="FFFFFF"/>
          <w:lang w:val="lt-LT"/>
        </w:rPr>
        <w:t>juridinių asmenų registro išplėstinis išrašas arba įstatai</w:t>
      </w:r>
      <w:r w:rsidRPr="009906A4">
        <w:rPr>
          <w:rFonts w:ascii="Calibri" w:hAnsi="Calibri" w:cs="Calibri"/>
          <w:sz w:val="24"/>
          <w:szCs w:val="24"/>
          <w:shd w:val="clear" w:color="auto" w:fill="FFFFFF"/>
          <w:lang w:val="lt-LT"/>
        </w:rPr>
        <w:t xml:space="preserve">, asmens, besiverčiančio veikla turint verslo liudijimą, – </w:t>
      </w:r>
      <w:r w:rsidRPr="009906A4">
        <w:rPr>
          <w:rFonts w:ascii="Calibri" w:hAnsi="Calibri" w:cs="Calibri"/>
          <w:b/>
          <w:bCs/>
          <w:sz w:val="24"/>
          <w:szCs w:val="24"/>
          <w:shd w:val="clear" w:color="auto" w:fill="FFFFFF"/>
          <w:lang w:val="lt-LT"/>
        </w:rPr>
        <w:t>verslo liudijimas</w:t>
      </w:r>
      <w:r w:rsidRPr="009906A4">
        <w:rPr>
          <w:rFonts w:ascii="Calibri" w:hAnsi="Calibri" w:cs="Calibri"/>
          <w:sz w:val="24"/>
          <w:szCs w:val="24"/>
          <w:shd w:val="clear" w:color="auto" w:fill="FFFFFF"/>
          <w:lang w:val="lt-LT"/>
        </w:rPr>
        <w:t xml:space="preserve">, patvirtinantis teisę verstis atitinkama veikla arba atitinkamos užsienio šalies institucijos (profesinių ar veiklos tvarkytojų, valstybės įgaliotų institucijų pažymos, kaip yra nustatyta toje valstybėje narėje, kurioje tiekėjas registruotas) išduotas dokumentas ar </w:t>
      </w:r>
      <w:r w:rsidRPr="009906A4">
        <w:rPr>
          <w:rFonts w:ascii="Calibri" w:hAnsi="Calibri" w:cs="Calibri"/>
          <w:b/>
          <w:bCs/>
          <w:sz w:val="24"/>
          <w:szCs w:val="24"/>
          <w:shd w:val="clear" w:color="auto" w:fill="FFFFFF"/>
          <w:lang w:val="lt-LT"/>
        </w:rPr>
        <w:t>priesaikos deklaracija</w:t>
      </w:r>
      <w:r w:rsidRPr="009906A4">
        <w:rPr>
          <w:rFonts w:ascii="Calibri" w:hAnsi="Calibri" w:cs="Calibri"/>
          <w:sz w:val="24"/>
          <w:szCs w:val="24"/>
          <w:shd w:val="clear" w:color="auto" w:fill="FFFFFF"/>
          <w:lang w:val="lt-LT"/>
        </w:rPr>
        <w:t>, liudijanti tiekėjo teisę verstis atitinkama veikla“.</w:t>
      </w:r>
    </w:p>
    <w:p w14:paraId="6FD0EC0C" w14:textId="77777777" w:rsidR="000600AC" w:rsidRDefault="000600AC" w:rsidP="000600AC">
      <w:pPr>
        <w:spacing w:after="0" w:line="276" w:lineRule="auto"/>
        <w:ind w:firstLine="709"/>
        <w:rPr>
          <w:rFonts w:ascii="Calibri" w:hAnsi="Calibri" w:cs="Calibri"/>
          <w:sz w:val="24"/>
          <w:szCs w:val="24"/>
          <w:shd w:val="clear" w:color="auto" w:fill="FFFFFF"/>
          <w:lang w:val="lt-LT"/>
        </w:rPr>
      </w:pPr>
      <w:hyperlink r:id="rId10" w:history="1">
        <w:r w:rsidRPr="005B5416">
          <w:rPr>
            <w:rStyle w:val="Hyperlink"/>
            <w:rFonts w:ascii="Calibri" w:hAnsi="Calibri" w:cs="Calibri"/>
            <w:sz w:val="24"/>
            <w:szCs w:val="24"/>
            <w:lang w:val="lt-LT"/>
          </w:rPr>
          <w:t>Statybos įstatymo</w:t>
        </w:r>
      </w:hyperlink>
      <w:r w:rsidRPr="00920683">
        <w:rPr>
          <w:rFonts w:ascii="Calibri" w:hAnsi="Calibri" w:cs="Calibri"/>
          <w:sz w:val="24"/>
          <w:szCs w:val="24"/>
          <w:lang w:val="lt-LT"/>
        </w:rPr>
        <w:t xml:space="preserve"> </w:t>
      </w:r>
      <w:r w:rsidRPr="00C2409B">
        <w:rPr>
          <w:rFonts w:ascii="Calibri" w:hAnsi="Calibri" w:cs="Calibri"/>
          <w:sz w:val="24"/>
          <w:szCs w:val="24"/>
          <w:lang w:val="lt-LT"/>
        </w:rPr>
        <w:t>18 straipsnio 6 dal</w:t>
      </w:r>
      <w:r>
        <w:rPr>
          <w:rFonts w:ascii="Calibri" w:hAnsi="Calibri" w:cs="Calibri"/>
          <w:sz w:val="24"/>
          <w:szCs w:val="24"/>
          <w:lang w:val="lt-LT"/>
        </w:rPr>
        <w:t>yje nustatyta, kad „</w:t>
      </w:r>
      <w:r w:rsidRPr="00203BD3">
        <w:rPr>
          <w:rFonts w:ascii="Calibri" w:hAnsi="Calibri" w:cs="Calibri"/>
          <w:sz w:val="24"/>
          <w:szCs w:val="24"/>
          <w:shd w:val="clear" w:color="auto" w:fill="FFFFFF"/>
          <w:lang w:val="lt-LT"/>
        </w:rPr>
        <w:t xml:space="preserve">Būti ypatingųjų ar </w:t>
      </w:r>
      <w:r w:rsidRPr="00BC0A84">
        <w:rPr>
          <w:rFonts w:ascii="Calibri" w:hAnsi="Calibri" w:cs="Calibri"/>
          <w:b/>
          <w:bCs/>
          <w:sz w:val="24"/>
          <w:szCs w:val="24"/>
          <w:shd w:val="clear" w:color="auto" w:fill="FFFFFF"/>
          <w:lang w:val="lt-LT"/>
        </w:rPr>
        <w:t>neypatingųjų statinių,</w:t>
      </w:r>
      <w:r>
        <w:rPr>
          <w:rFonts w:ascii="Calibri" w:hAnsi="Calibri" w:cs="Calibri"/>
          <w:b/>
          <w:bCs/>
          <w:sz w:val="24"/>
          <w:szCs w:val="24"/>
          <w:shd w:val="clear" w:color="auto" w:fill="FFFFFF"/>
          <w:lang w:val="lt-LT"/>
        </w:rPr>
        <w:t xml:space="preserve"> </w:t>
      </w:r>
      <w:r w:rsidRPr="00BC0A84">
        <w:rPr>
          <w:rFonts w:ascii="Calibri" w:hAnsi="Calibri" w:cs="Calibri"/>
          <w:b/>
          <w:bCs/>
          <w:sz w:val="24"/>
          <w:szCs w:val="24"/>
          <w:shd w:val="clear" w:color="auto" w:fill="FFFFFF"/>
          <w:lang w:val="lt-LT"/>
        </w:rPr>
        <w:t>esančių kultūros paveldo objekto teritorijoje, jo apsaugos zonoje, kultūros paveldo vietovėje,</w:t>
      </w:r>
      <w:r>
        <w:rPr>
          <w:rFonts w:ascii="Calibri" w:hAnsi="Calibri" w:cs="Calibri"/>
          <w:b/>
          <w:bCs/>
          <w:sz w:val="24"/>
          <w:szCs w:val="24"/>
          <w:shd w:val="clear" w:color="auto" w:fill="FFFFFF"/>
          <w:lang w:val="lt-LT"/>
        </w:rPr>
        <w:t xml:space="preserve"> </w:t>
      </w:r>
      <w:r w:rsidRPr="00BC0A84">
        <w:rPr>
          <w:rFonts w:ascii="Calibri" w:hAnsi="Calibri" w:cs="Calibri"/>
          <w:b/>
          <w:bCs/>
          <w:sz w:val="24"/>
          <w:szCs w:val="24"/>
          <w:shd w:val="clear" w:color="auto" w:fill="FFFFFF"/>
          <w:lang w:val="lt-LT"/>
        </w:rPr>
        <w:t>statybos rangovu</w:t>
      </w:r>
      <w:r w:rsidRPr="00203BD3">
        <w:rPr>
          <w:rFonts w:ascii="Calibri" w:hAnsi="Calibri" w:cs="Calibri"/>
          <w:sz w:val="24"/>
          <w:szCs w:val="24"/>
          <w:shd w:val="clear" w:color="auto" w:fill="FFFFFF"/>
          <w:lang w:val="lt-LT"/>
        </w:rPr>
        <w:t xml:space="preserve"> gali juridiniai asmenys,</w:t>
      </w:r>
      <w:r>
        <w:rPr>
          <w:rFonts w:ascii="Calibri" w:hAnsi="Calibri" w:cs="Calibri"/>
          <w:sz w:val="24"/>
          <w:szCs w:val="24"/>
          <w:shd w:val="clear" w:color="auto" w:fill="FFFFFF"/>
          <w:lang w:val="lt-LT"/>
        </w:rPr>
        <w:t xml:space="preserve"> </w:t>
      </w:r>
      <w:r w:rsidRPr="00203BD3">
        <w:rPr>
          <w:rFonts w:ascii="Calibri" w:hAnsi="Calibri" w:cs="Calibri"/>
          <w:sz w:val="24"/>
          <w:szCs w:val="24"/>
          <w:shd w:val="clear" w:color="auto" w:fill="FFFFFF"/>
          <w:lang w:val="lt-LT"/>
        </w:rPr>
        <w:t xml:space="preserve">turintys </w:t>
      </w:r>
      <w:r w:rsidRPr="00BC0A84">
        <w:rPr>
          <w:rFonts w:ascii="Calibri" w:hAnsi="Calibri" w:cs="Calibri"/>
          <w:b/>
          <w:bCs/>
          <w:sz w:val="24"/>
          <w:szCs w:val="24"/>
          <w:shd w:val="clear" w:color="auto" w:fill="FFFFFF"/>
          <w:lang w:val="lt-LT"/>
        </w:rPr>
        <w:t>teisę būti ypatingųjų statinių statybos rangovu</w:t>
      </w:r>
      <w:r w:rsidRPr="00203BD3">
        <w:rPr>
          <w:rFonts w:ascii="Calibri" w:hAnsi="Calibri" w:cs="Calibri"/>
          <w:sz w:val="24"/>
          <w:szCs w:val="24"/>
          <w:shd w:val="clear" w:color="auto" w:fill="FFFFFF"/>
          <w:lang w:val="lt-LT"/>
        </w:rPr>
        <w:t>.</w:t>
      </w:r>
      <w:r>
        <w:rPr>
          <w:rFonts w:ascii="Calibri" w:hAnsi="Calibri" w:cs="Calibri"/>
          <w:sz w:val="24"/>
          <w:szCs w:val="24"/>
          <w:shd w:val="clear" w:color="auto" w:fill="FFFFFF"/>
          <w:lang w:val="lt-LT"/>
        </w:rPr>
        <w:t xml:space="preserve"> </w:t>
      </w:r>
      <w:r w:rsidRPr="00203BD3">
        <w:rPr>
          <w:rFonts w:ascii="Calibri" w:hAnsi="Calibri" w:cs="Calibri"/>
          <w:sz w:val="24"/>
          <w:szCs w:val="24"/>
          <w:shd w:val="clear" w:color="auto" w:fill="FFFFFF"/>
          <w:lang w:val="lt-LT"/>
        </w:rPr>
        <w:t xml:space="preserve">Ypatingųjų ar neypatingųjų statinių, esančių kultūros paveldo objekto teritorijoje, jo apsaugos zonoje, kultūros paveldo vietovėje, statybos rangovų kvalifikacijos atestatų išdavimo ir kilmės valstybėje turimos teisės pripažinimo tvarką, išduoto </w:t>
      </w:r>
      <w:r w:rsidRPr="00FC34A3">
        <w:rPr>
          <w:rFonts w:ascii="Calibri" w:hAnsi="Calibri" w:cs="Calibri"/>
          <w:b/>
          <w:bCs/>
          <w:sz w:val="24"/>
          <w:szCs w:val="24"/>
          <w:shd w:val="clear" w:color="auto" w:fill="FFFFFF"/>
          <w:lang w:val="lt-LT"/>
        </w:rPr>
        <w:t>kvalifikacijos atestato ir teisės pripažinimo dokumento</w:t>
      </w:r>
      <w:r w:rsidRPr="00203BD3">
        <w:rPr>
          <w:rFonts w:ascii="Calibri" w:hAnsi="Calibri" w:cs="Calibri"/>
          <w:sz w:val="24"/>
          <w:szCs w:val="24"/>
          <w:shd w:val="clear" w:color="auto" w:fill="FFFFFF"/>
          <w:lang w:val="lt-LT"/>
        </w:rPr>
        <w:t xml:space="preserve"> keitimo, galiojimo sustabdymo, galiojimo sustabdymo panaikinimo ir galiojimo panaikinimo tvarką, suderinęs su kultūros ministru, nustato aplinkos ministras, laikydamasis šio įstatymo 22 straipsnyje nustatytų reikalavimų. Atestavimą ir teisės pripažinimą atlieka</w:t>
      </w:r>
      <w:r>
        <w:rPr>
          <w:rFonts w:ascii="Calibri" w:hAnsi="Calibri" w:cs="Calibri"/>
          <w:sz w:val="24"/>
          <w:szCs w:val="24"/>
          <w:shd w:val="clear" w:color="auto" w:fill="FFFFFF"/>
          <w:lang w:val="lt-LT"/>
        </w:rPr>
        <w:t xml:space="preserve"> </w:t>
      </w:r>
      <w:r w:rsidRPr="00203BD3">
        <w:rPr>
          <w:rFonts w:ascii="Calibri" w:hAnsi="Calibri" w:cs="Calibri"/>
          <w:sz w:val="24"/>
          <w:szCs w:val="24"/>
          <w:shd w:val="clear" w:color="auto" w:fill="FFFFFF"/>
          <w:lang w:val="lt-LT"/>
        </w:rPr>
        <w:t>Vyriausybės įgaliota institucija ar įstaiga</w:t>
      </w:r>
      <w:r>
        <w:rPr>
          <w:rFonts w:ascii="Calibri" w:hAnsi="Calibri" w:cs="Calibri"/>
          <w:sz w:val="24"/>
          <w:szCs w:val="24"/>
          <w:shd w:val="clear" w:color="auto" w:fill="FFFFFF"/>
          <w:lang w:val="lt-LT"/>
        </w:rPr>
        <w:t>“</w:t>
      </w:r>
      <w:r w:rsidRPr="00203BD3">
        <w:rPr>
          <w:rFonts w:ascii="Calibri" w:hAnsi="Calibri" w:cs="Calibri"/>
          <w:sz w:val="24"/>
          <w:szCs w:val="24"/>
          <w:shd w:val="clear" w:color="auto" w:fill="FFFFFF"/>
          <w:lang w:val="lt-LT"/>
        </w:rPr>
        <w:t>.</w:t>
      </w:r>
    </w:p>
    <w:p w14:paraId="3CFC8797" w14:textId="77777777" w:rsidR="000600AC" w:rsidRDefault="000600AC" w:rsidP="000600AC">
      <w:pPr>
        <w:spacing w:after="0" w:line="276" w:lineRule="auto"/>
        <w:ind w:firstLine="709"/>
        <w:rPr>
          <w:rFonts w:ascii="Calibri" w:hAnsi="Calibri" w:cs="Calibri"/>
          <w:sz w:val="24"/>
          <w:szCs w:val="24"/>
          <w:shd w:val="clear" w:color="auto" w:fill="FFFFFF"/>
          <w:lang w:val="lt-LT"/>
        </w:rPr>
      </w:pPr>
      <w:r>
        <w:rPr>
          <w:rFonts w:ascii="Calibri" w:hAnsi="Calibri" w:cs="Calibri"/>
          <w:sz w:val="24"/>
          <w:szCs w:val="24"/>
          <w:shd w:val="clear" w:color="auto" w:fill="FFFFFF"/>
          <w:lang w:val="lt-LT"/>
        </w:rPr>
        <w:lastRenderedPageBreak/>
        <w:t xml:space="preserve">Atsižvelgiant į tai, kas išdėstyta, rekomenduotina tikslinti šį kvalifikacijos reikalavimą, nurodant, kad „tiekėjas turi turėti teisę būti </w:t>
      </w:r>
      <w:r w:rsidRPr="00021CDD">
        <w:rPr>
          <w:rFonts w:ascii="Calibri" w:hAnsi="Calibri" w:cs="Calibri"/>
          <w:b/>
          <w:bCs/>
          <w:sz w:val="24"/>
          <w:szCs w:val="24"/>
          <w:shd w:val="clear" w:color="auto" w:fill="FFFFFF"/>
          <w:lang w:val="lt-LT"/>
        </w:rPr>
        <w:t>ypatingojo</w:t>
      </w:r>
      <w:r>
        <w:rPr>
          <w:rFonts w:ascii="Calibri" w:hAnsi="Calibri" w:cs="Calibri"/>
          <w:sz w:val="24"/>
          <w:szCs w:val="24"/>
          <w:shd w:val="clear" w:color="auto" w:fill="FFFFFF"/>
          <w:lang w:val="lt-LT"/>
        </w:rPr>
        <w:t xml:space="preserve"> statinio statybos rangovu. </w:t>
      </w:r>
      <w:r w:rsidRPr="00751BF9">
        <w:rPr>
          <w:rFonts w:ascii="Calibri" w:hAnsi="Calibri" w:cs="Calibri"/>
          <w:sz w:val="24"/>
          <w:szCs w:val="24"/>
          <w:shd w:val="clear" w:color="auto" w:fill="FFFFFF"/>
          <w:lang w:val="lt-LT"/>
        </w:rPr>
        <w:t xml:space="preserve">Statiniai: gyvenamieji pastatai (gyvenamosios paskirties (įvairių socialinių grupių asmenims) pastatai), esantys </w:t>
      </w:r>
      <w:r w:rsidRPr="002D5256">
        <w:rPr>
          <w:rFonts w:ascii="Calibri" w:hAnsi="Calibri" w:cs="Calibri"/>
          <w:b/>
          <w:bCs/>
          <w:sz w:val="24"/>
          <w:szCs w:val="24"/>
          <w:shd w:val="clear" w:color="auto" w:fill="FFFFFF"/>
          <w:lang w:val="lt-LT"/>
        </w:rPr>
        <w:t>kultūros paveldo objekto teritorijoje, jo apsaugos zonoje, kultūros paveldo vietovėje</w:t>
      </w:r>
      <w:r w:rsidRPr="002D5256">
        <w:rPr>
          <w:rFonts w:ascii="Calibri" w:hAnsi="Calibri" w:cs="Calibri"/>
          <w:sz w:val="24"/>
          <w:szCs w:val="24"/>
          <w:shd w:val="clear" w:color="auto" w:fill="FFFFFF"/>
          <w:lang w:val="lt-LT"/>
        </w:rPr>
        <w:t>.</w:t>
      </w:r>
      <w:r>
        <w:rPr>
          <w:rFonts w:ascii="Calibri" w:hAnsi="Calibri" w:cs="Calibri"/>
          <w:sz w:val="24"/>
          <w:szCs w:val="24"/>
          <w:shd w:val="clear" w:color="auto" w:fill="FFFFFF"/>
          <w:lang w:val="lt-LT"/>
        </w:rPr>
        <w:t xml:space="preserve"> </w:t>
      </w:r>
      <w:r w:rsidRPr="009B73B5">
        <w:rPr>
          <w:rFonts w:ascii="Calibri" w:hAnsi="Calibri" w:cs="Calibri"/>
          <w:sz w:val="24"/>
          <w:szCs w:val="24"/>
          <w:shd w:val="clear" w:color="auto" w:fill="FFFFFF"/>
          <w:lang w:val="lt-LT"/>
        </w:rPr>
        <w:t>Statybos darbų sritys:</w:t>
      </w:r>
      <w:r>
        <w:rPr>
          <w:rFonts w:ascii="Calibri" w:hAnsi="Calibri" w:cs="Calibri"/>
          <w:sz w:val="24"/>
          <w:szCs w:val="24"/>
          <w:shd w:val="clear" w:color="auto" w:fill="FFFFFF"/>
          <w:lang w:val="lt-LT"/>
        </w:rPr>
        <w:t xml:space="preserve"> &lt;...&gt;“.</w:t>
      </w:r>
    </w:p>
    <w:p w14:paraId="3EEA6FD1" w14:textId="77777777" w:rsidR="000600AC" w:rsidRDefault="000600AC" w:rsidP="000600AC">
      <w:pPr>
        <w:spacing w:after="0" w:line="276" w:lineRule="auto"/>
        <w:ind w:firstLine="709"/>
        <w:rPr>
          <w:rFonts w:ascii="Calibri" w:hAnsi="Calibri" w:cs="Calibri"/>
          <w:sz w:val="24"/>
          <w:szCs w:val="24"/>
          <w:shd w:val="clear" w:color="auto" w:fill="FFFFFF"/>
          <w:lang w:val="lt-LT"/>
        </w:rPr>
      </w:pPr>
      <w:r>
        <w:rPr>
          <w:rFonts w:ascii="Calibri" w:hAnsi="Calibri" w:cs="Calibri"/>
          <w:sz w:val="24"/>
          <w:szCs w:val="24"/>
          <w:shd w:val="clear" w:color="auto" w:fill="FFFFFF"/>
          <w:lang w:val="lt-LT"/>
        </w:rPr>
        <w:t xml:space="preserve">Pažymėtina, jog kvalifikaciją įrodantys dokumentai šiuo atveju yra ne </w:t>
      </w:r>
      <w:r w:rsidRPr="00CB1765">
        <w:rPr>
          <w:rFonts w:ascii="Calibri" w:hAnsi="Calibri" w:cs="Calibri"/>
          <w:sz w:val="24"/>
          <w:szCs w:val="24"/>
          <w:shd w:val="clear" w:color="auto" w:fill="FFFFFF"/>
          <w:lang w:val="lt-LT"/>
        </w:rPr>
        <w:t xml:space="preserve">valstybės įmonės Registrų centro išduotas Lietuvos Respublikos </w:t>
      </w:r>
      <w:r w:rsidRPr="007163CA">
        <w:rPr>
          <w:rFonts w:ascii="Calibri" w:hAnsi="Calibri" w:cs="Calibri"/>
          <w:sz w:val="24"/>
          <w:szCs w:val="24"/>
          <w:shd w:val="clear" w:color="auto" w:fill="FFFFFF"/>
          <w:lang w:val="lt-LT"/>
        </w:rPr>
        <w:t xml:space="preserve">juridinių asmenų registro išplėstinis išrašas, įstatai, verslo liudijimas ar priesaikos deklaracija, o – </w:t>
      </w:r>
      <w:r w:rsidRPr="009906A4">
        <w:rPr>
          <w:rFonts w:ascii="Calibri" w:hAnsi="Calibri" w:cs="Calibri"/>
          <w:b/>
          <w:bCs/>
          <w:sz w:val="24"/>
          <w:szCs w:val="24"/>
          <w:shd w:val="clear" w:color="auto" w:fill="FFFFFF"/>
          <w:lang w:val="lt-LT"/>
        </w:rPr>
        <w:t>k</w:t>
      </w:r>
      <w:r w:rsidRPr="00C154B0">
        <w:rPr>
          <w:rFonts w:ascii="Calibri" w:hAnsi="Calibri" w:cs="Calibri"/>
          <w:b/>
          <w:bCs/>
          <w:sz w:val="24"/>
          <w:szCs w:val="24"/>
          <w:shd w:val="clear" w:color="auto" w:fill="FFFFFF"/>
          <w:lang w:val="lt-LT"/>
        </w:rPr>
        <w:t>valifikacijos atestat</w:t>
      </w:r>
      <w:r>
        <w:rPr>
          <w:rFonts w:ascii="Calibri" w:hAnsi="Calibri" w:cs="Calibri"/>
          <w:b/>
          <w:bCs/>
          <w:sz w:val="24"/>
          <w:szCs w:val="24"/>
          <w:shd w:val="clear" w:color="auto" w:fill="FFFFFF"/>
          <w:lang w:val="lt-LT"/>
        </w:rPr>
        <w:t>ai</w:t>
      </w:r>
      <w:r w:rsidRPr="00C154B0">
        <w:rPr>
          <w:rFonts w:ascii="Calibri" w:hAnsi="Calibri" w:cs="Calibri"/>
          <w:b/>
          <w:bCs/>
          <w:sz w:val="24"/>
          <w:szCs w:val="24"/>
          <w:shd w:val="clear" w:color="auto" w:fill="FFFFFF"/>
          <w:lang w:val="lt-LT"/>
        </w:rPr>
        <w:t xml:space="preserve"> ir teisės pripažinimo dokument</w:t>
      </w:r>
      <w:r>
        <w:rPr>
          <w:rFonts w:ascii="Calibri" w:hAnsi="Calibri" w:cs="Calibri"/>
          <w:b/>
          <w:bCs/>
          <w:sz w:val="24"/>
          <w:szCs w:val="24"/>
          <w:shd w:val="clear" w:color="auto" w:fill="FFFFFF"/>
          <w:lang w:val="lt-LT"/>
        </w:rPr>
        <w:t>ai,</w:t>
      </w:r>
      <w:r>
        <w:rPr>
          <w:rFonts w:ascii="Calibri" w:hAnsi="Calibri" w:cs="Calibri"/>
          <w:sz w:val="24"/>
          <w:szCs w:val="24"/>
          <w:shd w:val="clear" w:color="auto" w:fill="FFFFFF"/>
          <w:lang w:val="lt-LT"/>
        </w:rPr>
        <w:t xml:space="preserve"> kuriuos išduoda Statybos sektoriaus vystymo agentūra. Atsižvelgiant į tai, kas išdėstyta, rekomenduotina tikslinti informaciją kvalifikaciją pagrindžiančiuose dokumentuose.</w:t>
      </w:r>
    </w:p>
    <w:p w14:paraId="42D07519" w14:textId="77777777" w:rsidR="000600AC" w:rsidRPr="002D4398" w:rsidRDefault="000600AC" w:rsidP="000600AC">
      <w:pPr>
        <w:pStyle w:val="ListParagraph"/>
        <w:numPr>
          <w:ilvl w:val="1"/>
          <w:numId w:val="1"/>
        </w:numPr>
        <w:suppressAutoHyphens/>
        <w:autoSpaceDN w:val="0"/>
        <w:spacing w:after="0" w:line="276" w:lineRule="auto"/>
        <w:ind w:left="0" w:firstLine="720"/>
        <w:rPr>
          <w:rFonts w:ascii="Times New Roman" w:eastAsia="Calibri" w:hAnsi="Times New Roman" w:cs="Calibri"/>
          <w:sz w:val="24"/>
          <w:szCs w:val="24"/>
          <w:shd w:val="clear" w:color="auto" w:fill="FFFFFF"/>
          <w:lang w:val="lt-LT" w:eastAsia="ar-SA"/>
        </w:rPr>
      </w:pPr>
      <w:r w:rsidRPr="002D4398">
        <w:rPr>
          <w:rFonts w:ascii="Calibri" w:hAnsi="Calibri" w:cs="Calibri"/>
          <w:sz w:val="24"/>
          <w:szCs w:val="24"/>
          <w:lang w:val="lt-LT"/>
        </w:rPr>
        <w:t>Kvalifikacijos reikalavimų 1.3 punkte nustatyta, kad „</w:t>
      </w:r>
      <w:r w:rsidRPr="002D4398">
        <w:rPr>
          <w:rFonts w:ascii="Calibri" w:hAnsi="Calibri" w:cs="Calibri"/>
          <w:sz w:val="24"/>
          <w:szCs w:val="24"/>
          <w:shd w:val="clear" w:color="auto" w:fill="FFFFFF"/>
          <w:lang w:val="lt-LT"/>
        </w:rPr>
        <w:t xml:space="preserve">Tiekėjas pirkimo sutarčiai vykdyti privalo turėti: 1) </w:t>
      </w:r>
      <w:r w:rsidRPr="002D4398">
        <w:rPr>
          <w:rFonts w:ascii="Calibri" w:eastAsia="Calibri" w:hAnsi="Calibri" w:cs="Calibri"/>
          <w:sz w:val="24"/>
          <w:szCs w:val="24"/>
          <w:shd w:val="clear" w:color="auto" w:fill="FFFFFF"/>
          <w:lang w:val="lt-LT" w:eastAsia="ar-SA"/>
        </w:rPr>
        <w:t xml:space="preserve">bent 1 specialistą, Lietuvos Respublikos statybos įstatymo nustatyta tvarka turintį teisę būti neypatingojo statinio projekto vadovu. Statiniai: gyvenamieji pastatai (gyvenamosios paskirties (įvairių socialinių grupių asmenims) pastatai), taip pat minėti statiniai, esantys </w:t>
      </w:r>
      <w:r w:rsidRPr="002D4398">
        <w:rPr>
          <w:rFonts w:ascii="Calibri" w:eastAsia="Calibri" w:hAnsi="Calibri" w:cs="Calibri"/>
          <w:b/>
          <w:bCs/>
          <w:sz w:val="24"/>
          <w:szCs w:val="24"/>
          <w:shd w:val="clear" w:color="auto" w:fill="FFFFFF"/>
          <w:lang w:val="lt-LT" w:eastAsia="ar-SA"/>
        </w:rPr>
        <w:t xml:space="preserve">kultūros paveldo objekto </w:t>
      </w:r>
      <w:r w:rsidRPr="002D4398">
        <w:rPr>
          <w:rFonts w:ascii="Calibri" w:hAnsi="Calibri" w:cs="Calibri"/>
          <w:b/>
          <w:bCs/>
          <w:sz w:val="24"/>
          <w:szCs w:val="24"/>
          <w:lang w:val="lt-LT"/>
        </w:rPr>
        <w:t>apsaugos zonoje</w:t>
      </w:r>
      <w:r w:rsidRPr="002D4398">
        <w:rPr>
          <w:rFonts w:ascii="Calibri" w:eastAsia="Calibri" w:hAnsi="Calibri" w:cs="Calibri"/>
          <w:sz w:val="24"/>
          <w:szCs w:val="24"/>
          <w:shd w:val="clear" w:color="auto" w:fill="FFFFFF"/>
          <w:lang w:val="lt-LT" w:eastAsia="ar-SA"/>
        </w:rPr>
        <w:t xml:space="preserve">. 2) bent 1 specialistą, Lietuvos Respublikos statybos įstatymo nustatyta tvarka turintį teisę būti neypatingojo statinio statybos vadovu. Statiniai: gyvenamieji pastatai (gyvenamosios paskirties (įvairių socialinių grupių asmenims) pastatai), taip pat minėti statiniai, esantys </w:t>
      </w:r>
      <w:r w:rsidRPr="002D4398">
        <w:rPr>
          <w:rFonts w:ascii="Calibri" w:eastAsia="Calibri" w:hAnsi="Calibri" w:cs="Calibri"/>
          <w:b/>
          <w:bCs/>
          <w:sz w:val="24"/>
          <w:szCs w:val="24"/>
          <w:shd w:val="clear" w:color="auto" w:fill="FFFFFF"/>
          <w:lang w:val="lt-LT" w:eastAsia="ar-SA"/>
        </w:rPr>
        <w:t xml:space="preserve">kultūros paveldo objekto </w:t>
      </w:r>
      <w:r w:rsidRPr="002D4398">
        <w:rPr>
          <w:rFonts w:ascii="Calibri" w:hAnsi="Calibri" w:cs="Calibri"/>
          <w:b/>
          <w:bCs/>
          <w:sz w:val="24"/>
          <w:szCs w:val="24"/>
          <w:lang w:val="lt-LT"/>
        </w:rPr>
        <w:t>apsaugos zonoje</w:t>
      </w:r>
      <w:r w:rsidRPr="002D4398">
        <w:rPr>
          <w:rFonts w:ascii="Calibri" w:hAnsi="Calibri" w:cs="Calibri"/>
          <w:sz w:val="24"/>
          <w:szCs w:val="24"/>
          <w:lang w:val="lt-LT"/>
        </w:rPr>
        <w:t>“</w:t>
      </w:r>
      <w:r w:rsidRPr="002D4398">
        <w:rPr>
          <w:rFonts w:ascii="Calibri" w:eastAsia="Calibri" w:hAnsi="Calibri" w:cs="Calibri"/>
          <w:sz w:val="24"/>
          <w:szCs w:val="24"/>
          <w:shd w:val="clear" w:color="auto" w:fill="FFFFFF"/>
          <w:lang w:val="lt-LT" w:eastAsia="ar-SA"/>
        </w:rPr>
        <w:t>.</w:t>
      </w:r>
    </w:p>
    <w:p w14:paraId="5229278F" w14:textId="77777777" w:rsidR="000600AC" w:rsidRDefault="000600AC" w:rsidP="000600AC">
      <w:pPr>
        <w:spacing w:after="0" w:line="276" w:lineRule="auto"/>
        <w:ind w:firstLine="709"/>
        <w:rPr>
          <w:rFonts w:ascii="Calibri" w:eastAsia="Calibri" w:hAnsi="Calibri" w:cs="Calibri"/>
          <w:sz w:val="24"/>
          <w:szCs w:val="24"/>
          <w:lang w:val="lt-LT"/>
        </w:rPr>
      </w:pPr>
      <w:r>
        <w:rPr>
          <w:rFonts w:ascii="Calibri" w:eastAsia="Calibri" w:hAnsi="Calibri" w:cs="Calibri"/>
          <w:sz w:val="24"/>
          <w:szCs w:val="24"/>
          <w:lang w:val="lt-LT"/>
        </w:rPr>
        <w:t>Atkreiptinas dėmesys, kad tiek statinio projekto vadovo, tiek statinio statybos vadovo kvalifikacijos atestatuose yra</w:t>
      </w:r>
      <w:r w:rsidRPr="00935C29">
        <w:rPr>
          <w:rFonts w:ascii="Calibri" w:eastAsia="Calibri" w:hAnsi="Calibri" w:cs="Calibri"/>
          <w:sz w:val="24"/>
          <w:szCs w:val="24"/>
          <w:lang w:val="lt-LT"/>
        </w:rPr>
        <w:t xml:space="preserve"> nurodoma: „statiniai, </w:t>
      </w:r>
      <w:r w:rsidRPr="00935C29">
        <w:rPr>
          <w:rFonts w:ascii="Calibri" w:eastAsia="Calibri" w:hAnsi="Calibri" w:cs="Calibri"/>
          <w:b/>
          <w:bCs/>
          <w:sz w:val="24"/>
          <w:szCs w:val="24"/>
          <w:lang w:val="lt-LT"/>
        </w:rPr>
        <w:t>esantys kultūros paveldo objekto teritorijoje</w:t>
      </w:r>
      <w:r w:rsidRPr="00704CD6">
        <w:rPr>
          <w:rFonts w:ascii="Calibri" w:eastAsia="Calibri" w:hAnsi="Calibri" w:cs="Calibri"/>
          <w:b/>
          <w:bCs/>
          <w:sz w:val="24"/>
          <w:szCs w:val="24"/>
          <w:lang w:val="lt-LT"/>
        </w:rPr>
        <w:t>, jo apsaugos zonoje, kultūros paveldo vietovėje</w:t>
      </w:r>
      <w:r w:rsidRPr="00704CD6">
        <w:rPr>
          <w:rFonts w:ascii="Calibri" w:eastAsia="Calibri" w:hAnsi="Calibri" w:cs="Calibri"/>
          <w:sz w:val="24"/>
          <w:szCs w:val="24"/>
          <w:lang w:val="lt-LT"/>
        </w:rPr>
        <w:t>“</w:t>
      </w:r>
      <w:r>
        <w:rPr>
          <w:rFonts w:ascii="Calibri" w:eastAsia="Calibri" w:hAnsi="Calibri" w:cs="Calibri"/>
          <w:sz w:val="24"/>
          <w:szCs w:val="24"/>
          <w:lang w:val="lt-LT"/>
        </w:rPr>
        <w:t>. Atsižvelgiant į tai, rekomenduotina tikslinti Kvalifikacijos reikalavimų 1.3 punkte nurodytą informaciją.</w:t>
      </w:r>
    </w:p>
    <w:p w14:paraId="0FDF6CDF" w14:textId="77777777" w:rsidR="000600AC" w:rsidRDefault="000600AC" w:rsidP="000600AC">
      <w:pPr>
        <w:spacing w:after="0" w:line="276" w:lineRule="auto"/>
        <w:ind w:firstLine="709"/>
        <w:rPr>
          <w:rFonts w:ascii="Calibri" w:hAnsi="Calibri" w:cs="Calibri"/>
          <w:sz w:val="24"/>
          <w:szCs w:val="24"/>
          <w:shd w:val="clear" w:color="auto" w:fill="FFFFFF"/>
          <w:lang w:val="lt-LT"/>
        </w:rPr>
      </w:pPr>
      <w:r>
        <w:rPr>
          <w:rFonts w:ascii="Calibri" w:hAnsi="Calibri" w:cs="Calibri"/>
          <w:sz w:val="24"/>
          <w:szCs w:val="24"/>
          <w:shd w:val="clear" w:color="auto" w:fill="FFFFFF"/>
          <w:lang w:val="lt-LT"/>
        </w:rPr>
        <w:t xml:space="preserve">Atsižvelgiant į tai, kad statinio projekto vadovams kvalifikacijos atestatus ir teisės pripažinimo dokumentus išduoda ne tik VšĮ Statybos sektoriaus vystymo agentūra (buv. VĮ Statybos produkcijos sertifikavimo centras), bet ir </w:t>
      </w:r>
      <w:r w:rsidRPr="004F4A32">
        <w:rPr>
          <w:rFonts w:ascii="Calibri" w:hAnsi="Calibri" w:cs="Calibri"/>
          <w:b/>
          <w:bCs/>
          <w:sz w:val="24"/>
          <w:szCs w:val="24"/>
          <w:shd w:val="clear" w:color="auto" w:fill="FFFFFF"/>
          <w:lang w:val="lt-LT"/>
        </w:rPr>
        <w:t>Lietuvos architektų rūmai</w:t>
      </w:r>
      <w:r>
        <w:rPr>
          <w:rFonts w:ascii="Calibri" w:hAnsi="Calibri" w:cs="Calibri"/>
          <w:sz w:val="24"/>
          <w:szCs w:val="24"/>
          <w:shd w:val="clear" w:color="auto" w:fill="FFFFFF"/>
          <w:lang w:val="lt-LT"/>
        </w:rPr>
        <w:t>, rekomenduotina atitinkamai papildyti Kvalifikacijos reikalavimo, nurodyto 1.3 punkte, pagrindžiančius dokumentus.</w:t>
      </w:r>
    </w:p>
    <w:p w14:paraId="09606B46" w14:textId="77777777" w:rsidR="000600AC" w:rsidRPr="00AB3BD2" w:rsidRDefault="000600AC" w:rsidP="000600AC">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sidRPr="00AB3BD2">
        <w:rPr>
          <w:rFonts w:ascii="Calibri" w:hAnsi="Calibri" w:cs="Calibri"/>
          <w:b/>
          <w:bCs/>
          <w:sz w:val="24"/>
          <w:szCs w:val="24"/>
          <w:lang w:val="lt-LT"/>
        </w:rPr>
        <w:t>Dėl pasiūlymų vertinimo tvarkos</w:t>
      </w:r>
    </w:p>
    <w:p w14:paraId="5300221D" w14:textId="77777777" w:rsidR="000600AC" w:rsidRDefault="000600AC" w:rsidP="000600AC">
      <w:pPr>
        <w:tabs>
          <w:tab w:val="left" w:pos="1134"/>
          <w:tab w:val="left" w:pos="1560"/>
        </w:tabs>
        <w:spacing w:after="0" w:line="276" w:lineRule="auto"/>
        <w:ind w:firstLine="709"/>
        <w:rPr>
          <w:rFonts w:ascii="Calibri" w:hAnsi="Calibri" w:cs="Calibri"/>
          <w:sz w:val="24"/>
          <w:szCs w:val="24"/>
          <w:lang w:val="lt-LT"/>
        </w:rPr>
      </w:pPr>
      <w:r w:rsidRPr="001470A2">
        <w:rPr>
          <w:rFonts w:ascii="Calibri" w:hAnsi="Calibri" w:cs="Calibri"/>
          <w:sz w:val="24"/>
          <w:szCs w:val="24"/>
          <w:shd w:val="clear" w:color="auto" w:fill="FFFFFF"/>
          <w:lang w:val="lt-LT"/>
        </w:rPr>
        <w:t>Kokybės kriterijui „</w:t>
      </w:r>
      <w:r w:rsidRPr="001470A2">
        <w:rPr>
          <w:rFonts w:ascii="Calibri" w:hAnsi="Calibri" w:cs="Calibri"/>
          <w:sz w:val="24"/>
          <w:szCs w:val="24"/>
          <w:lang w:val="lt-LT"/>
        </w:rPr>
        <w:t>Papildomas garantinis terminas” (T) apskaičiuoti taikoma santykinė formulė:</w:t>
      </w:r>
    </w:p>
    <w:p w14:paraId="47298987" w14:textId="77777777" w:rsidR="000600AC" w:rsidRPr="005F32D4" w:rsidRDefault="000600AC" w:rsidP="000600AC">
      <w:pPr>
        <w:tabs>
          <w:tab w:val="left" w:pos="1134"/>
          <w:tab w:val="left" w:pos="1560"/>
        </w:tabs>
        <w:spacing w:after="0" w:line="276" w:lineRule="auto"/>
        <w:ind w:firstLine="709"/>
        <w:rPr>
          <w:rFonts w:cs="Times New Roman"/>
          <w:szCs w:val="24"/>
        </w:rPr>
      </w:pPr>
      <m:oMathPara>
        <m:oMath>
          <m:r>
            <w:rPr>
              <w:rFonts w:ascii="Cambria Math" w:hAnsi="Cambria Math" w:cs="Times New Roman"/>
              <w:szCs w:val="24"/>
            </w:rPr>
            <m:t>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p</m:t>
                  </m:r>
                </m:sub>
              </m:sSub>
            </m:num>
            <m:den>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max</m:t>
                  </m:r>
                </m:sub>
              </m:sSub>
            </m:den>
          </m:f>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oMath>
      </m:oMathPara>
    </w:p>
    <w:p w14:paraId="1F8DD577" w14:textId="77777777" w:rsidR="000600AC" w:rsidRDefault="000600AC" w:rsidP="000600AC">
      <w:pPr>
        <w:tabs>
          <w:tab w:val="left" w:pos="1134"/>
          <w:tab w:val="left" w:pos="1560"/>
        </w:tabs>
        <w:spacing w:after="0" w:line="276" w:lineRule="auto"/>
        <w:ind w:firstLine="709"/>
        <w:rPr>
          <w:rFonts w:ascii="Calibri" w:hAnsi="Calibri" w:cs="Calibri"/>
          <w:sz w:val="24"/>
          <w:szCs w:val="24"/>
          <w:lang w:val="lt-LT"/>
        </w:rPr>
      </w:pPr>
      <w:r w:rsidRPr="001470A2">
        <w:rPr>
          <w:rFonts w:ascii="Calibri" w:hAnsi="Calibri" w:cs="Calibri"/>
          <w:sz w:val="24"/>
          <w:szCs w:val="24"/>
          <w:lang w:val="lt-LT"/>
        </w:rPr>
        <w:t xml:space="preserve">Tarnyba rekomenduoja netaikyti santykinių formulių, kuomet tiekėjų pasiūlymai vertinami juos lyginant tarpusavyje. Rekomenduotina taikyti absoliutines formules, pagal kurias skiriami balai priklauso tik nuo paties vertinamo pasiūlymo (nelyginant pasiūlymų tarpusavyje) arba nustatyti konkrečius balus už atitinkamas kriterijų reikšmes. Daugiau informacijos apie tai </w:t>
      </w:r>
      <w:r w:rsidRPr="001470A2">
        <w:rPr>
          <w:rFonts w:ascii="Calibri" w:hAnsi="Calibri" w:cs="Calibri"/>
          <w:sz w:val="24"/>
          <w:szCs w:val="24"/>
          <w:lang w:val="lt-LT"/>
        </w:rPr>
        <w:lastRenderedPageBreak/>
        <w:t xml:space="preserve">Tarnybos parengtose </w:t>
      </w:r>
      <w:hyperlink r:id="rId11" w:history="1">
        <w:r w:rsidRPr="001470A2">
          <w:rPr>
            <w:rFonts w:ascii="Calibri" w:hAnsi="Calibri" w:cs="Calibri"/>
            <w:color w:val="6E717F"/>
            <w:sz w:val="24"/>
            <w:szCs w:val="24"/>
            <w:lang w:val="lt-LT"/>
          </w:rPr>
          <w:t>Ekonomiškai naudingiausio pasiūlymo vertinimo gairėse</w:t>
        </w:r>
      </w:hyperlink>
      <w:r w:rsidRPr="001470A2">
        <w:rPr>
          <w:rFonts w:ascii="Calibri" w:hAnsi="Calibri" w:cs="Calibri"/>
          <w:sz w:val="24"/>
          <w:szCs w:val="24"/>
          <w:lang w:val="lt-LT"/>
        </w:rPr>
        <w:t xml:space="preserve"> ir </w:t>
      </w:r>
      <w:hyperlink r:id="rId12" w:history="1">
        <w:r w:rsidRPr="006E1FC4">
          <w:rPr>
            <w:rStyle w:val="Hyperlink"/>
            <w:rFonts w:ascii="Calibri" w:hAnsi="Calibri" w:cs="Calibri"/>
            <w:sz w:val="24"/>
            <w:szCs w:val="24"/>
            <w:lang w:val="lt-LT"/>
          </w:rPr>
          <w:t>Ekonominio naudingumo skaičiuoklėje pateiktų formulių aprašymuose</w:t>
        </w:r>
      </w:hyperlink>
      <w:r w:rsidRPr="001470A2">
        <w:rPr>
          <w:rFonts w:ascii="Calibri" w:hAnsi="Calibri" w:cs="Calibri"/>
          <w:sz w:val="24"/>
          <w:szCs w:val="24"/>
          <w:lang w:val="lt-LT"/>
        </w:rPr>
        <w:t>.</w:t>
      </w:r>
    </w:p>
    <w:p w14:paraId="1F42EC68" w14:textId="77777777" w:rsidR="000600AC" w:rsidRPr="001470A2" w:rsidRDefault="000600AC" w:rsidP="000600AC">
      <w:pPr>
        <w:tabs>
          <w:tab w:val="left" w:pos="1134"/>
        </w:tabs>
        <w:spacing w:after="0" w:line="276" w:lineRule="auto"/>
        <w:ind w:firstLine="709"/>
        <w:rPr>
          <w:rFonts w:ascii="Calibri" w:hAnsi="Calibri" w:cs="Calibri"/>
          <w:sz w:val="24"/>
          <w:szCs w:val="24"/>
          <w:lang w:val="lt-LT"/>
        </w:rPr>
      </w:pPr>
      <w:r w:rsidRPr="001470A2">
        <w:rPr>
          <w:rFonts w:ascii="Calibri" w:hAnsi="Calibri" w:cs="Calibri"/>
          <w:sz w:val="24"/>
          <w:szCs w:val="24"/>
          <w:lang w:val="lt-LT"/>
        </w:rPr>
        <w:t xml:space="preserve">Tuo atveju, kai Perkančioji organizacija pasirenka taikyti santykines formules, Tarnyba rekomenduoja Pirkimo dokumentuose aiškiai aprašyti, kaip bus sprendžiamos tokios situacijos, kai atlikus balų apskaičiavimą galimas laimėtojas pasitrauks ar bus pašalintas iš Pirkimo procedūrų (pavyzdžiui, atitiks pašalinimo pagrindus, neatitiks kvalifikacijos reikalavimų, nepateiks sutarties įvykdymo užtikrinimo ir t.t.). Pirkimo dokumentuose turėtų būti numatyta galimybė tokiais atvejais perskaičiuoti jau suteiktus balus, tokiu būdu išvengiant reikšmingo reitingavimo paradokso situacijų. Plačiau apie reikšmingą reitingavimo paradoksą žr. </w:t>
      </w:r>
      <w:hyperlink r:id="rId13" w:history="1">
        <w:r w:rsidRPr="001470A2">
          <w:rPr>
            <w:rFonts w:ascii="Calibri" w:hAnsi="Calibri" w:cs="Calibri"/>
            <w:color w:val="6E717F"/>
            <w:sz w:val="24"/>
            <w:szCs w:val="24"/>
            <w:lang w:val="lt-LT"/>
          </w:rPr>
          <w:t>Ekonomiškai naudingiausio pasiūlymo vertinimo gairių</w:t>
        </w:r>
      </w:hyperlink>
      <w:r w:rsidRPr="001470A2">
        <w:rPr>
          <w:rFonts w:ascii="Calibri" w:hAnsi="Calibri" w:cs="Calibri"/>
          <w:sz w:val="24"/>
          <w:szCs w:val="24"/>
          <w:lang w:val="lt-LT"/>
        </w:rPr>
        <w:t xml:space="preserve"> 18 psl. skyrelyje „Reitingavimo paradoksas“.</w:t>
      </w:r>
    </w:p>
    <w:p w14:paraId="657411C5" w14:textId="77777777" w:rsidR="000600AC" w:rsidRPr="00C23D15" w:rsidRDefault="000600AC" w:rsidP="000600AC">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sidRPr="00C23D15">
        <w:rPr>
          <w:rFonts w:ascii="Calibri" w:hAnsi="Calibri" w:cs="Calibri"/>
          <w:b/>
          <w:bCs/>
          <w:sz w:val="24"/>
          <w:szCs w:val="24"/>
          <w:lang w:val="lt-LT"/>
        </w:rPr>
        <w:t>Dėl Sutarties projekto nuostatų</w:t>
      </w:r>
    </w:p>
    <w:p w14:paraId="30DA910D" w14:textId="77777777" w:rsidR="000600AC" w:rsidRDefault="000600AC" w:rsidP="000600AC">
      <w:pPr>
        <w:pStyle w:val="Stilius3"/>
        <w:numPr>
          <w:ilvl w:val="1"/>
          <w:numId w:val="1"/>
        </w:numPr>
        <w:spacing w:before="0" w:line="276" w:lineRule="auto"/>
        <w:ind w:left="0" w:firstLine="709"/>
        <w:jc w:val="left"/>
        <w:rPr>
          <w:rFonts w:ascii="Calibri" w:hAnsi="Calibri" w:cs="Calibri"/>
          <w:sz w:val="24"/>
          <w:szCs w:val="24"/>
        </w:rPr>
      </w:pPr>
      <w:r w:rsidRPr="00A80300">
        <w:rPr>
          <w:rFonts w:ascii="Calibri" w:hAnsi="Calibri" w:cs="Calibri"/>
          <w:sz w:val="24"/>
          <w:szCs w:val="24"/>
        </w:rPr>
        <w:t>Sutarties projekto 5.29 punkte nustatyta, kad „Rangovas vykdant Sutartį privalo užtikrinti, kad statybos rangos darbai, nurodyti Veiklų sąrašo 2–14 eilutėse</w:t>
      </w:r>
      <w:r w:rsidRPr="00A80300">
        <w:rPr>
          <w:rFonts w:ascii="Calibri" w:hAnsi="Calibri" w:cs="Calibri"/>
          <w:sz w:val="24"/>
          <w:szCs w:val="24"/>
          <w:lang w:eastAsia="lt-LT"/>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Sutarties projekto 11.6 punkte nurodyta, kad „Rangovui </w:t>
      </w:r>
      <w:r w:rsidRPr="00A80300">
        <w:rPr>
          <w:rFonts w:ascii="Calibri" w:hAnsi="Calibri" w:cs="Calibri"/>
          <w:b/>
          <w:bCs/>
          <w:sz w:val="24"/>
          <w:szCs w:val="24"/>
        </w:rPr>
        <w:t>nesilaikant šios Sutarties 5.29 punkte nurodytų įsipareigojimų</w:t>
      </w:r>
      <w:r w:rsidRPr="00A80300">
        <w:rPr>
          <w:rFonts w:ascii="Calibri" w:hAnsi="Calibri" w:cs="Calibri"/>
          <w:sz w:val="24"/>
          <w:szCs w:val="24"/>
        </w:rPr>
        <w:t xml:space="preserve">, už kiekvieną nustatytą pažeidimą Rangovui taikoma </w:t>
      </w:r>
      <w:r w:rsidRPr="00A80300">
        <w:rPr>
          <w:rFonts w:ascii="Calibri" w:hAnsi="Calibri" w:cs="Calibri"/>
          <w:b/>
          <w:bCs/>
          <w:sz w:val="24"/>
          <w:szCs w:val="24"/>
        </w:rPr>
        <w:t xml:space="preserve">1000 Eur </w:t>
      </w:r>
      <w:r w:rsidRPr="00A80300">
        <w:rPr>
          <w:rFonts w:ascii="Calibri" w:hAnsi="Calibri" w:cs="Calibri"/>
          <w:sz w:val="24"/>
          <w:szCs w:val="24"/>
        </w:rPr>
        <w:t xml:space="preserve">(vieno tūkstančio eurų) dydžio bauda“. </w:t>
      </w:r>
      <w:r w:rsidRPr="00A80300">
        <w:rPr>
          <w:rFonts w:ascii="Calibri" w:hAnsi="Calibri" w:cs="Calibri"/>
          <w:sz w:val="24"/>
          <w:szCs w:val="24"/>
          <w:lang w:eastAsia="lt-LT"/>
        </w:rPr>
        <w:t>Sutarties projekto 12.3.11 punkte pažymėta, kad „</w:t>
      </w:r>
      <w:r w:rsidRPr="00A80300">
        <w:rPr>
          <w:rFonts w:ascii="Calibri" w:hAnsi="Calibri" w:cs="Calibri"/>
          <w:sz w:val="24"/>
          <w:szCs w:val="24"/>
        </w:rPr>
        <w:t xml:space="preserve">Užsakovas privalo &lt;...&gt;, </w:t>
      </w:r>
      <w:r w:rsidRPr="00A80300">
        <w:rPr>
          <w:rFonts w:ascii="Calibri" w:hAnsi="Calibri" w:cs="Calibri"/>
          <w:b/>
          <w:bCs/>
          <w:sz w:val="24"/>
          <w:szCs w:val="24"/>
        </w:rPr>
        <w:t xml:space="preserve">nutraukti Sutartį </w:t>
      </w:r>
      <w:r w:rsidRPr="00A80300">
        <w:rPr>
          <w:rFonts w:ascii="Calibri" w:hAnsi="Calibri" w:cs="Calibri"/>
          <w:sz w:val="24"/>
          <w:szCs w:val="24"/>
        </w:rPr>
        <w:t xml:space="preserve">ir pašalinti Rangovą iš Statybvietės dėl šių esminių sutarties pažeidimų: 12.3.11. Jeigu Rangovas ar Subrangovai kartu ar atskirai daugiau kaip du kartus pažeidė Sutarties 5.26-5.28 punktus, ar </w:t>
      </w:r>
      <w:r w:rsidRPr="00A80300">
        <w:rPr>
          <w:rFonts w:ascii="Calibri" w:hAnsi="Calibri" w:cs="Calibri"/>
          <w:b/>
          <w:bCs/>
          <w:sz w:val="24"/>
          <w:szCs w:val="24"/>
        </w:rPr>
        <w:t>nesilaiko 5.29 punkto reikalavimų</w:t>
      </w:r>
      <w:r w:rsidRPr="00A80300">
        <w:rPr>
          <w:rFonts w:ascii="Calibri" w:hAnsi="Calibri" w:cs="Calibri"/>
          <w:sz w:val="24"/>
          <w:szCs w:val="24"/>
        </w:rPr>
        <w:t>“.</w:t>
      </w:r>
    </w:p>
    <w:p w14:paraId="4BFB7B6F" w14:textId="77777777" w:rsidR="000600AC" w:rsidRPr="00E81CE7" w:rsidRDefault="000600AC" w:rsidP="000600AC">
      <w:pPr>
        <w:pStyle w:val="Stilius3"/>
        <w:spacing w:before="0" w:line="276" w:lineRule="auto"/>
        <w:ind w:firstLine="709"/>
        <w:jc w:val="left"/>
        <w:rPr>
          <w:rFonts w:ascii="Calibri" w:hAnsi="Calibri" w:cs="Calibri"/>
          <w:sz w:val="24"/>
          <w:szCs w:val="24"/>
        </w:rPr>
      </w:pPr>
      <w:r w:rsidRPr="00E81CE7">
        <w:rPr>
          <w:rFonts w:ascii="Calibri" w:hAnsi="Calibri" w:cs="Calibri"/>
          <w:sz w:val="24"/>
          <w:szCs w:val="24"/>
        </w:rPr>
        <w:t xml:space="preserve">Sutarties projekto </w:t>
      </w:r>
      <w:r>
        <w:rPr>
          <w:rFonts w:ascii="Calibri" w:hAnsi="Calibri" w:cs="Calibri"/>
          <w:sz w:val="24"/>
          <w:szCs w:val="24"/>
        </w:rPr>
        <w:t>11.6</w:t>
      </w:r>
      <w:r w:rsidRPr="00E81CE7">
        <w:rPr>
          <w:rFonts w:ascii="Calibri" w:hAnsi="Calibri" w:cs="Calibri"/>
          <w:sz w:val="24"/>
          <w:szCs w:val="24"/>
        </w:rPr>
        <w:t xml:space="preserve"> bei 12.3.11 punktuose nustatytos sankcijos už aplinkos apsaugos vadybos sistemos reikalavimų nesilaikymą</w:t>
      </w:r>
      <w:r>
        <w:rPr>
          <w:rFonts w:ascii="Calibri" w:hAnsi="Calibri" w:cs="Calibri"/>
          <w:sz w:val="24"/>
          <w:szCs w:val="24"/>
        </w:rPr>
        <w:t xml:space="preserve"> yra neaiškios ir dviprasmiškos (neaišku: ar Sutartis nutraukiama, jei tiekėjas </w:t>
      </w:r>
      <w:r w:rsidRPr="000D6464">
        <w:rPr>
          <w:rFonts w:ascii="Calibri" w:hAnsi="Calibri" w:cs="Calibri"/>
          <w:b/>
          <w:bCs/>
          <w:sz w:val="24"/>
          <w:szCs w:val="24"/>
        </w:rPr>
        <w:t xml:space="preserve">nesilaiko </w:t>
      </w:r>
      <w:r>
        <w:rPr>
          <w:rFonts w:ascii="Calibri" w:hAnsi="Calibri" w:cs="Calibri"/>
          <w:sz w:val="24"/>
          <w:szCs w:val="24"/>
        </w:rPr>
        <w:t xml:space="preserve">Sutarties projekto 2.9 punkto reikalavimų; ar Sutartis nutraukiama, jei tiekėjas </w:t>
      </w:r>
      <w:r w:rsidRPr="000D6464">
        <w:rPr>
          <w:rFonts w:ascii="Calibri" w:hAnsi="Calibri" w:cs="Calibri"/>
          <w:b/>
          <w:bCs/>
          <w:sz w:val="24"/>
          <w:szCs w:val="24"/>
        </w:rPr>
        <w:t>du kartus nesilaiko</w:t>
      </w:r>
      <w:r>
        <w:rPr>
          <w:rFonts w:ascii="Calibri" w:hAnsi="Calibri" w:cs="Calibri"/>
          <w:sz w:val="24"/>
          <w:szCs w:val="24"/>
        </w:rPr>
        <w:t xml:space="preserve"> Sutarties projekto 5.29 punkto reikalavimų),</w:t>
      </w:r>
      <w:r w:rsidRPr="00E81CE7">
        <w:rPr>
          <w:rFonts w:ascii="Calibri" w:hAnsi="Calibri" w:cs="Calibri"/>
          <w:sz w:val="24"/>
          <w:szCs w:val="24"/>
        </w:rPr>
        <w:t xml:space="preserve"> todėl rekomenduotina šias Sutarties projekto nuostatas pakartotinai įsivertinti ir, jei yra poreikis, tikslinti.</w:t>
      </w:r>
    </w:p>
    <w:p w14:paraId="09BB37C1" w14:textId="77777777" w:rsidR="000600AC" w:rsidRPr="00D27A14" w:rsidRDefault="000600AC" w:rsidP="000600AC">
      <w:pPr>
        <w:pStyle w:val="ListParagraph"/>
        <w:numPr>
          <w:ilvl w:val="1"/>
          <w:numId w:val="1"/>
        </w:numPr>
        <w:spacing w:after="0" w:line="276" w:lineRule="auto"/>
        <w:ind w:left="0" w:firstLine="720"/>
        <w:rPr>
          <w:rFonts w:ascii="Calibri" w:hAnsi="Calibri" w:cs="Calibri"/>
          <w:sz w:val="24"/>
          <w:szCs w:val="24"/>
          <w:shd w:val="clear" w:color="auto" w:fill="FFFFFF"/>
          <w:lang w:val="lt-LT"/>
        </w:rPr>
      </w:pPr>
      <w:r w:rsidRPr="00D27A14">
        <w:rPr>
          <w:rFonts w:ascii="Calibri" w:hAnsi="Calibri" w:cs="Calibri"/>
          <w:sz w:val="24"/>
          <w:szCs w:val="24"/>
          <w:lang w:val="lt-LT"/>
        </w:rPr>
        <w:t xml:space="preserve">Sutarties projekto 7.2 punkte nustatyta, kad „Rangovas nepateikia Užsakovui Sutartyje nustatytos vertės Sutarties įvykdymo užtikrinimo per Sutartyje nustatytą terminą, laikoma, kad Rangovas atsisakė sudaryti Sutartį ir Užsakovas turi teisę </w:t>
      </w:r>
      <w:r w:rsidRPr="00D27A14">
        <w:rPr>
          <w:rFonts w:ascii="Calibri" w:hAnsi="Calibri" w:cs="Calibri"/>
          <w:b/>
          <w:bCs/>
          <w:sz w:val="24"/>
          <w:szCs w:val="24"/>
          <w:lang w:val="lt-LT"/>
        </w:rPr>
        <w:t>PĮ</w:t>
      </w:r>
      <w:r w:rsidRPr="00D27A14">
        <w:rPr>
          <w:rFonts w:ascii="Calibri" w:hAnsi="Calibri" w:cs="Calibri"/>
          <w:sz w:val="24"/>
          <w:szCs w:val="24"/>
          <w:lang w:val="lt-LT"/>
        </w:rPr>
        <w:t xml:space="preserve"> nustatyta tvarka pasiūlyti sudaryti Sutartį kitam tiekėjui, ir tokiu atveju Užsakovas turi teisę pasinaudoti Rangovo pasiūlymo galiojimo užtikrinimu </w:t>
      </w:r>
      <w:r w:rsidRPr="00D27A14">
        <w:rPr>
          <w:rFonts w:ascii="Calibri" w:hAnsi="Calibri" w:cs="Calibri"/>
          <w:b/>
          <w:bCs/>
          <w:sz w:val="24"/>
          <w:szCs w:val="24"/>
          <w:lang w:val="lt-LT"/>
        </w:rPr>
        <w:t>atitinkamoje pirkimo objekto dalyje</w:t>
      </w:r>
      <w:r w:rsidRPr="00D27A14">
        <w:rPr>
          <w:rFonts w:ascii="Calibri" w:hAnsi="Calibri" w:cs="Calibri"/>
          <w:sz w:val="24"/>
          <w:szCs w:val="24"/>
          <w:lang w:val="lt-LT"/>
        </w:rPr>
        <w:t>, dėl kurios Rangovas atsisakė sudaryti Sutartį, pateiktu vykdant Darbų viešojo pirkimo procedūras“.</w:t>
      </w:r>
    </w:p>
    <w:p w14:paraId="6E56A633" w14:textId="77777777" w:rsidR="000600AC" w:rsidRDefault="000600AC" w:rsidP="000600AC">
      <w:pPr>
        <w:pStyle w:val="ListParagraph"/>
        <w:tabs>
          <w:tab w:val="left" w:pos="1134"/>
        </w:tabs>
        <w:spacing w:after="0" w:line="276" w:lineRule="auto"/>
        <w:ind w:left="0" w:firstLine="709"/>
        <w:jc w:val="both"/>
        <w:rPr>
          <w:rFonts w:ascii="Calibri" w:hAnsi="Calibri" w:cs="Calibri"/>
          <w:sz w:val="24"/>
          <w:szCs w:val="24"/>
          <w:lang w:val="lt-LT"/>
        </w:rPr>
      </w:pPr>
      <w:r w:rsidRPr="00AD020A">
        <w:rPr>
          <w:rFonts w:ascii="Calibri" w:hAnsi="Calibri" w:cs="Calibri"/>
          <w:sz w:val="24"/>
          <w:szCs w:val="24"/>
          <w:shd w:val="clear" w:color="auto" w:fill="FFFFFF"/>
          <w:lang w:val="lt-LT"/>
        </w:rPr>
        <w:lastRenderedPageBreak/>
        <w:t>Atsižvelgiant į tai, kad „</w:t>
      </w:r>
      <w:r w:rsidRPr="00AD020A">
        <w:rPr>
          <w:rFonts w:ascii="Calibri" w:hAnsi="Calibri" w:cs="Calibri"/>
          <w:sz w:val="24"/>
          <w:szCs w:val="24"/>
          <w:lang w:val="lt-LT"/>
        </w:rPr>
        <w:t xml:space="preserve">Pirkimas vykdomas &lt;...&gt;, vadovaujantis </w:t>
      </w:r>
      <w:r w:rsidRPr="00AD020A">
        <w:rPr>
          <w:rFonts w:ascii="Calibri" w:hAnsi="Calibri" w:cs="Calibri"/>
          <w:b/>
          <w:bCs/>
          <w:sz w:val="24"/>
          <w:szCs w:val="24"/>
          <w:lang w:val="lt-LT"/>
        </w:rPr>
        <w:t>VPĮ,</w:t>
      </w:r>
      <w:r w:rsidRPr="00AD020A">
        <w:rPr>
          <w:rFonts w:ascii="Calibri" w:hAnsi="Calibri" w:cs="Calibri"/>
          <w:sz w:val="24"/>
          <w:szCs w:val="24"/>
          <w:lang w:val="lt-LT"/>
        </w:rPr>
        <w:t xml:space="preserve"> &lt;...&gt;“</w:t>
      </w:r>
      <w:r>
        <w:rPr>
          <w:rFonts w:ascii="Calibri" w:hAnsi="Calibri" w:cs="Calibri"/>
          <w:sz w:val="24"/>
          <w:szCs w:val="24"/>
          <w:lang w:val="lt-LT"/>
        </w:rPr>
        <w:t xml:space="preserve"> (</w:t>
      </w:r>
      <w:r w:rsidRPr="00AD020A">
        <w:rPr>
          <w:rFonts w:ascii="Calibri" w:hAnsi="Calibri" w:cs="Calibri"/>
          <w:sz w:val="24"/>
          <w:szCs w:val="24"/>
          <w:shd w:val="clear" w:color="auto" w:fill="FFFFFF"/>
          <w:lang w:val="lt-LT"/>
        </w:rPr>
        <w:t>Pirkimo Bendrųjų sąlygų 2.2 punkt</w:t>
      </w:r>
      <w:r>
        <w:rPr>
          <w:rFonts w:ascii="Calibri" w:hAnsi="Calibri" w:cs="Calibri"/>
          <w:sz w:val="24"/>
          <w:szCs w:val="24"/>
          <w:shd w:val="clear" w:color="auto" w:fill="FFFFFF"/>
          <w:lang w:val="lt-LT"/>
        </w:rPr>
        <w:t>as</w:t>
      </w:r>
      <w:r>
        <w:rPr>
          <w:rFonts w:ascii="Calibri" w:hAnsi="Calibri" w:cs="Calibri"/>
          <w:sz w:val="24"/>
          <w:szCs w:val="24"/>
          <w:lang w:val="lt-LT"/>
        </w:rPr>
        <w:t>)</w:t>
      </w:r>
      <w:r w:rsidRPr="00AD020A">
        <w:rPr>
          <w:rFonts w:ascii="Calibri" w:hAnsi="Calibri" w:cs="Calibri"/>
          <w:sz w:val="24"/>
          <w:szCs w:val="24"/>
          <w:lang w:val="lt-LT"/>
        </w:rPr>
        <w:t>,</w:t>
      </w:r>
      <w:r>
        <w:rPr>
          <w:rFonts w:ascii="Calibri" w:hAnsi="Calibri" w:cs="Calibri"/>
          <w:sz w:val="24"/>
          <w:szCs w:val="24"/>
          <w:lang w:val="lt-LT"/>
        </w:rPr>
        <w:t xml:space="preserve"> o ne PĮ, be to, </w:t>
      </w:r>
      <w:r w:rsidRPr="00D27A14">
        <w:rPr>
          <w:rFonts w:ascii="Calibri" w:hAnsi="Calibri" w:cs="Calibri"/>
          <w:sz w:val="24"/>
          <w:szCs w:val="24"/>
          <w:lang w:val="lt-LT"/>
        </w:rPr>
        <w:t>„</w:t>
      </w:r>
      <w:r w:rsidRPr="002651CF">
        <w:rPr>
          <w:rFonts w:ascii="Calibri" w:eastAsia="Calibri" w:hAnsi="Calibri" w:cs="Calibri"/>
          <w:b/>
          <w:bCs/>
          <w:sz w:val="24"/>
          <w:szCs w:val="24"/>
          <w:lang w:val="lt-LT"/>
        </w:rPr>
        <w:t>Pirkimo</w:t>
      </w:r>
      <w:r w:rsidRPr="002651CF">
        <w:rPr>
          <w:rFonts w:ascii="Calibri" w:hAnsi="Calibri" w:cs="Calibri"/>
          <w:b/>
          <w:bCs/>
          <w:sz w:val="24"/>
          <w:szCs w:val="24"/>
          <w:lang w:val="lt-LT"/>
        </w:rPr>
        <w:t xml:space="preserve"> objektas į dalis neskaidomas</w:t>
      </w:r>
      <w:r w:rsidRPr="00D27A14">
        <w:rPr>
          <w:rFonts w:ascii="Calibri" w:hAnsi="Calibri" w:cs="Calibri"/>
          <w:sz w:val="24"/>
          <w:szCs w:val="24"/>
          <w:lang w:val="lt-LT"/>
        </w:rPr>
        <w:t xml:space="preserve"> &lt;...&gt;“</w:t>
      </w:r>
      <w:r>
        <w:rPr>
          <w:rFonts w:ascii="Calibri" w:hAnsi="Calibri" w:cs="Calibri"/>
          <w:sz w:val="24"/>
          <w:szCs w:val="24"/>
          <w:lang w:val="lt-LT"/>
        </w:rPr>
        <w:t xml:space="preserve"> (</w:t>
      </w:r>
      <w:r w:rsidRPr="00D27A14">
        <w:rPr>
          <w:rFonts w:ascii="Calibri" w:hAnsi="Calibri" w:cs="Calibri"/>
          <w:sz w:val="24"/>
          <w:szCs w:val="24"/>
          <w:lang w:val="lt-LT"/>
        </w:rPr>
        <w:t>Pirkimo Specialiųjų sąlygų 2.2 punkt</w:t>
      </w:r>
      <w:r>
        <w:rPr>
          <w:rFonts w:ascii="Calibri" w:hAnsi="Calibri" w:cs="Calibri"/>
          <w:sz w:val="24"/>
          <w:szCs w:val="24"/>
          <w:lang w:val="lt-LT"/>
        </w:rPr>
        <w:t xml:space="preserve">as), </w:t>
      </w:r>
      <w:r w:rsidRPr="00D27A14">
        <w:rPr>
          <w:rFonts w:ascii="Calibri" w:hAnsi="Calibri" w:cs="Calibri"/>
          <w:sz w:val="24"/>
          <w:szCs w:val="24"/>
          <w:lang w:val="lt-LT"/>
        </w:rPr>
        <w:t>rekomenduotina</w:t>
      </w:r>
      <w:r>
        <w:rPr>
          <w:rFonts w:ascii="Calibri" w:hAnsi="Calibri" w:cs="Calibri"/>
          <w:sz w:val="24"/>
          <w:szCs w:val="24"/>
          <w:lang w:val="lt-LT"/>
        </w:rPr>
        <w:t xml:space="preserve"> atitinkamai</w:t>
      </w:r>
      <w:r w:rsidRPr="00D27A14">
        <w:rPr>
          <w:rFonts w:ascii="Calibri" w:hAnsi="Calibri" w:cs="Calibri"/>
          <w:sz w:val="24"/>
          <w:szCs w:val="24"/>
          <w:lang w:val="lt-LT"/>
        </w:rPr>
        <w:t xml:space="preserve"> </w:t>
      </w:r>
      <w:r>
        <w:rPr>
          <w:rFonts w:ascii="Calibri" w:hAnsi="Calibri" w:cs="Calibri"/>
          <w:sz w:val="24"/>
          <w:szCs w:val="24"/>
          <w:lang w:val="lt-LT"/>
        </w:rPr>
        <w:t>pa</w:t>
      </w:r>
      <w:r w:rsidRPr="00D27A14">
        <w:rPr>
          <w:rFonts w:ascii="Calibri" w:hAnsi="Calibri" w:cs="Calibri"/>
          <w:sz w:val="24"/>
          <w:szCs w:val="24"/>
          <w:lang w:val="lt-LT"/>
        </w:rPr>
        <w:t>tikslinti Sutarties projekto 7.2 punktą.</w:t>
      </w:r>
    </w:p>
    <w:p w14:paraId="0D32F07C" w14:textId="77777777" w:rsidR="000600AC" w:rsidRPr="001008ED" w:rsidRDefault="000600AC" w:rsidP="000600AC">
      <w:pPr>
        <w:pStyle w:val="ListParagraph"/>
        <w:numPr>
          <w:ilvl w:val="1"/>
          <w:numId w:val="1"/>
        </w:numPr>
        <w:tabs>
          <w:tab w:val="left" w:pos="1134"/>
        </w:tabs>
        <w:spacing w:after="0" w:line="276" w:lineRule="auto"/>
        <w:ind w:left="0" w:firstLine="709"/>
        <w:jc w:val="both"/>
        <w:rPr>
          <w:rFonts w:ascii="Calibri" w:hAnsi="Calibri" w:cs="Calibri"/>
          <w:sz w:val="24"/>
          <w:szCs w:val="24"/>
          <w:shd w:val="clear" w:color="auto" w:fill="FFFFFF"/>
          <w:lang w:val="lt-LT"/>
        </w:rPr>
      </w:pPr>
      <w:r w:rsidRPr="001008ED">
        <w:rPr>
          <w:rFonts w:ascii="Calibri" w:hAnsi="Calibri" w:cs="Calibri"/>
          <w:sz w:val="24"/>
          <w:szCs w:val="24"/>
          <w:lang w:val="lt-LT"/>
        </w:rPr>
        <w:t xml:space="preserve">Sutarties projekto 7.15 punkte nustatyta, kad „Sutartyje nustatytomis sąlygomis </w:t>
      </w:r>
      <w:r w:rsidRPr="001008ED">
        <w:rPr>
          <w:rFonts w:ascii="Calibri" w:eastAsia="Arial" w:hAnsi="Calibri" w:cs="Calibri"/>
          <w:b/>
          <w:bCs/>
          <w:sz w:val="24"/>
          <w:szCs w:val="24"/>
          <w:lang w:val="lt-LT"/>
        </w:rPr>
        <w:t>Paslaugų</w:t>
      </w:r>
      <w:r w:rsidRPr="001008ED">
        <w:rPr>
          <w:rFonts w:ascii="Calibri" w:hAnsi="Calibri" w:cs="Calibri"/>
          <w:sz w:val="24"/>
          <w:szCs w:val="24"/>
          <w:lang w:val="lt-LT"/>
        </w:rPr>
        <w:t xml:space="preserve"> suteikimo terminas yra pratęsiamas arba nukeliamas dėl Sutarties sustabdymo, arba suteikti </w:t>
      </w:r>
      <w:r w:rsidRPr="001008ED">
        <w:rPr>
          <w:rFonts w:ascii="Calibri" w:eastAsia="Arial" w:hAnsi="Calibri" w:cs="Calibri"/>
          <w:b/>
          <w:bCs/>
          <w:sz w:val="24"/>
          <w:szCs w:val="24"/>
          <w:lang w:val="lt-LT"/>
        </w:rPr>
        <w:t>Paslaugas</w:t>
      </w:r>
      <w:r w:rsidRPr="001008ED">
        <w:rPr>
          <w:rFonts w:ascii="Calibri" w:hAnsi="Calibri" w:cs="Calibri"/>
          <w:sz w:val="24"/>
          <w:szCs w:val="24"/>
          <w:lang w:val="lt-LT"/>
        </w:rPr>
        <w:t xml:space="preserve"> arba taisyti </w:t>
      </w:r>
      <w:r w:rsidRPr="001008ED">
        <w:rPr>
          <w:rFonts w:ascii="Calibri" w:eastAsia="Arial" w:hAnsi="Calibri" w:cs="Calibri"/>
          <w:b/>
          <w:bCs/>
          <w:sz w:val="24"/>
          <w:szCs w:val="24"/>
          <w:lang w:val="lt-LT"/>
        </w:rPr>
        <w:t>Paslaugų</w:t>
      </w:r>
      <w:r w:rsidRPr="001008ED">
        <w:rPr>
          <w:rFonts w:ascii="Calibri" w:hAnsi="Calibri" w:cs="Calibri"/>
          <w:b/>
          <w:bCs/>
          <w:sz w:val="24"/>
          <w:szCs w:val="24"/>
          <w:lang w:val="lt-LT"/>
        </w:rPr>
        <w:t xml:space="preserve"> </w:t>
      </w:r>
      <w:r w:rsidRPr="001008ED">
        <w:rPr>
          <w:rFonts w:ascii="Calibri" w:hAnsi="Calibri" w:cs="Calibri"/>
          <w:sz w:val="24"/>
          <w:szCs w:val="24"/>
          <w:lang w:val="lt-LT"/>
        </w:rPr>
        <w:t>trūkumus yra vėluojama, Rangovas privalo užtikrinti Sutarties įvykdymo užtikrinimo galiojimą įvertinant Sutarties 7.12 punkto nuostatas dėl galiojimo termino ir ne vėliau kaip iki Sutarties įvykdymo užtikrinimo galiojimo termino pabaigos privalo Užsakovui pateikti naują arba pratęstą Sutarties įvykdymo užtikrinimą“. Atsižvelgiant į tai, kad šio pirkimo objektas yra „</w:t>
      </w:r>
      <w:r w:rsidRPr="001008ED">
        <w:rPr>
          <w:rFonts w:ascii="Calibri" w:eastAsia="Calibri" w:hAnsi="Calibri" w:cs="Calibri"/>
          <w:sz w:val="24"/>
          <w:szCs w:val="24"/>
          <w:lang w:val="lt-LT"/>
        </w:rPr>
        <w:t xml:space="preserve">Gyvenamosios paskirties (įvairių socialinių grupių asmenims) namo, Ventos g. 13A, Kuršėnai, Šiaulių r. sav., naujos statybos </w:t>
      </w:r>
      <w:r w:rsidRPr="001008ED">
        <w:rPr>
          <w:rFonts w:ascii="Calibri" w:eastAsia="Calibri" w:hAnsi="Calibri" w:cs="Calibri"/>
          <w:b/>
          <w:bCs/>
          <w:sz w:val="24"/>
          <w:szCs w:val="24"/>
          <w:lang w:val="lt-LT"/>
        </w:rPr>
        <w:t>darbai</w:t>
      </w:r>
      <w:r w:rsidRPr="001008ED">
        <w:rPr>
          <w:rFonts w:ascii="Calibri" w:eastAsia="Calibri" w:hAnsi="Calibri" w:cs="Calibri"/>
          <w:sz w:val="24"/>
          <w:szCs w:val="24"/>
          <w:lang w:val="lt-LT"/>
        </w:rPr>
        <w:t>“, rekomenduotina tikslinti Sutarties projekto 7.15 punktą.</w:t>
      </w:r>
    </w:p>
    <w:p w14:paraId="7640858F" w14:textId="77777777" w:rsidR="000600AC" w:rsidRDefault="000600AC" w:rsidP="000600AC">
      <w:pPr>
        <w:pStyle w:val="Stilius3"/>
        <w:numPr>
          <w:ilvl w:val="1"/>
          <w:numId w:val="1"/>
        </w:numPr>
        <w:tabs>
          <w:tab w:val="left" w:pos="870"/>
        </w:tabs>
        <w:spacing w:before="0" w:line="276" w:lineRule="auto"/>
        <w:ind w:left="0" w:firstLine="709"/>
        <w:rPr>
          <w:rFonts w:ascii="Calibri" w:hAnsi="Calibri" w:cs="Calibri"/>
          <w:sz w:val="24"/>
          <w:szCs w:val="24"/>
        </w:rPr>
      </w:pPr>
      <w:r w:rsidRPr="00D63068">
        <w:rPr>
          <w:rFonts w:ascii="Calibri" w:hAnsi="Calibri" w:cs="Calibri"/>
          <w:sz w:val="24"/>
          <w:szCs w:val="24"/>
          <w:shd w:val="clear" w:color="auto" w:fill="FFFFFF"/>
        </w:rPr>
        <w:t>Sutarties projekto 7.16 punkte nustatyta, kad „</w:t>
      </w:r>
      <w:r w:rsidRPr="00D63068">
        <w:rPr>
          <w:rFonts w:ascii="Calibri" w:hAnsi="Calibri" w:cs="Calibri"/>
          <w:sz w:val="24"/>
          <w:szCs w:val="24"/>
        </w:rPr>
        <w:t xml:space="preserve">Rangovui laiku </w:t>
      </w:r>
      <w:r w:rsidRPr="00C778C2">
        <w:rPr>
          <w:rFonts w:ascii="Calibri" w:hAnsi="Calibri" w:cs="Calibri"/>
          <w:sz w:val="24"/>
          <w:szCs w:val="24"/>
        </w:rPr>
        <w:t>nepratęsus Sutarties įvykdymo užtikrinimo galiojimo termino arba nepateikus naujo Sutarties įvykdymo užtikrinimo,</w:t>
      </w:r>
      <w:r w:rsidRPr="00D63068">
        <w:rPr>
          <w:rFonts w:ascii="Calibri" w:hAnsi="Calibri" w:cs="Calibri"/>
          <w:b/>
          <w:bCs/>
          <w:sz w:val="24"/>
          <w:szCs w:val="24"/>
        </w:rPr>
        <w:t xml:space="preserve"> </w:t>
      </w:r>
      <w:r w:rsidRPr="00D63068">
        <w:rPr>
          <w:rFonts w:ascii="Calibri" w:hAnsi="Calibri" w:cs="Calibri"/>
          <w:sz w:val="24"/>
          <w:szCs w:val="24"/>
        </w:rPr>
        <w:t xml:space="preserve">Užsakovas turi teisę reikalauti </w:t>
      </w:r>
      <w:r w:rsidRPr="00D63068">
        <w:rPr>
          <w:rFonts w:ascii="Calibri" w:hAnsi="Calibri" w:cs="Calibri"/>
          <w:b/>
          <w:bCs/>
          <w:sz w:val="24"/>
          <w:szCs w:val="24"/>
        </w:rPr>
        <w:t>0,02 proc</w:t>
      </w:r>
      <w:r w:rsidRPr="00D63068">
        <w:rPr>
          <w:rFonts w:ascii="Calibri" w:hAnsi="Calibri" w:cs="Calibri"/>
          <w:sz w:val="24"/>
          <w:szCs w:val="24"/>
        </w:rPr>
        <w:t xml:space="preserve">. nuo pradinės Sutarties vertės be PVM dydžio </w:t>
      </w:r>
      <w:r w:rsidRPr="00D63068">
        <w:rPr>
          <w:rFonts w:ascii="Calibri" w:hAnsi="Calibri" w:cs="Calibri"/>
          <w:b/>
          <w:bCs/>
          <w:sz w:val="24"/>
          <w:szCs w:val="24"/>
        </w:rPr>
        <w:t>netesybų</w:t>
      </w:r>
      <w:r w:rsidRPr="00D63068">
        <w:rPr>
          <w:rFonts w:ascii="Calibri" w:hAnsi="Calibri" w:cs="Calibri"/>
          <w:sz w:val="24"/>
          <w:szCs w:val="24"/>
        </w:rPr>
        <w:t xml:space="preserve"> už kiekvieną pradelstą dieną“. Sutarties projekto 12.3.2 punkte nurodyta, kad „Užsakovas privalo &lt;...&gt;, </w:t>
      </w:r>
      <w:r w:rsidRPr="00D63068">
        <w:rPr>
          <w:rFonts w:ascii="Calibri" w:hAnsi="Calibri" w:cs="Calibri"/>
          <w:b/>
          <w:bCs/>
          <w:sz w:val="24"/>
          <w:szCs w:val="24"/>
        </w:rPr>
        <w:t>nutraukti Sutartį</w:t>
      </w:r>
      <w:r w:rsidRPr="00D63068">
        <w:rPr>
          <w:rFonts w:ascii="Calibri" w:hAnsi="Calibri" w:cs="Calibri"/>
          <w:sz w:val="24"/>
          <w:szCs w:val="24"/>
        </w:rPr>
        <w:t xml:space="preserve"> ir pašalinti Rangovą iš Statybvietės dėl šių esminių sutarties pažeidimų: &lt;...&gt; 12.3.2. nepateikia Sutarties įvykdymo užtikrinimo pagal 7.1 papunkčio nuostatas arba visais pagrįstais atvejais nepratęsia Sutarties įvykdymo užtikrinimo galiojimo“.</w:t>
      </w:r>
    </w:p>
    <w:p w14:paraId="2450A7DA" w14:textId="77777777" w:rsidR="000600AC" w:rsidRPr="00CC12BC" w:rsidRDefault="000600AC" w:rsidP="000600AC">
      <w:pPr>
        <w:pStyle w:val="Stilius3"/>
        <w:spacing w:before="0" w:line="276" w:lineRule="auto"/>
        <w:ind w:firstLine="709"/>
        <w:jc w:val="left"/>
        <w:rPr>
          <w:rFonts w:ascii="Calibri" w:hAnsi="Calibri" w:cs="Calibri"/>
          <w:sz w:val="24"/>
          <w:szCs w:val="24"/>
        </w:rPr>
      </w:pPr>
      <w:r w:rsidRPr="00E81CE7">
        <w:rPr>
          <w:rFonts w:ascii="Calibri" w:hAnsi="Calibri" w:cs="Calibri"/>
          <w:sz w:val="24"/>
          <w:szCs w:val="24"/>
        </w:rPr>
        <w:t xml:space="preserve">Sutarties projekto </w:t>
      </w:r>
      <w:r>
        <w:rPr>
          <w:rFonts w:ascii="Calibri" w:hAnsi="Calibri" w:cs="Calibri"/>
          <w:sz w:val="24"/>
          <w:szCs w:val="24"/>
        </w:rPr>
        <w:t>7.16</w:t>
      </w:r>
      <w:r w:rsidRPr="00E81CE7">
        <w:rPr>
          <w:rFonts w:ascii="Calibri" w:hAnsi="Calibri" w:cs="Calibri"/>
          <w:sz w:val="24"/>
          <w:szCs w:val="24"/>
        </w:rPr>
        <w:t xml:space="preserve"> bei 12.3.</w:t>
      </w:r>
      <w:r>
        <w:rPr>
          <w:rFonts w:ascii="Calibri" w:hAnsi="Calibri" w:cs="Calibri"/>
          <w:sz w:val="24"/>
          <w:szCs w:val="24"/>
        </w:rPr>
        <w:t>2</w:t>
      </w:r>
      <w:r w:rsidRPr="00E81CE7">
        <w:rPr>
          <w:rFonts w:ascii="Calibri" w:hAnsi="Calibri" w:cs="Calibri"/>
          <w:sz w:val="24"/>
          <w:szCs w:val="24"/>
        </w:rPr>
        <w:t xml:space="preserve"> punktuose nustatytos sankcijos už </w:t>
      </w:r>
      <w:r>
        <w:rPr>
          <w:rFonts w:ascii="Calibri" w:hAnsi="Calibri" w:cs="Calibri"/>
          <w:sz w:val="24"/>
          <w:szCs w:val="24"/>
        </w:rPr>
        <w:t>sutarties įvykdymo užtikrinimo termino nepratęsimą bei neujo sutarties įvykdymo užtikrinimo nepateikimą</w:t>
      </w:r>
      <w:r w:rsidRPr="00E81CE7">
        <w:rPr>
          <w:rFonts w:ascii="Calibri" w:hAnsi="Calibri" w:cs="Calibri"/>
          <w:sz w:val="24"/>
          <w:szCs w:val="24"/>
        </w:rPr>
        <w:t>. Įvertinus Sutarties projekto nuostatas, manytina, kad nustatytos sankcijos rangovui galimai dubliuojasi</w:t>
      </w:r>
      <w:r w:rsidRPr="00CC12BC">
        <w:rPr>
          <w:rFonts w:ascii="Calibri" w:hAnsi="Calibri" w:cs="Calibri"/>
          <w:sz w:val="24"/>
          <w:szCs w:val="24"/>
        </w:rPr>
        <w:t>, todėl rekomenduotina šias Sutarties projekto nuostatas pakartotinai įsivertinti ir, jei yra poreikis, tikslinti (dalies reikalavimų atsisakyti).</w:t>
      </w:r>
    </w:p>
    <w:p w14:paraId="4544150F" w14:textId="77777777" w:rsidR="000600AC" w:rsidRDefault="000600AC" w:rsidP="000600AC">
      <w:pPr>
        <w:pStyle w:val="ListParagraph"/>
        <w:numPr>
          <w:ilvl w:val="1"/>
          <w:numId w:val="1"/>
        </w:numPr>
        <w:tabs>
          <w:tab w:val="left" w:pos="1134"/>
        </w:tabs>
        <w:spacing w:after="0" w:line="276" w:lineRule="auto"/>
        <w:ind w:left="0" w:firstLine="709"/>
        <w:rPr>
          <w:rFonts w:ascii="Calibri" w:hAnsi="Calibri" w:cs="Calibri"/>
          <w:sz w:val="24"/>
          <w:szCs w:val="24"/>
          <w:shd w:val="clear" w:color="auto" w:fill="FFFFFF"/>
          <w:lang w:val="lt-LT"/>
        </w:rPr>
      </w:pPr>
      <w:r w:rsidRPr="00CC12BC">
        <w:rPr>
          <w:rFonts w:ascii="Calibri" w:hAnsi="Calibri" w:cs="Calibri"/>
          <w:sz w:val="24"/>
          <w:szCs w:val="24"/>
          <w:shd w:val="clear" w:color="auto" w:fill="FFFFFF"/>
          <w:lang w:val="lt-LT"/>
        </w:rPr>
        <w:t>Sutarties projekto 7.20 punkte bei Darbų priėmimo-perdavimo akto 1 punkte pateikta neteisinga nuoroda į Sutarties projekto 2.1 punktą. Atsižvelgiant į tai, rekomenduotina tikslinti Sutarties projektą.</w:t>
      </w:r>
    </w:p>
    <w:p w14:paraId="01BBC736" w14:textId="2A847F72" w:rsidR="00A0134C" w:rsidRPr="000600AC" w:rsidRDefault="000600AC" w:rsidP="000600AC">
      <w:pPr>
        <w:pStyle w:val="ListParagraph"/>
        <w:spacing w:after="0" w:line="276" w:lineRule="auto"/>
        <w:ind w:left="0" w:firstLine="709"/>
        <w:rPr>
          <w:lang w:val="lt-LT"/>
        </w:rPr>
      </w:pPr>
      <w:r w:rsidRPr="00FC72B1">
        <w:rPr>
          <w:rFonts w:ascii="Calibri" w:eastAsia="Calibri" w:hAnsi="Calibri" w:cs="Calibri"/>
          <w:sz w:val="24"/>
          <w:szCs w:val="24"/>
          <w:lang w:val="lt-LT"/>
        </w:rPr>
        <w:t xml:space="preserve">Atsižvelgdama į tai, kas nurodyta, Tarnyba rekomenduoja peržiūrėti, patikslinti ir (ar) pakeisti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w:t>
      </w:r>
      <w:r w:rsidRPr="00FC72B1">
        <w:rPr>
          <w:rFonts w:ascii="Calibri" w:eastAsia="Calibri" w:hAnsi="Calibri" w:cs="Calibri"/>
          <w:sz w:val="24"/>
          <w:szCs w:val="24"/>
          <w:lang w:val="lt-LT"/>
        </w:rPr>
        <w:lastRenderedPageBreak/>
        <w:t>procedūrų vykdymo ar nutraukimo priima pati Perkančioji organizacija, vadovaudamasi Įstatymo 29 straipsnio 3</w:t>
      </w:r>
      <w:r w:rsidRPr="008C482A">
        <w:rPr>
          <w:vertAlign w:val="superscript"/>
        </w:rPr>
        <w:footnoteReference w:id="1"/>
      </w:r>
      <w:r w:rsidRPr="00FC72B1">
        <w:rPr>
          <w:rFonts w:ascii="Calibri" w:eastAsia="Calibri" w:hAnsi="Calibri" w:cs="Calibri"/>
          <w:sz w:val="24"/>
          <w:szCs w:val="24"/>
          <w:lang w:val="lt-LT"/>
        </w:rPr>
        <w:t xml:space="preserve"> ir 4</w:t>
      </w:r>
      <w:r w:rsidRPr="008C482A">
        <w:rPr>
          <w:vertAlign w:val="superscript"/>
        </w:rPr>
        <w:footnoteReference w:id="2"/>
      </w:r>
      <w:r w:rsidRPr="00FC72B1">
        <w:rPr>
          <w:rFonts w:ascii="Calibri" w:eastAsia="Calibri" w:hAnsi="Calibri" w:cs="Calibri"/>
          <w:sz w:val="24"/>
          <w:szCs w:val="24"/>
          <w:lang w:val="lt-LT"/>
        </w:rPr>
        <w:t xml:space="preserve"> dalių nuostatomis.</w:t>
      </w:r>
    </w:p>
    <w:sectPr w:rsidR="00A0134C" w:rsidRPr="000600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E7BC" w14:textId="77777777" w:rsidR="000600AC" w:rsidRDefault="000600AC" w:rsidP="000600AC">
      <w:pPr>
        <w:spacing w:after="0" w:line="240" w:lineRule="auto"/>
      </w:pPr>
      <w:r>
        <w:separator/>
      </w:r>
    </w:p>
  </w:endnote>
  <w:endnote w:type="continuationSeparator" w:id="0">
    <w:p w14:paraId="5DADC383" w14:textId="77777777" w:rsidR="000600AC" w:rsidRDefault="000600AC" w:rsidP="0006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7B68" w14:textId="77777777" w:rsidR="000600AC" w:rsidRDefault="000600AC" w:rsidP="000600AC">
      <w:pPr>
        <w:spacing w:after="0" w:line="240" w:lineRule="auto"/>
      </w:pPr>
      <w:r>
        <w:separator/>
      </w:r>
    </w:p>
  </w:footnote>
  <w:footnote w:type="continuationSeparator" w:id="0">
    <w:p w14:paraId="24637819" w14:textId="77777777" w:rsidR="000600AC" w:rsidRDefault="000600AC" w:rsidP="000600AC">
      <w:pPr>
        <w:spacing w:after="0" w:line="240" w:lineRule="auto"/>
      </w:pPr>
      <w:r>
        <w:continuationSeparator/>
      </w:r>
    </w:p>
  </w:footnote>
  <w:footnote w:id="1">
    <w:p w14:paraId="3012FE7C" w14:textId="77777777" w:rsidR="000600AC" w:rsidRPr="00E75053" w:rsidRDefault="000600AC" w:rsidP="000600AC">
      <w:pPr>
        <w:pStyle w:val="FootnoteText"/>
        <w:jc w:val="both"/>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bCs/>
          <w:color w:val="000000"/>
        </w:rPr>
        <w:t>Perkančioji</w:t>
      </w:r>
      <w:r w:rsidRPr="00E75053">
        <w:rPr>
          <w:rFonts w:ascii="Calibri" w:hAnsi="Calibri" w:cs="Calibri"/>
          <w:color w:val="000000"/>
        </w:rPr>
        <w:t xml:space="preserve"> organizacija privalo </w:t>
      </w:r>
      <w:r w:rsidRPr="00E75053">
        <w:rPr>
          <w:rFonts w:ascii="Calibri" w:hAnsi="Calibri" w:cs="Calibri"/>
          <w:bCs/>
          <w:color w:val="000000"/>
        </w:rPr>
        <w:t>nutraukti pradėtas pirkimo ar projekto konkurso procedūras</w:t>
      </w:r>
      <w:r w:rsidRPr="00E75053">
        <w:rPr>
          <w:rFonts w:ascii="Calibri" w:hAnsi="Calibri" w:cs="Calibri"/>
          <w:color w:val="000000"/>
        </w:rPr>
        <w:t>, jeigu buvo pažeisti šio įstatymo 17 straipsnio 1 dalyje nustatyti principai ir atitinkamos padėties negalima ištaisyti.“</w:t>
      </w:r>
    </w:p>
  </w:footnote>
  <w:footnote w:id="2">
    <w:p w14:paraId="63B99DBB" w14:textId="77777777" w:rsidR="000600AC" w:rsidRPr="00E75053" w:rsidRDefault="000600AC" w:rsidP="000600AC">
      <w:pPr>
        <w:pStyle w:val="FootnoteText"/>
        <w:jc w:val="both"/>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3B98"/>
    <w:multiLevelType w:val="multilevel"/>
    <w:tmpl w:val="AEBE4CA4"/>
    <w:lvl w:ilvl="0">
      <w:start w:val="1"/>
      <w:numFmt w:val="decimal"/>
      <w:lvlText w:val="%1."/>
      <w:lvlJc w:val="left"/>
      <w:pPr>
        <w:ind w:left="720" w:hanging="360"/>
      </w:pPr>
      <w:rPr>
        <w:rFonts w:ascii="Calibri" w:hAnsi="Calibri" w:cs="Calibri" w:hint="default"/>
        <w:b/>
        <w:bCs/>
        <w:sz w:val="24"/>
        <w:szCs w:val="24"/>
      </w:rPr>
    </w:lvl>
    <w:lvl w:ilvl="1">
      <w:start w:val="1"/>
      <w:numFmt w:val="decimal"/>
      <w:isLgl/>
      <w:lvlText w:val="%1.%2."/>
      <w:lvlJc w:val="left"/>
      <w:pPr>
        <w:ind w:left="1353" w:hanging="360"/>
      </w:pPr>
      <w:rPr>
        <w:rFonts w:ascii="Calibri" w:eastAsiaTheme="majorEastAsia" w:hAnsi="Calibri" w:cs="Calibri"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num w:numId="1" w16cid:durableId="87341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C"/>
    <w:rsid w:val="000600AC"/>
    <w:rsid w:val="00901068"/>
    <w:rsid w:val="009919AC"/>
    <w:rsid w:val="00A0134C"/>
    <w:rsid w:val="00BB0E8B"/>
    <w:rsid w:val="00C11424"/>
    <w:rsid w:val="00E72EFF"/>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5D9B"/>
  <w15:chartTrackingRefBased/>
  <w15:docId w15:val="{B6C9381D-064D-4CF1-A053-DD024591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AC"/>
    <w:pPr>
      <w:spacing w:line="259" w:lineRule="auto"/>
    </w:pPr>
    <w:rPr>
      <w:sz w:val="22"/>
      <w:szCs w:val="22"/>
    </w:rPr>
  </w:style>
  <w:style w:type="paragraph" w:styleId="Heading1">
    <w:name w:val="heading 1"/>
    <w:basedOn w:val="Normal"/>
    <w:next w:val="Normal"/>
    <w:link w:val="Heading1Char"/>
    <w:uiPriority w:val="9"/>
    <w:qFormat/>
    <w:rsid w:val="00060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0AC"/>
    <w:rPr>
      <w:rFonts w:eastAsiaTheme="majorEastAsia" w:cstheme="majorBidi"/>
      <w:color w:val="272727" w:themeColor="text1" w:themeTint="D8"/>
    </w:rPr>
  </w:style>
  <w:style w:type="paragraph" w:styleId="Title">
    <w:name w:val="Title"/>
    <w:basedOn w:val="Normal"/>
    <w:next w:val="Normal"/>
    <w:link w:val="TitleChar"/>
    <w:uiPriority w:val="10"/>
    <w:qFormat/>
    <w:rsid w:val="00060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0AC"/>
    <w:pPr>
      <w:spacing w:before="160"/>
      <w:jc w:val="center"/>
    </w:pPr>
    <w:rPr>
      <w:i/>
      <w:iCs/>
      <w:color w:val="404040" w:themeColor="text1" w:themeTint="BF"/>
    </w:rPr>
  </w:style>
  <w:style w:type="character" w:customStyle="1" w:styleId="QuoteChar">
    <w:name w:val="Quote Char"/>
    <w:basedOn w:val="DefaultParagraphFont"/>
    <w:link w:val="Quote"/>
    <w:uiPriority w:val="29"/>
    <w:rsid w:val="000600A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0600AC"/>
    <w:pPr>
      <w:ind w:left="720"/>
      <w:contextualSpacing/>
    </w:pPr>
  </w:style>
  <w:style w:type="character" w:styleId="IntenseEmphasis">
    <w:name w:val="Intense Emphasis"/>
    <w:basedOn w:val="DefaultParagraphFont"/>
    <w:uiPriority w:val="21"/>
    <w:qFormat/>
    <w:rsid w:val="000600AC"/>
    <w:rPr>
      <w:i/>
      <w:iCs/>
      <w:color w:val="0F4761" w:themeColor="accent1" w:themeShade="BF"/>
    </w:rPr>
  </w:style>
  <w:style w:type="paragraph" w:styleId="IntenseQuote">
    <w:name w:val="Intense Quote"/>
    <w:basedOn w:val="Normal"/>
    <w:next w:val="Normal"/>
    <w:link w:val="IntenseQuoteChar"/>
    <w:uiPriority w:val="30"/>
    <w:qFormat/>
    <w:rsid w:val="00060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0AC"/>
    <w:rPr>
      <w:i/>
      <w:iCs/>
      <w:color w:val="0F4761" w:themeColor="accent1" w:themeShade="BF"/>
    </w:rPr>
  </w:style>
  <w:style w:type="character" w:styleId="IntenseReference">
    <w:name w:val="Intense Reference"/>
    <w:basedOn w:val="DefaultParagraphFont"/>
    <w:uiPriority w:val="32"/>
    <w:qFormat/>
    <w:rsid w:val="000600A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600AC"/>
  </w:style>
  <w:style w:type="character" w:styleId="Hyperlink">
    <w:name w:val="Hyperlink"/>
    <w:basedOn w:val="DefaultParagraphFont"/>
    <w:uiPriority w:val="99"/>
    <w:unhideWhenUsed/>
    <w:rsid w:val="000600AC"/>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600AC"/>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600AC"/>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600AC"/>
    <w:rPr>
      <w:vertAlign w:val="superscript"/>
    </w:rPr>
  </w:style>
  <w:style w:type="paragraph" w:customStyle="1" w:styleId="Stilius3">
    <w:name w:val="Stilius3"/>
    <w:basedOn w:val="Normal"/>
    <w:link w:val="Stilius3Diagrama"/>
    <w:qFormat/>
    <w:rsid w:val="000600AC"/>
    <w:pPr>
      <w:spacing w:before="200" w:after="0" w:line="240" w:lineRule="auto"/>
      <w:jc w:val="both"/>
    </w:pPr>
    <w:rPr>
      <w:rFonts w:ascii="Times New Roman" w:eastAsia="Times New Roman" w:hAnsi="Times New Roman" w:cs="Times New Roman"/>
      <w:kern w:val="0"/>
      <w:lang w:val="lt-LT"/>
      <w14:ligatures w14:val="none"/>
    </w:rPr>
  </w:style>
  <w:style w:type="character" w:customStyle="1" w:styleId="Stilius3Diagrama">
    <w:name w:val="Stilius3 Diagrama"/>
    <w:link w:val="Stilius3"/>
    <w:locked/>
    <w:rsid w:val="000600AC"/>
    <w:rPr>
      <w:rFonts w:ascii="Times New Roman" w:eastAsia="Times New Roman" w:hAnsi="Times New Roman"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13" Type="http://schemas.openxmlformats.org/officeDocument/2006/relationships/hyperlink" Target="https://vpt.lrv.lt/uploads/vpt/documents/files/mp/ENPV_gaires.pdf" TargetMode="External"/><Relationship Id="rId3" Type="http://schemas.openxmlformats.org/officeDocument/2006/relationships/settings" Target="settings.xml"/><Relationship Id="rId7" Type="http://schemas.openxmlformats.org/officeDocument/2006/relationships/hyperlink" Target="https://vpt.lrv.lt/public/canonical/1743522381/19113/Skelbimas_apie_pirkim%C4%85_2025_04_01.pptx" TargetMode="External"/><Relationship Id="rId12" Type="http://schemas.openxmlformats.org/officeDocument/2006/relationships/hyperlink" Target="https://vpt.lrv.lt/uploads/vpt/documents/files/mp/env_aprasyma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mp/ENPV_gaire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eimas.lrs.lt/portal/legalAct/lt/TAD/TAIS.26250/asr" TargetMode="External"/><Relationship Id="rId4" Type="http://schemas.openxmlformats.org/officeDocument/2006/relationships/webSettings" Target="webSettings.xml"/><Relationship Id="rId9" Type="http://schemas.openxmlformats.org/officeDocument/2006/relationships/hyperlink" Target="https://www.e-tar.lt/portal/lt/legalAct/TAR.C54AFFAA7622/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2397</Words>
  <Characters>13668</Characters>
  <Application>Microsoft Office Word</Application>
  <DocSecurity>0</DocSecurity>
  <Lines>113</Lines>
  <Paragraphs>32</Paragraphs>
  <ScaleCrop>false</ScaleCrop>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2025-05-29T05:19:00Z</dcterms:created>
  <dcterms:modified xsi:type="dcterms:W3CDTF">2025-05-29T05:21:00Z</dcterms:modified>
</cp:coreProperties>
</file>