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B9030" w14:textId="77777777" w:rsidR="00107503" w:rsidRPr="00107503" w:rsidRDefault="00107503" w:rsidP="00107503">
      <w:pPr>
        <w:rPr>
          <w:rFonts w:ascii="Calibri" w:hAnsi="Calibri" w:cs="Calibri"/>
          <w:lang w:val="lt-LT"/>
        </w:rPr>
      </w:pPr>
      <w:r w:rsidRPr="00107503">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8476697" w14:textId="684B156B" w:rsidR="00107503" w:rsidRPr="00107503" w:rsidRDefault="00107503" w:rsidP="00107503">
      <w:pPr>
        <w:rPr>
          <w:rFonts w:ascii="Calibri" w:hAnsi="Calibri" w:cs="Calibri"/>
          <w:b/>
          <w:bCs/>
          <w:lang w:val="lt-LT"/>
        </w:rPr>
      </w:pPr>
      <w:r w:rsidRPr="00107503">
        <w:rPr>
          <w:rFonts w:ascii="Calibri" w:hAnsi="Calibri" w:cs="Calibri"/>
          <w:lang w:val="lt-LT"/>
        </w:rPr>
        <w:t xml:space="preserve">Vadovaujantis Tarnybai Įstatyme nustatyta pažeidimų prevencijos funkcija, šiuo metu atliekama </w:t>
      </w:r>
      <w:r w:rsidR="00B2633F">
        <w:rPr>
          <w:rFonts w:ascii="Calibri" w:hAnsi="Calibri" w:cs="Calibri"/>
          <w:b/>
          <w:bCs/>
          <w:lang w:val="lt-LT"/>
        </w:rPr>
        <w:t xml:space="preserve">Panevėžio </w:t>
      </w:r>
      <w:r w:rsidR="000279D1">
        <w:rPr>
          <w:rFonts w:ascii="Calibri" w:hAnsi="Calibri" w:cs="Calibri"/>
          <w:b/>
          <w:bCs/>
          <w:lang w:val="lt-LT"/>
        </w:rPr>
        <w:t>miesto</w:t>
      </w:r>
      <w:r w:rsidRPr="00107503">
        <w:rPr>
          <w:rFonts w:ascii="Calibri" w:hAnsi="Calibri" w:cs="Calibri"/>
          <w:b/>
          <w:bCs/>
          <w:lang w:val="lt-LT"/>
        </w:rPr>
        <w:t xml:space="preserve"> savivaldybės administracijos </w:t>
      </w:r>
      <w:r w:rsidRPr="00107503">
        <w:rPr>
          <w:rFonts w:ascii="Calibri" w:hAnsi="Calibri" w:cs="Calibri"/>
          <w:lang w:val="lt-LT"/>
        </w:rPr>
        <w:t xml:space="preserve">(toliau – Perkančioji organizacija) vykdomo pirkimo </w:t>
      </w:r>
      <w:r w:rsidR="00467800">
        <w:rPr>
          <w:rFonts w:ascii="Calibri" w:hAnsi="Calibri" w:cs="Calibri"/>
          <w:lang w:val="lt-LT"/>
        </w:rPr>
        <w:t>Nr.</w:t>
      </w:r>
      <w:r w:rsidR="00924C7F" w:rsidRPr="00924C7F">
        <w:rPr>
          <w:rFonts w:ascii="Roboto" w:hAnsi="Roboto"/>
          <w:color w:val="00241A"/>
          <w:sz w:val="21"/>
          <w:szCs w:val="21"/>
          <w:shd w:val="clear" w:color="auto" w:fill="F3F6F2"/>
        </w:rPr>
        <w:t xml:space="preserve"> </w:t>
      </w:r>
      <w:r w:rsidR="00924C7F" w:rsidRPr="00924C7F">
        <w:rPr>
          <w:rFonts w:ascii="Calibri" w:hAnsi="Calibri" w:cs="Calibri"/>
          <w:b/>
          <w:bCs/>
        </w:rPr>
        <w:t>2</w:t>
      </w:r>
      <w:r w:rsidR="000279D1">
        <w:rPr>
          <w:rFonts w:ascii="Calibri" w:hAnsi="Calibri" w:cs="Calibri"/>
          <w:b/>
          <w:bCs/>
        </w:rPr>
        <w:t>441863</w:t>
      </w:r>
      <w:r w:rsidRPr="00107503">
        <w:rPr>
          <w:rFonts w:ascii="Calibri" w:hAnsi="Calibri" w:cs="Calibri"/>
          <w:b/>
          <w:bCs/>
          <w:lang w:val="lt-LT"/>
        </w:rPr>
        <w:t xml:space="preserve"> „</w:t>
      </w:r>
      <w:hyperlink r:id="rId8" w:history="1">
        <w:r w:rsidR="00A82AA8" w:rsidRPr="00A82AA8">
          <w:rPr>
            <w:rStyle w:val="Hyperlink"/>
            <w:rFonts w:ascii="Calibri" w:hAnsi="Calibri" w:cs="Calibri"/>
            <w:b/>
            <w:bCs/>
            <w:color w:val="auto"/>
            <w:u w:val="none"/>
            <w:lang w:val="lt-LT"/>
          </w:rPr>
          <w:t>Mokslo paskirties pastato dalies, Beržų g. 37, Panevėžyje, kapitalinio remonto darbai</w:t>
        </w:r>
      </w:hyperlink>
      <w:r w:rsidRPr="00107503">
        <w:rPr>
          <w:rFonts w:ascii="Calibri" w:hAnsi="Calibri" w:cs="Calibri"/>
          <w:b/>
          <w:bCs/>
          <w:lang w:val="lt-LT"/>
        </w:rPr>
        <w:t>“</w:t>
      </w:r>
      <w:r w:rsidRPr="00107503">
        <w:rPr>
          <w:rFonts w:ascii="Calibri" w:hAnsi="Calibri" w:cs="Calibri"/>
          <w:lang w:val="lt-LT"/>
        </w:rPr>
        <w:t xml:space="preserve"> (toliau – Pirkimas) dokumentų atitikties Įstatymui ir jį įgyvendinantiems teisės aktams peržiūra (peržiūra prevenciniais tikslais atliekama tam tikra apimtimi).</w:t>
      </w:r>
    </w:p>
    <w:p w14:paraId="3625D1E9" w14:textId="48F34205" w:rsidR="00CA3BCD" w:rsidRDefault="00107503" w:rsidP="00107503">
      <w:pPr>
        <w:rPr>
          <w:rFonts w:ascii="Calibri" w:hAnsi="Calibri" w:cs="Calibri"/>
          <w:lang w:val="lt-LT"/>
        </w:rPr>
      </w:pPr>
      <w:r w:rsidRPr="00107503">
        <w:rPr>
          <w:rFonts w:ascii="Calibri" w:hAnsi="Calibri" w:cs="Calibri"/>
          <w:lang w:val="lt-LT"/>
        </w:rPr>
        <w:t>Tarnyba, prevencine tvarka peržiūrėjusi Pirkimo dokumentus ir atsižvelgdama į galiojantį teisinį reglamentavimą</w:t>
      </w:r>
      <w:r w:rsidR="004108ED">
        <w:rPr>
          <w:rFonts w:ascii="Calibri" w:hAnsi="Calibri" w:cs="Calibri"/>
          <w:lang w:val="lt-LT"/>
        </w:rPr>
        <w:t xml:space="preserve"> teikia</w:t>
      </w:r>
      <w:r w:rsidRPr="00107503">
        <w:rPr>
          <w:rFonts w:ascii="Calibri" w:hAnsi="Calibri" w:cs="Calibri"/>
          <w:lang w:val="lt-LT"/>
        </w:rPr>
        <w:t xml:space="preserve"> pastabas ir rekomendacijas (toliau – Rekomendacija) dėl Pirkimo dokumentų nuostatų.</w:t>
      </w:r>
    </w:p>
    <w:p w14:paraId="6ACC82A6" w14:textId="45CE5CAE" w:rsidR="009B0CFB" w:rsidRDefault="00F70DF8" w:rsidP="007B414A">
      <w:pPr>
        <w:spacing w:after="0"/>
        <w:rPr>
          <w:rFonts w:ascii="Calibri" w:hAnsi="Calibri" w:cs="Calibri"/>
          <w:b/>
          <w:lang w:val="lt-LT"/>
        </w:rPr>
      </w:pPr>
      <w:r w:rsidRPr="00BE0943">
        <w:rPr>
          <w:rFonts w:ascii="Calibri" w:hAnsi="Calibri" w:cs="Calibri"/>
          <w:b/>
          <w:bCs/>
          <w:lang w:val="lt-LT"/>
        </w:rPr>
        <w:t>1.</w:t>
      </w:r>
      <w:r>
        <w:rPr>
          <w:rFonts w:ascii="Calibri" w:hAnsi="Calibri" w:cs="Calibri"/>
          <w:lang w:val="lt-LT"/>
        </w:rPr>
        <w:t xml:space="preserve"> </w:t>
      </w:r>
      <w:r w:rsidR="001F1822" w:rsidRPr="00F70DF8">
        <w:rPr>
          <w:rFonts w:ascii="Calibri" w:hAnsi="Calibri" w:cs="Calibri"/>
          <w:lang w:val="lt-LT"/>
        </w:rPr>
        <w:t xml:space="preserve">Pirkimo sąlygų </w:t>
      </w:r>
      <w:r w:rsidR="00BB4199" w:rsidRPr="00F70DF8">
        <w:rPr>
          <w:rFonts w:ascii="Calibri" w:hAnsi="Calibri" w:cs="Calibri"/>
          <w:lang w:val="lt-LT"/>
        </w:rPr>
        <w:t xml:space="preserve">2.3 punkte ir </w:t>
      </w:r>
      <w:r w:rsidR="009B50F4" w:rsidRPr="00F70DF8">
        <w:rPr>
          <w:rFonts w:ascii="Calibri" w:hAnsi="Calibri" w:cs="Calibri"/>
          <w:lang w:val="lt-LT"/>
        </w:rPr>
        <w:t>Pirkimo sąlygų 4 priedo „</w:t>
      </w:r>
      <w:r w:rsidR="000F070E" w:rsidRPr="00F70DF8">
        <w:rPr>
          <w:rFonts w:ascii="Calibri" w:hAnsi="Calibri" w:cs="Calibri"/>
          <w:lang w:val="lt-LT"/>
        </w:rPr>
        <w:t xml:space="preserve">Rangos sutartis“ 4.1.2. papunktyje </w:t>
      </w:r>
      <w:r w:rsidR="00B510CE" w:rsidRPr="00F70DF8">
        <w:rPr>
          <w:rFonts w:ascii="Calibri" w:hAnsi="Calibri" w:cs="Calibri"/>
          <w:b/>
          <w:lang w:val="lt-LT"/>
        </w:rPr>
        <w:t xml:space="preserve">Darbų pabaiga </w:t>
      </w:r>
      <w:r w:rsidR="00C635E9">
        <w:rPr>
          <w:rFonts w:ascii="Calibri" w:hAnsi="Calibri" w:cs="Calibri"/>
          <w:b/>
          <w:lang w:val="lt-LT"/>
        </w:rPr>
        <w:t xml:space="preserve">apibrėžta konkrečia data </w:t>
      </w:r>
      <w:r w:rsidR="00B510CE" w:rsidRPr="00F70DF8">
        <w:rPr>
          <w:rFonts w:ascii="Calibri" w:hAnsi="Calibri" w:cs="Calibri"/>
          <w:b/>
          <w:lang w:val="lt-LT"/>
        </w:rPr>
        <w:t xml:space="preserve">– </w:t>
      </w:r>
      <w:r w:rsidR="00B510CE" w:rsidRPr="00F70DF8">
        <w:rPr>
          <w:rFonts w:ascii="Calibri" w:hAnsi="Calibri" w:cs="Calibri"/>
          <w:bCs/>
          <w:lang w:val="lt-LT"/>
        </w:rPr>
        <w:t>ne vėl</w:t>
      </w:r>
      <w:r w:rsidR="00C635E9">
        <w:rPr>
          <w:rFonts w:ascii="Calibri" w:hAnsi="Calibri" w:cs="Calibri"/>
          <w:bCs/>
          <w:lang w:val="lt-LT"/>
        </w:rPr>
        <w:t xml:space="preserve">iau </w:t>
      </w:r>
      <w:r w:rsidR="00B510CE" w:rsidRPr="00F70DF8">
        <w:rPr>
          <w:rFonts w:ascii="Calibri" w:hAnsi="Calibri" w:cs="Calibri"/>
          <w:bCs/>
          <w:lang w:val="lt-LT"/>
        </w:rPr>
        <w:t>kaip</w:t>
      </w:r>
      <w:r w:rsidR="00B510CE" w:rsidRPr="00F70DF8">
        <w:rPr>
          <w:rFonts w:ascii="Calibri" w:hAnsi="Calibri" w:cs="Calibri"/>
          <w:b/>
          <w:lang w:val="lt-LT"/>
        </w:rPr>
        <w:t xml:space="preserve"> </w:t>
      </w:r>
      <w:r w:rsidR="00C635E9">
        <w:rPr>
          <w:rFonts w:ascii="Calibri" w:hAnsi="Calibri" w:cs="Calibri"/>
          <w:b/>
          <w:lang w:val="lt-LT"/>
        </w:rPr>
        <w:t xml:space="preserve">iki </w:t>
      </w:r>
      <w:r w:rsidR="00B510CE" w:rsidRPr="00F70DF8">
        <w:rPr>
          <w:rFonts w:ascii="Calibri" w:hAnsi="Calibri" w:cs="Calibri"/>
          <w:b/>
          <w:lang w:val="lt-LT"/>
        </w:rPr>
        <w:t>2025 m. gruodžio 19 d.</w:t>
      </w:r>
    </w:p>
    <w:p w14:paraId="717E87CA" w14:textId="744EFDA4" w:rsidR="00BD75CB" w:rsidRDefault="007B414A" w:rsidP="007B414A">
      <w:pPr>
        <w:spacing w:after="0"/>
        <w:rPr>
          <w:rFonts w:ascii="Calibri" w:hAnsi="Calibri" w:cs="Calibri"/>
          <w:bCs/>
          <w:lang w:val="lt-LT"/>
        </w:rPr>
      </w:pPr>
      <w:r w:rsidRPr="007B414A">
        <w:rPr>
          <w:rFonts w:ascii="Calibri" w:hAnsi="Calibri" w:cs="Calibri"/>
          <w:bCs/>
          <w:lang w:val="lt-LT"/>
        </w:rPr>
        <w:t>Pažymime, kad pirkimo dokumentuose (atitinkamai ir sutartyje) nustatant sutarties galiojimo, prekių pristatymo, paslaugų suteikimo ar darbų atlikimo terminą rekomenduotina jo neapibrėžti konkrečia data, kadangi tais atvejais, kuomet užsitęsia pirkimo procedūros ir sutartis sudaroma vėliau nei buvo planuota, sutartiniai įsipareigojimai turės būti įvykdyti iki sutartyje nustatytos konkrečios datos, o jis tokiu atveju gali būti daug trumpesnis, nei tas kuris buvo apskaičiuotas prieš pradedant pirkimą. Atsižvelgiant į tai, bei siekiant išvengti sutarties keitimo (dėl nustatytų konkrečių terminų keitimo), rekomenduotina ateityje vykdant pirkimus darbų atlikimo terminus apibrėžti tam tikru laikotarpiu – dienomis, mėnesiais, pavyzdžiui, per X dienų/mėnesių nuo darbų pradžios ar nuo sutarties įsigaliojimo datos, ar pan.</w:t>
      </w:r>
    </w:p>
    <w:p w14:paraId="145AEE7A" w14:textId="302E6668" w:rsidR="008A0DA8" w:rsidRPr="008A0DA8" w:rsidRDefault="003969A7" w:rsidP="008A0DA8">
      <w:pPr>
        <w:spacing w:after="0"/>
        <w:rPr>
          <w:rFonts w:ascii="Calibri" w:hAnsi="Calibri" w:cs="Calibri"/>
          <w:bCs/>
          <w:lang w:val="lt-LT"/>
        </w:rPr>
      </w:pPr>
      <w:r w:rsidRPr="00BE0943">
        <w:rPr>
          <w:rFonts w:ascii="Calibri" w:hAnsi="Calibri" w:cs="Calibri"/>
          <w:b/>
          <w:lang w:val="lt-LT"/>
        </w:rPr>
        <w:t>2.</w:t>
      </w:r>
      <w:r>
        <w:rPr>
          <w:rFonts w:ascii="Calibri" w:hAnsi="Calibri" w:cs="Calibri"/>
          <w:bCs/>
          <w:lang w:val="lt-LT"/>
        </w:rPr>
        <w:t xml:space="preserve"> </w:t>
      </w:r>
      <w:r w:rsidR="008A0DA8" w:rsidRPr="008A0DA8">
        <w:rPr>
          <w:rFonts w:ascii="Calibri" w:hAnsi="Calibri" w:cs="Calibri"/>
          <w:bCs/>
          <w:lang w:val="lt-LT"/>
        </w:rPr>
        <w:t>Atkreip</w:t>
      </w:r>
      <w:r w:rsidR="006E6400">
        <w:rPr>
          <w:rFonts w:ascii="Calibri" w:hAnsi="Calibri" w:cs="Calibri"/>
          <w:bCs/>
          <w:lang w:val="lt-LT"/>
        </w:rPr>
        <w:t>tinas</w:t>
      </w:r>
      <w:r w:rsidR="008A0DA8" w:rsidRPr="008A0DA8">
        <w:rPr>
          <w:rFonts w:ascii="Calibri" w:hAnsi="Calibri" w:cs="Calibri"/>
          <w:bCs/>
          <w:lang w:val="lt-LT"/>
        </w:rPr>
        <w:t xml:space="preserve"> dėmesys, jog </w:t>
      </w:r>
      <w:r w:rsidR="00126714" w:rsidRPr="00126714">
        <w:rPr>
          <w:rFonts w:ascii="Calibri" w:hAnsi="Calibri" w:cs="Calibri"/>
          <w:bCs/>
          <w:lang w:val="lt-LT"/>
        </w:rPr>
        <w:t xml:space="preserve">Pirkimo sąlygų 3.11 punkto </w:t>
      </w:r>
      <w:r w:rsidR="00157407">
        <w:rPr>
          <w:rFonts w:ascii="Calibri" w:hAnsi="Calibri" w:cs="Calibri"/>
          <w:bCs/>
          <w:lang w:val="lt-LT"/>
        </w:rPr>
        <w:t xml:space="preserve">„Kvalifikacijos reikalavimai tiekėjams“ </w:t>
      </w:r>
      <w:r w:rsidR="001C187C">
        <w:rPr>
          <w:rFonts w:ascii="Calibri" w:hAnsi="Calibri" w:cs="Calibri"/>
          <w:bCs/>
          <w:lang w:val="lt-LT"/>
        </w:rPr>
        <w:t xml:space="preserve">(toliau – Kvalifikacijos reikalavimai) </w:t>
      </w:r>
      <w:r w:rsidR="00126714" w:rsidRPr="00126714">
        <w:rPr>
          <w:rFonts w:ascii="Calibri" w:hAnsi="Calibri" w:cs="Calibri"/>
          <w:bCs/>
          <w:lang w:val="lt-LT"/>
        </w:rPr>
        <w:t>lentelės 1 ir 3 punktuose nustatyt</w:t>
      </w:r>
      <w:r w:rsidR="005A7BBB">
        <w:rPr>
          <w:rFonts w:ascii="Calibri" w:hAnsi="Calibri" w:cs="Calibri"/>
          <w:bCs/>
          <w:lang w:val="lt-LT"/>
        </w:rPr>
        <w:t>ų</w:t>
      </w:r>
      <w:r w:rsidR="00126714" w:rsidRPr="00126714">
        <w:rPr>
          <w:rFonts w:ascii="Calibri" w:hAnsi="Calibri" w:cs="Calibri"/>
          <w:bCs/>
          <w:lang w:val="lt-LT"/>
        </w:rPr>
        <w:t xml:space="preserve"> kvalifikacijos reikalavim</w:t>
      </w:r>
      <w:r w:rsidR="005A7BBB">
        <w:rPr>
          <w:rFonts w:ascii="Calibri" w:hAnsi="Calibri" w:cs="Calibri"/>
          <w:bCs/>
          <w:lang w:val="lt-LT"/>
        </w:rPr>
        <w:t>ų</w:t>
      </w:r>
      <w:r w:rsidR="00126714" w:rsidRPr="00126714">
        <w:rPr>
          <w:rFonts w:ascii="Calibri" w:hAnsi="Calibri" w:cs="Calibri"/>
          <w:bCs/>
          <w:lang w:val="lt-LT"/>
        </w:rPr>
        <w:t xml:space="preserve"> </w:t>
      </w:r>
      <w:r w:rsidR="008A0DA8" w:rsidRPr="008A0DA8">
        <w:rPr>
          <w:rFonts w:ascii="Calibri" w:hAnsi="Calibri" w:cs="Calibri"/>
          <w:bCs/>
          <w:lang w:val="lt-LT"/>
        </w:rPr>
        <w:t xml:space="preserve">formuluotė „Tiekėjas, </w:t>
      </w:r>
      <w:r w:rsidR="008A0DA8" w:rsidRPr="008A0DA8">
        <w:rPr>
          <w:rFonts w:ascii="Calibri" w:hAnsi="Calibri" w:cs="Calibri"/>
          <w:b/>
          <w:bCs/>
          <w:lang w:val="lt-LT"/>
        </w:rPr>
        <w:t>tiekėjų grupės partneriai</w:t>
      </w:r>
      <w:r w:rsidR="008A0DA8" w:rsidRPr="008A0DA8">
        <w:rPr>
          <w:rFonts w:ascii="Calibri" w:hAnsi="Calibri" w:cs="Calibri"/>
          <w:bCs/>
          <w:lang w:val="lt-LT"/>
        </w:rPr>
        <w:t xml:space="preserve"> </w:t>
      </w:r>
      <w:r w:rsidR="008A0DA8" w:rsidRPr="008A0DA8">
        <w:rPr>
          <w:rFonts w:ascii="Calibri" w:hAnsi="Calibri" w:cs="Calibri"/>
          <w:b/>
          <w:bCs/>
          <w:lang w:val="lt-LT"/>
        </w:rPr>
        <w:t>kartu</w:t>
      </w:r>
      <w:r w:rsidR="00921E48">
        <w:rPr>
          <w:rFonts w:ascii="Calibri" w:hAnsi="Calibri" w:cs="Calibri"/>
          <w:bCs/>
          <w:lang w:val="lt-LT"/>
        </w:rPr>
        <w:t>&lt;...&gt;</w:t>
      </w:r>
      <w:r w:rsidR="008A0DA8" w:rsidRPr="008A0DA8">
        <w:rPr>
          <w:rFonts w:ascii="Calibri" w:hAnsi="Calibri" w:cs="Calibri"/>
          <w:bCs/>
          <w:lang w:val="lt-LT"/>
        </w:rPr>
        <w:t xml:space="preserve">“ turi būti tikslinama </w:t>
      </w:r>
      <w:r w:rsidR="001C187C">
        <w:rPr>
          <w:rFonts w:ascii="Calibri" w:hAnsi="Calibri" w:cs="Calibri"/>
          <w:bCs/>
          <w:lang w:val="lt-LT"/>
        </w:rPr>
        <w:t xml:space="preserve">atitinkamai </w:t>
      </w:r>
      <w:r w:rsidR="008A0DA8" w:rsidRPr="008A0DA8">
        <w:rPr>
          <w:rFonts w:ascii="Calibri" w:hAnsi="Calibri" w:cs="Calibri"/>
          <w:bCs/>
          <w:lang w:val="lt-LT"/>
        </w:rPr>
        <w:t xml:space="preserve">pagal </w:t>
      </w:r>
      <w:hyperlink r:id="rId9" w:history="1">
        <w:r w:rsidR="008A0DA8" w:rsidRPr="008A0DA8">
          <w:rPr>
            <w:rStyle w:val="Hyperlink"/>
            <w:rFonts w:ascii="Calibri" w:hAnsi="Calibri" w:cs="Calibri"/>
            <w:bCs/>
            <w:iCs/>
            <w:lang w:val="lt-LT"/>
          </w:rPr>
          <w:t>Tiekėjo kvalifikacijos reikalavimų nustatymo metodikos</w:t>
        </w:r>
      </w:hyperlink>
      <w:r w:rsidR="008A0DA8" w:rsidRPr="008A0DA8">
        <w:rPr>
          <w:rFonts w:ascii="Calibri" w:hAnsi="Calibri" w:cs="Calibri"/>
          <w:bCs/>
          <w:iCs/>
          <w:vertAlign w:val="superscript"/>
          <w:lang w:val="lt-LT"/>
        </w:rPr>
        <w:footnoteReference w:id="1"/>
      </w:r>
      <w:r w:rsidR="008A0DA8" w:rsidRPr="008A0DA8">
        <w:rPr>
          <w:rFonts w:ascii="Calibri" w:hAnsi="Calibri" w:cs="Calibri"/>
          <w:bCs/>
          <w:iCs/>
          <w:lang w:val="lt-LT"/>
        </w:rPr>
        <w:t xml:space="preserve"> (toliau – Kvalifikacijos metodika) </w:t>
      </w:r>
      <w:r w:rsidR="008A0DA8" w:rsidRPr="008A0DA8">
        <w:rPr>
          <w:rFonts w:ascii="Calibri" w:hAnsi="Calibri" w:cs="Calibri"/>
          <w:bCs/>
          <w:lang w:val="lt-LT"/>
        </w:rPr>
        <w:t>9</w:t>
      </w:r>
      <w:r w:rsidR="008A0DA8" w:rsidRPr="008A0DA8">
        <w:rPr>
          <w:rFonts w:ascii="Calibri" w:hAnsi="Calibri" w:cs="Calibri"/>
          <w:bCs/>
          <w:vertAlign w:val="superscript"/>
          <w:lang w:val="lt-LT"/>
        </w:rPr>
        <w:footnoteReference w:id="2"/>
      </w:r>
      <w:r w:rsidR="008A0DA8" w:rsidRPr="008A0DA8">
        <w:rPr>
          <w:rFonts w:ascii="Calibri" w:hAnsi="Calibri" w:cs="Calibri"/>
          <w:bCs/>
          <w:lang w:val="lt-LT"/>
        </w:rPr>
        <w:t xml:space="preserve"> </w:t>
      </w:r>
      <w:r w:rsidR="001970CF">
        <w:rPr>
          <w:rFonts w:ascii="Calibri" w:hAnsi="Calibri" w:cs="Calibri"/>
          <w:bCs/>
          <w:lang w:val="lt-LT"/>
        </w:rPr>
        <w:t>ir 21</w:t>
      </w:r>
      <w:r w:rsidR="00FF4D94">
        <w:rPr>
          <w:rStyle w:val="FootnoteReference"/>
          <w:rFonts w:ascii="Calibri" w:hAnsi="Calibri" w:cs="Calibri"/>
          <w:bCs/>
          <w:lang w:val="lt-LT"/>
        </w:rPr>
        <w:footnoteReference w:id="3"/>
      </w:r>
      <w:r w:rsidR="008A0DA8" w:rsidRPr="008A0DA8">
        <w:rPr>
          <w:rFonts w:ascii="Calibri" w:hAnsi="Calibri" w:cs="Calibri"/>
          <w:bCs/>
          <w:lang w:val="lt-LT"/>
        </w:rPr>
        <w:t>punkt</w:t>
      </w:r>
      <w:r w:rsidR="00FF4D94">
        <w:rPr>
          <w:rFonts w:ascii="Calibri" w:hAnsi="Calibri" w:cs="Calibri"/>
          <w:bCs/>
          <w:lang w:val="lt-LT"/>
        </w:rPr>
        <w:t>ų</w:t>
      </w:r>
      <w:r w:rsidR="008A0DA8" w:rsidRPr="008A0DA8">
        <w:rPr>
          <w:rFonts w:ascii="Calibri" w:hAnsi="Calibri" w:cs="Calibri"/>
          <w:bCs/>
          <w:lang w:val="lt-LT"/>
        </w:rPr>
        <w:t xml:space="preserve"> formuluot</w:t>
      </w:r>
      <w:r w:rsidR="006E6400">
        <w:rPr>
          <w:rFonts w:ascii="Calibri" w:hAnsi="Calibri" w:cs="Calibri"/>
          <w:bCs/>
          <w:lang w:val="lt-LT"/>
        </w:rPr>
        <w:t>es</w:t>
      </w:r>
      <w:r w:rsidR="008A0DA8" w:rsidRPr="008A0DA8">
        <w:rPr>
          <w:rFonts w:ascii="Calibri" w:hAnsi="Calibri" w:cs="Calibri"/>
          <w:bCs/>
          <w:lang w:val="lt-LT"/>
        </w:rPr>
        <w:t xml:space="preserve">. </w:t>
      </w:r>
    </w:p>
    <w:p w14:paraId="2900A6D4" w14:textId="69B1403E" w:rsidR="00411F41" w:rsidRDefault="00563CCB" w:rsidP="00411F41">
      <w:pPr>
        <w:spacing w:after="0"/>
        <w:rPr>
          <w:rFonts w:ascii="Calibri" w:hAnsi="Calibri" w:cs="Calibri"/>
          <w:bCs/>
          <w:lang w:val="lt-LT"/>
        </w:rPr>
      </w:pPr>
      <w:r w:rsidRPr="00B75CC2">
        <w:rPr>
          <w:rFonts w:ascii="Calibri" w:hAnsi="Calibri" w:cs="Calibri"/>
          <w:b/>
          <w:lang w:val="lt-LT"/>
        </w:rPr>
        <w:lastRenderedPageBreak/>
        <w:t>3.</w:t>
      </w:r>
      <w:r>
        <w:rPr>
          <w:rFonts w:ascii="Calibri" w:hAnsi="Calibri" w:cs="Calibri"/>
          <w:bCs/>
          <w:lang w:val="lt-LT"/>
        </w:rPr>
        <w:t xml:space="preserve"> </w:t>
      </w:r>
      <w:r w:rsidR="00411F41" w:rsidRPr="00411F41">
        <w:rPr>
          <w:rFonts w:ascii="Calibri" w:hAnsi="Calibri" w:cs="Calibri"/>
          <w:bCs/>
          <w:lang w:val="lt-LT"/>
        </w:rPr>
        <w:t xml:space="preserve">Pastebėtina, kad pagal naują </w:t>
      </w:r>
      <w:hyperlink r:id="rId10" w:history="1">
        <w:r w:rsidR="008D4684" w:rsidRPr="00D9703F">
          <w:rPr>
            <w:rStyle w:val="Hyperlink"/>
            <w:rFonts w:ascii="Calibri" w:hAnsi="Calibri" w:cs="Calibri"/>
            <w:bCs/>
            <w:lang w:val="lt-LT"/>
          </w:rPr>
          <w:t>Statybos techninio reglamento STR 1.01.03:2017 „Statinių klasifikavimas“</w:t>
        </w:r>
      </w:hyperlink>
      <w:r w:rsidR="008D4684" w:rsidRPr="008D4684">
        <w:rPr>
          <w:rFonts w:ascii="Calibri" w:hAnsi="Calibri" w:cs="Calibri"/>
          <w:bCs/>
          <w:lang w:val="lt-LT"/>
        </w:rPr>
        <w:t xml:space="preserve"> </w:t>
      </w:r>
      <w:r w:rsidR="00411F41" w:rsidRPr="00411F41">
        <w:rPr>
          <w:rFonts w:ascii="Calibri" w:hAnsi="Calibri" w:cs="Calibri"/>
          <w:bCs/>
          <w:lang w:val="lt-LT"/>
        </w:rPr>
        <w:t xml:space="preserve">(toliau – STR Statinių klasifikavimas) redakciją, negyvenamųjų pastatų grupė nebeskirstoma į atitinkamus pogrupius. Visgi, įvertinus tai, kad galimai yra </w:t>
      </w:r>
      <w:r w:rsidR="00411F41" w:rsidRPr="00E832F8">
        <w:rPr>
          <w:rFonts w:ascii="Calibri" w:hAnsi="Calibri" w:cs="Calibri"/>
          <w:b/>
          <w:lang w:val="lt-LT"/>
        </w:rPr>
        <w:t>tiekėjų ir specialistų</w:t>
      </w:r>
      <w:r w:rsidR="00411F41" w:rsidRPr="00411F41">
        <w:rPr>
          <w:rFonts w:ascii="Calibri" w:hAnsi="Calibri" w:cs="Calibri"/>
          <w:bCs/>
          <w:lang w:val="lt-LT"/>
        </w:rPr>
        <w:t>, kurių atestatai buvo išduoti galiojant ankstesniam teisiniam reglamentavimui, t. y. išduoti atestatai, suteikiantys teisę atlikti darbus ar eiti atitinkamas pareigas atitinkamų negyvenamųjų pastatų pogrupyje, tačiau yra ir naujai išduotų atestatų, Tarnyba rekomenduoja kvalifikacijos reikalavimus papildyti pastabomis „Jei kvalifikacijos dokumente yra nurodyta visa reikalaujama statinių grupė (neišskirti / nenurodyti pogrupiai) arba nurodytas konkretus pogrupis, atitinkantis nurodytą kvalifikacijos reikalavime, – tokie kvalifikacijos dokumentai yra tinkami“ bei „Taip pat bus tinkamu laikomas ir atestatas, kuriame nustatyta  „gyvenamieji ir negyvenamieji pastatai“.</w:t>
      </w:r>
    </w:p>
    <w:p w14:paraId="150E1270" w14:textId="201211CE" w:rsidR="003936D4" w:rsidRPr="00411F41" w:rsidRDefault="003936D4" w:rsidP="00411F41">
      <w:pPr>
        <w:spacing w:after="0"/>
        <w:rPr>
          <w:rFonts w:ascii="Calibri" w:hAnsi="Calibri" w:cs="Calibri"/>
          <w:bCs/>
          <w:lang w:val="lt-LT"/>
        </w:rPr>
      </w:pPr>
      <w:r>
        <w:rPr>
          <w:rFonts w:ascii="Calibri" w:hAnsi="Calibri" w:cs="Calibri"/>
          <w:bCs/>
          <w:lang w:val="lt-LT"/>
        </w:rPr>
        <w:t xml:space="preserve">Atsižvelgiant į nurodytą, Tarnyba rekomenduoja Kvalifikacijos reikalavimų lentelės </w:t>
      </w:r>
      <w:r w:rsidR="00885B80">
        <w:rPr>
          <w:rFonts w:ascii="Calibri" w:hAnsi="Calibri" w:cs="Calibri"/>
          <w:bCs/>
          <w:lang w:val="lt-LT"/>
        </w:rPr>
        <w:t xml:space="preserve">1 ir 3 punktus </w:t>
      </w:r>
      <w:r w:rsidR="008F4056">
        <w:rPr>
          <w:rFonts w:ascii="Calibri" w:hAnsi="Calibri" w:cs="Calibri"/>
          <w:bCs/>
          <w:lang w:val="lt-LT"/>
        </w:rPr>
        <w:t xml:space="preserve">papildyti </w:t>
      </w:r>
      <w:r w:rsidR="002B29C9">
        <w:rPr>
          <w:rFonts w:ascii="Calibri" w:hAnsi="Calibri" w:cs="Calibri"/>
          <w:bCs/>
          <w:lang w:val="lt-LT"/>
        </w:rPr>
        <w:t>atitinkamomis pastabomis.</w:t>
      </w:r>
    </w:p>
    <w:p w14:paraId="7E659448" w14:textId="5A51E8C2" w:rsidR="00107503" w:rsidRPr="00107503" w:rsidRDefault="004C5EE0" w:rsidP="00107503">
      <w:pPr>
        <w:rPr>
          <w:rFonts w:ascii="Calibri" w:hAnsi="Calibri" w:cs="Calibri"/>
          <w:lang w:val="lt-LT"/>
        </w:rPr>
      </w:pPr>
      <w:r w:rsidRPr="004C5EE0">
        <w:rPr>
          <w:rFonts w:ascii="Calibri" w:hAnsi="Calibri" w:cs="Calibri"/>
          <w:b/>
          <w:bCs/>
          <w:lang w:val="lt-LT"/>
        </w:rPr>
        <w:t>4.</w:t>
      </w:r>
      <w:r>
        <w:rPr>
          <w:rFonts w:ascii="Calibri" w:hAnsi="Calibri" w:cs="Calibri"/>
          <w:lang w:val="lt-LT"/>
        </w:rPr>
        <w:t xml:space="preserve"> </w:t>
      </w:r>
      <w:r w:rsidR="00107503" w:rsidRPr="00107503">
        <w:rPr>
          <w:rFonts w:ascii="Calibri" w:hAnsi="Calibri" w:cs="Calibri"/>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9F68F8F" w14:textId="77777777" w:rsidR="00107503" w:rsidRPr="005511EE" w:rsidRDefault="00107503" w:rsidP="00107503">
      <w:pPr>
        <w:rPr>
          <w:rFonts w:ascii="Calibri" w:hAnsi="Calibri" w:cs="Calibri"/>
          <w:lang w:val="lt-LT"/>
        </w:rPr>
      </w:pPr>
      <w:r w:rsidRPr="00107503">
        <w:rPr>
          <w:rFonts w:ascii="Calibri" w:hAnsi="Calibri" w:cs="Calibri"/>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w:t>
      </w:r>
      <w:r w:rsidRPr="005511EE">
        <w:rPr>
          <w:rFonts w:ascii="Calibri" w:hAnsi="Calibri" w:cs="Calibri"/>
          <w:lang w:val="lt-LT"/>
        </w:rPr>
        <w:t>tikslas.</w:t>
      </w:r>
    </w:p>
    <w:p w14:paraId="603767C6" w14:textId="77777777" w:rsidR="00391864" w:rsidRPr="00391864" w:rsidRDefault="00391864" w:rsidP="00391864">
      <w:pPr>
        <w:rPr>
          <w:b/>
          <w:bCs/>
        </w:rPr>
      </w:pPr>
    </w:p>
    <w:p w14:paraId="22EE2F1A" w14:textId="77777777" w:rsidR="00107503" w:rsidRPr="00107503" w:rsidRDefault="00107503" w:rsidP="00107503">
      <w:pPr>
        <w:rPr>
          <w:b/>
          <w:bCs/>
          <w:lang w:val="lt-LT"/>
        </w:rPr>
      </w:pPr>
    </w:p>
    <w:p w14:paraId="28328AC1" w14:textId="77777777" w:rsidR="000E4878" w:rsidRDefault="000E4878"/>
    <w:sectPr w:rsidR="000E48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DA34" w14:textId="77777777" w:rsidR="00931066" w:rsidRDefault="00931066" w:rsidP="00107503">
      <w:pPr>
        <w:spacing w:after="0" w:line="240" w:lineRule="auto"/>
      </w:pPr>
      <w:r>
        <w:separator/>
      </w:r>
    </w:p>
  </w:endnote>
  <w:endnote w:type="continuationSeparator" w:id="0">
    <w:p w14:paraId="71BC1E66" w14:textId="77777777" w:rsidR="00931066" w:rsidRDefault="00931066" w:rsidP="0010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BF36" w14:textId="77777777" w:rsidR="00931066" w:rsidRDefault="00931066" w:rsidP="00107503">
      <w:pPr>
        <w:spacing w:after="0" w:line="240" w:lineRule="auto"/>
      </w:pPr>
      <w:r>
        <w:separator/>
      </w:r>
    </w:p>
  </w:footnote>
  <w:footnote w:type="continuationSeparator" w:id="0">
    <w:p w14:paraId="0BD90FE3" w14:textId="77777777" w:rsidR="00931066" w:rsidRDefault="00931066" w:rsidP="00107503">
      <w:pPr>
        <w:spacing w:after="0" w:line="240" w:lineRule="auto"/>
      </w:pPr>
      <w:r>
        <w:continuationSeparator/>
      </w:r>
    </w:p>
  </w:footnote>
  <w:footnote w:id="1">
    <w:p w14:paraId="7F7B6BA6" w14:textId="77777777" w:rsidR="008A0DA8" w:rsidRPr="00F55CE7" w:rsidRDefault="008A0DA8" w:rsidP="008A0DA8">
      <w:pPr>
        <w:pStyle w:val="FootnoteText"/>
        <w:jc w:val="both"/>
        <w:rPr>
          <w:sz w:val="14"/>
          <w:szCs w:val="14"/>
          <w:lang w:val="lt-LT"/>
        </w:rPr>
      </w:pPr>
      <w:r w:rsidRPr="00BD75CB">
        <w:rPr>
          <w:rStyle w:val="FootnoteReference"/>
          <w:sz w:val="16"/>
          <w:szCs w:val="16"/>
          <w:lang w:val="lt-LT"/>
        </w:rPr>
        <w:footnoteRef/>
      </w:r>
      <w:r>
        <w:rPr>
          <w:lang w:val="lt-LT"/>
        </w:rPr>
        <w:t xml:space="preserve"> </w:t>
      </w:r>
      <w:r w:rsidRPr="00F55CE7">
        <w:rPr>
          <w:sz w:val="14"/>
          <w:szCs w:val="14"/>
          <w:lang w:val="lt-LT"/>
        </w:rPr>
        <w:t>Patvirtintos Tarnybos direktoriaus 2017 m. birželio 29 d. įsakymu Nr. 1S-105.</w:t>
      </w:r>
    </w:p>
  </w:footnote>
  <w:footnote w:id="2">
    <w:p w14:paraId="3CDDBB63" w14:textId="77777777" w:rsidR="008A0DA8" w:rsidRPr="00F55CE7" w:rsidRDefault="008A0DA8" w:rsidP="008A0DA8">
      <w:pPr>
        <w:pStyle w:val="FootnoteText"/>
        <w:rPr>
          <w:sz w:val="14"/>
          <w:szCs w:val="14"/>
          <w:lang w:val="lt-LT"/>
        </w:rPr>
      </w:pPr>
      <w:r w:rsidRPr="00F55CE7">
        <w:rPr>
          <w:rStyle w:val="FootnoteReference"/>
          <w:sz w:val="14"/>
          <w:szCs w:val="14"/>
          <w:lang w:val="lt-LT"/>
        </w:rPr>
        <w:footnoteRef/>
      </w:r>
      <w:r w:rsidRPr="00F55CE7">
        <w:rPr>
          <w:sz w:val="14"/>
          <w:szCs w:val="14"/>
          <w:lang w:val="lt-LT"/>
        </w:rPr>
        <w:t xml:space="preserve"> Paprastai nustatomi tokie reikalavimai:</w:t>
      </w:r>
    </w:p>
    <w:p w14:paraId="216A9703" w14:textId="77777777" w:rsidR="008A0DA8" w:rsidRPr="00F55CE7" w:rsidRDefault="008A0DA8" w:rsidP="008A0DA8">
      <w:pPr>
        <w:pStyle w:val="FootnoteText"/>
        <w:rPr>
          <w:sz w:val="14"/>
          <w:szCs w:val="14"/>
          <w:lang w:val="lt-LT"/>
        </w:rPr>
      </w:pPr>
      <w:r w:rsidRPr="00F55CE7">
        <w:rPr>
          <w:sz w:val="14"/>
          <w:szCs w:val="14"/>
          <w:lang w:val="lt-LT"/>
        </w:rPr>
        <w:t>· jeigu pasiūlymą teikia ūkio subjektų grupė – reikalavimą turi atitikti kiekvienas ūkio subjektų grupės narys (-iai), pagal jų prisiimamus įsipareigojimus pirkimo sutarčiai vykdyti;</w:t>
      </w:r>
    </w:p>
    <w:p w14:paraId="113023F6" w14:textId="77777777" w:rsidR="008A0DA8" w:rsidRPr="00F55CE7" w:rsidRDefault="008A0DA8" w:rsidP="008A0DA8">
      <w:pPr>
        <w:pStyle w:val="FootnoteText"/>
        <w:rPr>
          <w:sz w:val="14"/>
          <w:szCs w:val="14"/>
          <w:lang w:val="lt-LT"/>
        </w:rPr>
      </w:pPr>
      <w:r w:rsidRPr="00F55CE7">
        <w:rPr>
          <w:sz w:val="14"/>
          <w:szCs w:val="14"/>
          <w:lang w:val="lt-LT"/>
        </w:rPr>
        <w:t>· tiekėjas gali remtis kitų ūkio subjektų pajėgumais tik tuomet, kai tie subjektai, kurių pajėgumais buvo pasiremta, patys tieks prekes, teiks paslaugas ar atliks darbus, kuriems reikia jų pajėgumų;</w:t>
      </w:r>
    </w:p>
    <w:p w14:paraId="7EE04DFC" w14:textId="77777777" w:rsidR="008A0DA8" w:rsidRPr="00F55CE7" w:rsidRDefault="008A0DA8" w:rsidP="008A0DA8">
      <w:pPr>
        <w:pStyle w:val="FootnoteText"/>
        <w:rPr>
          <w:sz w:val="14"/>
          <w:szCs w:val="14"/>
        </w:rPr>
      </w:pPr>
      <w:r w:rsidRPr="00F55CE7">
        <w:rPr>
          <w:sz w:val="14"/>
          <w:szCs w:val="14"/>
          <w:lang w:val="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3">
    <w:p w14:paraId="68874278" w14:textId="77777777" w:rsidR="006A35BA" w:rsidRPr="00F55CE7" w:rsidRDefault="00FF4D94" w:rsidP="006A35BA">
      <w:pPr>
        <w:pStyle w:val="FootnoteText"/>
        <w:rPr>
          <w:sz w:val="14"/>
          <w:szCs w:val="14"/>
        </w:rPr>
      </w:pPr>
      <w:r w:rsidRPr="00F55CE7">
        <w:rPr>
          <w:rStyle w:val="FootnoteReference"/>
          <w:sz w:val="14"/>
          <w:szCs w:val="14"/>
        </w:rPr>
        <w:footnoteRef/>
      </w:r>
      <w:r w:rsidRPr="00F55CE7">
        <w:rPr>
          <w:sz w:val="14"/>
          <w:szCs w:val="14"/>
        </w:rPr>
        <w:t xml:space="preserve"> </w:t>
      </w:r>
      <w:r w:rsidR="006A35BA" w:rsidRPr="00F55CE7">
        <w:rPr>
          <w:sz w:val="14"/>
          <w:szCs w:val="14"/>
          <w:lang w:val="lt-LT"/>
        </w:rPr>
        <w:t>Paprastai nustatomi tokie reikalavimai:</w:t>
      </w:r>
    </w:p>
    <w:p w14:paraId="280DDF65" w14:textId="77777777" w:rsidR="006A35BA" w:rsidRPr="006A35BA" w:rsidRDefault="006A35BA" w:rsidP="006A35BA">
      <w:pPr>
        <w:pStyle w:val="FootnoteText"/>
        <w:rPr>
          <w:sz w:val="14"/>
          <w:szCs w:val="14"/>
        </w:rPr>
      </w:pPr>
      <w:r w:rsidRPr="006A35BA">
        <w:rPr>
          <w:sz w:val="14"/>
          <w:szCs w:val="14"/>
          <w:lang w:val="lt-LT"/>
        </w:rPr>
        <w:t>· jeigu pasiūlymą teikia ūkio subjektų grupė – reikalavimą turi atitikti ūkio subjektų grupės nario (-ių) specialistai, atsižvelgiant į jų prisiimamus įsipareigojimus pirkimo sutarčiai vykdyti;</w:t>
      </w:r>
    </w:p>
    <w:p w14:paraId="373FEB73" w14:textId="77777777" w:rsidR="006A35BA" w:rsidRPr="006A35BA" w:rsidRDefault="006A35BA" w:rsidP="006A35BA">
      <w:pPr>
        <w:pStyle w:val="FootnoteText"/>
        <w:rPr>
          <w:sz w:val="14"/>
          <w:szCs w:val="14"/>
        </w:rPr>
      </w:pPr>
      <w:r w:rsidRPr="006A35BA">
        <w:rPr>
          <w:sz w:val="14"/>
          <w:szCs w:val="14"/>
          <w:lang w:val="lt-LT"/>
        </w:rPr>
        <w:t>· tiekėjas gali remtis kitų ūkio subjektų pajėgumais tik tuo atveju, jeigu tie subjektai (jų darbuotojai) patys vykdys tą pirkimo sutarties dalį, kuriai reikia jų turimų pajėgumų;</w:t>
      </w:r>
    </w:p>
    <w:p w14:paraId="2A3878BD" w14:textId="77777777" w:rsidR="006A35BA" w:rsidRPr="006A35BA" w:rsidRDefault="006A35BA" w:rsidP="006A35BA">
      <w:pPr>
        <w:pStyle w:val="FootnoteText"/>
        <w:rPr>
          <w:sz w:val="14"/>
          <w:szCs w:val="14"/>
        </w:rPr>
      </w:pPr>
      <w:r w:rsidRPr="006A35BA">
        <w:rPr>
          <w:sz w:val="14"/>
          <w:szCs w:val="14"/>
          <w:lang w:val="lt-LT"/>
        </w:rPr>
        <w:t>· subtiekėjai – jei tiekėjas (jo pasitelkiami specialistai) pats atitinka nustatytą reikalavimą, tačiau ketina pasitelkti subtiekėjus (jo specialistus), subtiekėjų specialistai privalo atitikti nustatytus</w:t>
      </w:r>
      <w:r w:rsidRPr="006A35BA">
        <w:rPr>
          <w:b/>
          <w:bCs/>
          <w:sz w:val="14"/>
          <w:szCs w:val="14"/>
          <w:lang w:val="lt-LT"/>
        </w:rPr>
        <w:t> </w:t>
      </w:r>
      <w:r w:rsidRPr="006A35BA">
        <w:rPr>
          <w:sz w:val="14"/>
          <w:szCs w:val="14"/>
          <w:lang w:val="lt-LT"/>
        </w:rPr>
        <w:t>reikalavimus, jeigu subtiekėjai (jų darbuotojai) patys vykdys tą pirkimo sutarties dalį, kuriai reikia nustatytos kvalifikacijos.“</w:t>
      </w:r>
    </w:p>
    <w:p w14:paraId="7B70FB0E" w14:textId="537CBBF5" w:rsidR="00FF4D94" w:rsidRPr="00FF4D94" w:rsidRDefault="00FF4D94">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57E"/>
    <w:multiLevelType w:val="hybridMultilevel"/>
    <w:tmpl w:val="09BE0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C170E"/>
    <w:multiLevelType w:val="hybridMultilevel"/>
    <w:tmpl w:val="47C4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922477">
    <w:abstractNumId w:val="0"/>
  </w:num>
  <w:num w:numId="2" w16cid:durableId="202292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B3"/>
    <w:rsid w:val="000101B3"/>
    <w:rsid w:val="000279D1"/>
    <w:rsid w:val="00040A26"/>
    <w:rsid w:val="00043732"/>
    <w:rsid w:val="00072102"/>
    <w:rsid w:val="00074C5C"/>
    <w:rsid w:val="000A1D58"/>
    <w:rsid w:val="000A4B7F"/>
    <w:rsid w:val="000B4F5C"/>
    <w:rsid w:val="000C1713"/>
    <w:rsid w:val="000E3739"/>
    <w:rsid w:val="000E4878"/>
    <w:rsid w:val="000E4B23"/>
    <w:rsid w:val="000E5DBD"/>
    <w:rsid w:val="000F070E"/>
    <w:rsid w:val="000F684E"/>
    <w:rsid w:val="00104085"/>
    <w:rsid w:val="00107503"/>
    <w:rsid w:val="00121952"/>
    <w:rsid w:val="00126714"/>
    <w:rsid w:val="00140B15"/>
    <w:rsid w:val="00157407"/>
    <w:rsid w:val="00160F11"/>
    <w:rsid w:val="00171B87"/>
    <w:rsid w:val="00176440"/>
    <w:rsid w:val="00181B15"/>
    <w:rsid w:val="001944C9"/>
    <w:rsid w:val="001970CF"/>
    <w:rsid w:val="001A0FCD"/>
    <w:rsid w:val="001A6B55"/>
    <w:rsid w:val="001B4CC3"/>
    <w:rsid w:val="001C187C"/>
    <w:rsid w:val="001C6A76"/>
    <w:rsid w:val="001D298A"/>
    <w:rsid w:val="001D4479"/>
    <w:rsid w:val="001F053D"/>
    <w:rsid w:val="001F1822"/>
    <w:rsid w:val="001F280C"/>
    <w:rsid w:val="001F343F"/>
    <w:rsid w:val="00204111"/>
    <w:rsid w:val="0021172F"/>
    <w:rsid w:val="002602D2"/>
    <w:rsid w:val="002A37B1"/>
    <w:rsid w:val="002A6C13"/>
    <w:rsid w:val="002B29C9"/>
    <w:rsid w:val="00302933"/>
    <w:rsid w:val="0030338C"/>
    <w:rsid w:val="003104DB"/>
    <w:rsid w:val="003232C2"/>
    <w:rsid w:val="00336E4F"/>
    <w:rsid w:val="00344628"/>
    <w:rsid w:val="003714C3"/>
    <w:rsid w:val="00373728"/>
    <w:rsid w:val="00391864"/>
    <w:rsid w:val="003936D4"/>
    <w:rsid w:val="003969A7"/>
    <w:rsid w:val="003A57DF"/>
    <w:rsid w:val="003A60CC"/>
    <w:rsid w:val="003C0EDC"/>
    <w:rsid w:val="003E6D44"/>
    <w:rsid w:val="003E7359"/>
    <w:rsid w:val="004108ED"/>
    <w:rsid w:val="00411F41"/>
    <w:rsid w:val="00417379"/>
    <w:rsid w:val="00417C00"/>
    <w:rsid w:val="004244E0"/>
    <w:rsid w:val="00424DEC"/>
    <w:rsid w:val="00434FB2"/>
    <w:rsid w:val="00467800"/>
    <w:rsid w:val="00475846"/>
    <w:rsid w:val="00477B67"/>
    <w:rsid w:val="00481591"/>
    <w:rsid w:val="004C5EE0"/>
    <w:rsid w:val="004D1E78"/>
    <w:rsid w:val="004D706B"/>
    <w:rsid w:val="004D7173"/>
    <w:rsid w:val="004F678C"/>
    <w:rsid w:val="005009EB"/>
    <w:rsid w:val="00502BAF"/>
    <w:rsid w:val="005054C0"/>
    <w:rsid w:val="0050682D"/>
    <w:rsid w:val="00516005"/>
    <w:rsid w:val="005511EE"/>
    <w:rsid w:val="0055211B"/>
    <w:rsid w:val="00563CCB"/>
    <w:rsid w:val="00575D50"/>
    <w:rsid w:val="005822E4"/>
    <w:rsid w:val="00586368"/>
    <w:rsid w:val="005A7BBB"/>
    <w:rsid w:val="005B7E12"/>
    <w:rsid w:val="005C14DC"/>
    <w:rsid w:val="005C538D"/>
    <w:rsid w:val="005C5413"/>
    <w:rsid w:val="005E6700"/>
    <w:rsid w:val="00614861"/>
    <w:rsid w:val="00616E81"/>
    <w:rsid w:val="00643706"/>
    <w:rsid w:val="006635CB"/>
    <w:rsid w:val="00663BB1"/>
    <w:rsid w:val="00666C6A"/>
    <w:rsid w:val="00685F5C"/>
    <w:rsid w:val="006A35BA"/>
    <w:rsid w:val="006B04E5"/>
    <w:rsid w:val="006C69F5"/>
    <w:rsid w:val="006D5766"/>
    <w:rsid w:val="006E4A26"/>
    <w:rsid w:val="006E6400"/>
    <w:rsid w:val="006F5F15"/>
    <w:rsid w:val="006F6B4D"/>
    <w:rsid w:val="00700C77"/>
    <w:rsid w:val="007111E6"/>
    <w:rsid w:val="00717EB1"/>
    <w:rsid w:val="00724350"/>
    <w:rsid w:val="007249E0"/>
    <w:rsid w:val="00766F19"/>
    <w:rsid w:val="00777713"/>
    <w:rsid w:val="007837E3"/>
    <w:rsid w:val="00787F2F"/>
    <w:rsid w:val="00791F67"/>
    <w:rsid w:val="00795FB6"/>
    <w:rsid w:val="00796E41"/>
    <w:rsid w:val="007A0AE7"/>
    <w:rsid w:val="007A61FC"/>
    <w:rsid w:val="007B0D56"/>
    <w:rsid w:val="007B414A"/>
    <w:rsid w:val="007B489C"/>
    <w:rsid w:val="007F3B66"/>
    <w:rsid w:val="008221B6"/>
    <w:rsid w:val="00830F69"/>
    <w:rsid w:val="008323DA"/>
    <w:rsid w:val="00834D88"/>
    <w:rsid w:val="00881908"/>
    <w:rsid w:val="00885B80"/>
    <w:rsid w:val="00890E28"/>
    <w:rsid w:val="00896A5D"/>
    <w:rsid w:val="008A0DA8"/>
    <w:rsid w:val="008A6DEC"/>
    <w:rsid w:val="008C0F0B"/>
    <w:rsid w:val="008D4684"/>
    <w:rsid w:val="008D7516"/>
    <w:rsid w:val="008E1167"/>
    <w:rsid w:val="008F0B61"/>
    <w:rsid w:val="008F4056"/>
    <w:rsid w:val="00906A66"/>
    <w:rsid w:val="00921E48"/>
    <w:rsid w:val="00923621"/>
    <w:rsid w:val="00924463"/>
    <w:rsid w:val="00924C7F"/>
    <w:rsid w:val="00925835"/>
    <w:rsid w:val="00931066"/>
    <w:rsid w:val="00960DE2"/>
    <w:rsid w:val="00971676"/>
    <w:rsid w:val="00976BD0"/>
    <w:rsid w:val="00977BE8"/>
    <w:rsid w:val="009909B7"/>
    <w:rsid w:val="009923D1"/>
    <w:rsid w:val="009B0CFB"/>
    <w:rsid w:val="009B50F4"/>
    <w:rsid w:val="009E006E"/>
    <w:rsid w:val="009E5624"/>
    <w:rsid w:val="009F061F"/>
    <w:rsid w:val="009F5A3D"/>
    <w:rsid w:val="009F5C8E"/>
    <w:rsid w:val="00A002C8"/>
    <w:rsid w:val="00A25BF2"/>
    <w:rsid w:val="00A60FD4"/>
    <w:rsid w:val="00A765AB"/>
    <w:rsid w:val="00A770FB"/>
    <w:rsid w:val="00A81D5C"/>
    <w:rsid w:val="00A82AA8"/>
    <w:rsid w:val="00A91074"/>
    <w:rsid w:val="00AC11C2"/>
    <w:rsid w:val="00AD32E2"/>
    <w:rsid w:val="00B2633F"/>
    <w:rsid w:val="00B478CC"/>
    <w:rsid w:val="00B510CE"/>
    <w:rsid w:val="00B75CC2"/>
    <w:rsid w:val="00B80EED"/>
    <w:rsid w:val="00B9349E"/>
    <w:rsid w:val="00B93A93"/>
    <w:rsid w:val="00BA14A0"/>
    <w:rsid w:val="00BA7A24"/>
    <w:rsid w:val="00BB4199"/>
    <w:rsid w:val="00BB67BB"/>
    <w:rsid w:val="00BC17D0"/>
    <w:rsid w:val="00BD75CB"/>
    <w:rsid w:val="00BE0943"/>
    <w:rsid w:val="00BE5199"/>
    <w:rsid w:val="00BE7B56"/>
    <w:rsid w:val="00BF2836"/>
    <w:rsid w:val="00C012CB"/>
    <w:rsid w:val="00C02DDB"/>
    <w:rsid w:val="00C15F8F"/>
    <w:rsid w:val="00C21DA2"/>
    <w:rsid w:val="00C243BD"/>
    <w:rsid w:val="00C3387F"/>
    <w:rsid w:val="00C510E9"/>
    <w:rsid w:val="00C635E9"/>
    <w:rsid w:val="00C7340A"/>
    <w:rsid w:val="00C80C52"/>
    <w:rsid w:val="00C96D7A"/>
    <w:rsid w:val="00C97086"/>
    <w:rsid w:val="00C97551"/>
    <w:rsid w:val="00C97EE5"/>
    <w:rsid w:val="00CA3BCD"/>
    <w:rsid w:val="00CA671F"/>
    <w:rsid w:val="00CA79CE"/>
    <w:rsid w:val="00CC16A3"/>
    <w:rsid w:val="00CC2B05"/>
    <w:rsid w:val="00CD24D3"/>
    <w:rsid w:val="00CD3E61"/>
    <w:rsid w:val="00CE2606"/>
    <w:rsid w:val="00CF2DE4"/>
    <w:rsid w:val="00CF3852"/>
    <w:rsid w:val="00D208B8"/>
    <w:rsid w:val="00D26D6B"/>
    <w:rsid w:val="00D361D2"/>
    <w:rsid w:val="00D40D1F"/>
    <w:rsid w:val="00D4368B"/>
    <w:rsid w:val="00D71065"/>
    <w:rsid w:val="00D73695"/>
    <w:rsid w:val="00D91873"/>
    <w:rsid w:val="00D9703F"/>
    <w:rsid w:val="00DA02F6"/>
    <w:rsid w:val="00DC48A6"/>
    <w:rsid w:val="00DD7B14"/>
    <w:rsid w:val="00E0569D"/>
    <w:rsid w:val="00E05A00"/>
    <w:rsid w:val="00E329BC"/>
    <w:rsid w:val="00E66BBE"/>
    <w:rsid w:val="00E7150A"/>
    <w:rsid w:val="00E73262"/>
    <w:rsid w:val="00E832F8"/>
    <w:rsid w:val="00E8512F"/>
    <w:rsid w:val="00ED65FF"/>
    <w:rsid w:val="00F17DAF"/>
    <w:rsid w:val="00F20310"/>
    <w:rsid w:val="00F338DB"/>
    <w:rsid w:val="00F55CE7"/>
    <w:rsid w:val="00F70DF8"/>
    <w:rsid w:val="00F740A7"/>
    <w:rsid w:val="00F80932"/>
    <w:rsid w:val="00FA0488"/>
    <w:rsid w:val="00FB0552"/>
    <w:rsid w:val="00FC1421"/>
    <w:rsid w:val="00FD53F3"/>
    <w:rsid w:val="00FE4BB1"/>
    <w:rsid w:val="00FE71C7"/>
    <w:rsid w:val="00FF1ACF"/>
    <w:rsid w:val="00FF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9A68"/>
  <w15:chartTrackingRefBased/>
  <w15:docId w15:val="{7BF3EFE9-618D-4354-931F-3275A9A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B3"/>
    <w:rPr>
      <w:rFonts w:eastAsiaTheme="majorEastAsia" w:cstheme="majorBidi"/>
      <w:color w:val="272727" w:themeColor="text1" w:themeTint="D8"/>
    </w:rPr>
  </w:style>
  <w:style w:type="paragraph" w:styleId="Title">
    <w:name w:val="Title"/>
    <w:basedOn w:val="Normal"/>
    <w:next w:val="Normal"/>
    <w:link w:val="TitleChar"/>
    <w:uiPriority w:val="10"/>
    <w:qFormat/>
    <w:rsid w:val="0001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B3"/>
    <w:pPr>
      <w:spacing w:before="160"/>
      <w:jc w:val="center"/>
    </w:pPr>
    <w:rPr>
      <w:i/>
      <w:iCs/>
      <w:color w:val="404040" w:themeColor="text1" w:themeTint="BF"/>
    </w:rPr>
  </w:style>
  <w:style w:type="character" w:customStyle="1" w:styleId="QuoteChar">
    <w:name w:val="Quote Char"/>
    <w:basedOn w:val="DefaultParagraphFont"/>
    <w:link w:val="Quote"/>
    <w:uiPriority w:val="29"/>
    <w:rsid w:val="000101B3"/>
    <w:rPr>
      <w:i/>
      <w:iCs/>
      <w:color w:val="404040" w:themeColor="text1" w:themeTint="BF"/>
    </w:rPr>
  </w:style>
  <w:style w:type="paragraph" w:styleId="ListParagraph">
    <w:name w:val="List Paragraph"/>
    <w:basedOn w:val="Normal"/>
    <w:uiPriority w:val="34"/>
    <w:qFormat/>
    <w:rsid w:val="000101B3"/>
    <w:pPr>
      <w:ind w:left="720"/>
      <w:contextualSpacing/>
    </w:pPr>
  </w:style>
  <w:style w:type="character" w:styleId="IntenseEmphasis">
    <w:name w:val="Intense Emphasis"/>
    <w:basedOn w:val="DefaultParagraphFont"/>
    <w:uiPriority w:val="21"/>
    <w:qFormat/>
    <w:rsid w:val="000101B3"/>
    <w:rPr>
      <w:i/>
      <w:iCs/>
      <w:color w:val="0F4761" w:themeColor="accent1" w:themeShade="BF"/>
    </w:rPr>
  </w:style>
  <w:style w:type="paragraph" w:styleId="IntenseQuote">
    <w:name w:val="Intense Quote"/>
    <w:basedOn w:val="Normal"/>
    <w:next w:val="Normal"/>
    <w:link w:val="IntenseQuoteChar"/>
    <w:uiPriority w:val="30"/>
    <w:qFormat/>
    <w:rsid w:val="00010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B3"/>
    <w:rPr>
      <w:i/>
      <w:iCs/>
      <w:color w:val="0F4761" w:themeColor="accent1" w:themeShade="BF"/>
    </w:rPr>
  </w:style>
  <w:style w:type="character" w:styleId="IntenseReference">
    <w:name w:val="Intense Reference"/>
    <w:basedOn w:val="DefaultParagraphFont"/>
    <w:uiPriority w:val="32"/>
    <w:qFormat/>
    <w:rsid w:val="000101B3"/>
    <w:rPr>
      <w:b/>
      <w:bCs/>
      <w:smallCaps/>
      <w:color w:val="0F4761" w:themeColor="accent1" w:themeShade="BF"/>
      <w:spacing w:val="5"/>
    </w:rPr>
  </w:style>
  <w:style w:type="paragraph" w:styleId="FootnoteText">
    <w:name w:val="footnote text"/>
    <w:basedOn w:val="Normal"/>
    <w:link w:val="FootnoteTextChar"/>
    <w:uiPriority w:val="99"/>
    <w:semiHidden/>
    <w:unhideWhenUsed/>
    <w:rsid w:val="00107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503"/>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07503"/>
    <w:rPr>
      <w:vertAlign w:val="superscript"/>
    </w:rPr>
  </w:style>
  <w:style w:type="character" w:styleId="Hyperlink">
    <w:name w:val="Hyperlink"/>
    <w:basedOn w:val="DefaultParagraphFont"/>
    <w:uiPriority w:val="99"/>
    <w:unhideWhenUsed/>
    <w:rsid w:val="00107503"/>
    <w:rPr>
      <w:color w:val="467886" w:themeColor="hyperlink"/>
      <w:u w:val="single"/>
    </w:rPr>
  </w:style>
  <w:style w:type="character" w:styleId="UnresolvedMention">
    <w:name w:val="Unresolved Mention"/>
    <w:basedOn w:val="DefaultParagraphFont"/>
    <w:uiPriority w:val="99"/>
    <w:semiHidden/>
    <w:unhideWhenUsed/>
    <w:rsid w:val="00107503"/>
    <w:rPr>
      <w:color w:val="605E5C"/>
      <w:shd w:val="clear" w:color="auto" w:fill="E1DFDD"/>
    </w:rPr>
  </w:style>
  <w:style w:type="paragraph" w:styleId="CommentText">
    <w:name w:val="annotation text"/>
    <w:basedOn w:val="Normal"/>
    <w:link w:val="CommentTextChar"/>
    <w:uiPriority w:val="99"/>
    <w:semiHidden/>
    <w:unhideWhenUsed/>
    <w:rsid w:val="00D4368B"/>
    <w:pPr>
      <w:spacing w:line="240" w:lineRule="auto"/>
    </w:pPr>
    <w:rPr>
      <w:sz w:val="20"/>
      <w:szCs w:val="20"/>
    </w:rPr>
  </w:style>
  <w:style w:type="character" w:customStyle="1" w:styleId="CommentTextChar">
    <w:name w:val="Comment Text Char"/>
    <w:basedOn w:val="DefaultParagraphFont"/>
    <w:link w:val="CommentText"/>
    <w:uiPriority w:val="99"/>
    <w:semiHidden/>
    <w:rsid w:val="00D4368B"/>
    <w:rPr>
      <w:sz w:val="20"/>
      <w:szCs w:val="20"/>
    </w:rPr>
  </w:style>
  <w:style w:type="character" w:styleId="CommentReference">
    <w:name w:val="annotation reference"/>
    <w:basedOn w:val="DefaultParagraphFont"/>
    <w:uiPriority w:val="99"/>
    <w:unhideWhenUsed/>
    <w:rsid w:val="00D4368B"/>
    <w:rPr>
      <w:sz w:val="16"/>
      <w:szCs w:val="16"/>
    </w:rPr>
  </w:style>
  <w:style w:type="character" w:styleId="FollowedHyperlink">
    <w:name w:val="FollowedHyperlink"/>
    <w:basedOn w:val="DefaultParagraphFont"/>
    <w:uiPriority w:val="99"/>
    <w:semiHidden/>
    <w:unhideWhenUsed/>
    <w:rsid w:val="00DA02F6"/>
    <w:rPr>
      <w:color w:val="96607D" w:themeColor="followedHyperlink"/>
      <w:u w:val="single"/>
    </w:rPr>
  </w:style>
  <w:style w:type="paragraph" w:styleId="Revision">
    <w:name w:val="Revision"/>
    <w:hidden/>
    <w:uiPriority w:val="99"/>
    <w:semiHidden/>
    <w:rsid w:val="00551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196">
      <w:bodyDiv w:val="1"/>
      <w:marLeft w:val="0"/>
      <w:marRight w:val="0"/>
      <w:marTop w:val="0"/>
      <w:marBottom w:val="0"/>
      <w:divBdr>
        <w:top w:val="none" w:sz="0" w:space="0" w:color="auto"/>
        <w:left w:val="none" w:sz="0" w:space="0" w:color="auto"/>
        <w:bottom w:val="none" w:sz="0" w:space="0" w:color="auto"/>
        <w:right w:val="none" w:sz="0" w:space="0" w:color="auto"/>
      </w:divBdr>
    </w:div>
    <w:div w:id="693306456">
      <w:bodyDiv w:val="1"/>
      <w:marLeft w:val="0"/>
      <w:marRight w:val="0"/>
      <w:marTop w:val="0"/>
      <w:marBottom w:val="0"/>
      <w:divBdr>
        <w:top w:val="none" w:sz="0" w:space="0" w:color="auto"/>
        <w:left w:val="none" w:sz="0" w:space="0" w:color="auto"/>
        <w:bottom w:val="none" w:sz="0" w:space="0" w:color="auto"/>
        <w:right w:val="none" w:sz="0" w:space="0" w:color="auto"/>
      </w:divBdr>
    </w:div>
    <w:div w:id="1200973038">
      <w:bodyDiv w:val="1"/>
      <w:marLeft w:val="0"/>
      <w:marRight w:val="0"/>
      <w:marTop w:val="0"/>
      <w:marBottom w:val="0"/>
      <w:divBdr>
        <w:top w:val="none" w:sz="0" w:space="0" w:color="auto"/>
        <w:left w:val="none" w:sz="0" w:space="0" w:color="auto"/>
        <w:bottom w:val="none" w:sz="0" w:space="0" w:color="auto"/>
        <w:right w:val="none" w:sz="0" w:space="0" w:color="auto"/>
      </w:divBdr>
    </w:div>
    <w:div w:id="18036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24418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c14e6210afe511e6b844f0f29024f5ac/QfUCYBbxTg" TargetMode="External"/><Relationship Id="rId4" Type="http://schemas.openxmlformats.org/officeDocument/2006/relationships/settings" Target="settings.xml"/><Relationship Id="rId9" Type="http://schemas.openxmlformats.org/officeDocument/2006/relationships/hyperlink" Target="https://e-seimas.lrs.lt/portal/legalAct/lt/TAD/01aeb1815d8c11e7a53b83ca0142260e/bfNUrahb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74FE-24F4-4EE2-BAFE-42B136F7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2025-05-16T07:20:00Z</dcterms:created>
  <dcterms:modified xsi:type="dcterms:W3CDTF">2025-05-16T07:22:00Z</dcterms:modified>
</cp:coreProperties>
</file>