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8771" w14:textId="77777777" w:rsidR="008E1671" w:rsidRPr="00B87DD5" w:rsidRDefault="008E1671" w:rsidP="00A249BA">
      <w:pPr>
        <w:spacing w:after="0"/>
        <w:ind w:firstLine="1296"/>
        <w:rPr>
          <w:rFonts w:ascii="Calibri" w:hAnsi="Calibri" w:cs="Calibri"/>
        </w:rPr>
      </w:pPr>
      <w:r w:rsidRPr="00B87DD5">
        <w:rPr>
          <w:rFonts w:ascii="Calibri" w:hAnsi="Calibri" w:cs="Calibri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2F388EA1" w14:textId="0E27A7EE" w:rsidR="008E1671" w:rsidRPr="00B87DD5" w:rsidRDefault="008E1671" w:rsidP="00A249BA">
      <w:pPr>
        <w:spacing w:after="0"/>
        <w:ind w:firstLine="1296"/>
        <w:rPr>
          <w:rFonts w:ascii="Calibri" w:hAnsi="Calibri" w:cs="Calibri"/>
        </w:rPr>
      </w:pPr>
      <w:r w:rsidRPr="00B87DD5">
        <w:rPr>
          <w:rFonts w:ascii="Calibri" w:hAnsi="Calibri" w:cs="Calibri"/>
        </w:rPr>
        <w:t xml:space="preserve">Vadovaujantis Tarnybai Įstatyme nustatyta pažeidimų prevencijos funkcija, šiuo metu atliekama </w:t>
      </w:r>
      <w:r w:rsidRPr="00B87DD5">
        <w:rPr>
          <w:rFonts w:ascii="Calibri" w:hAnsi="Calibri" w:cs="Calibri"/>
          <w:b/>
          <w:bCs/>
        </w:rPr>
        <w:t>Lietuvos sveikatos mokslų universiteto ligoninės Kauno klinikų</w:t>
      </w:r>
      <w:r w:rsidRPr="00B87DD5">
        <w:rPr>
          <w:rFonts w:ascii="Calibri" w:hAnsi="Calibri" w:cs="Calibri"/>
        </w:rPr>
        <w:t xml:space="preserve"> (toliau - Perkančioji organizacija) vykdomo pirkimo ID 2008583 </w:t>
      </w:r>
      <w:r w:rsidRPr="00B87DD5">
        <w:rPr>
          <w:rFonts w:ascii="Calibri" w:hAnsi="Calibri" w:cs="Calibri"/>
          <w:b/>
          <w:bCs/>
        </w:rPr>
        <w:t>"2008583 NKS sekoskaitos reagentai ir papildomos priemonės (atviras konkursas)</w:t>
      </w:r>
      <w:r w:rsidRPr="00B87DD5">
        <w:rPr>
          <w:rFonts w:ascii="Calibri" w:hAnsi="Calibri" w:cs="Calibri"/>
        </w:rPr>
        <w:t xml:space="preserve">" trečiosios </w:t>
      </w:r>
      <w:r w:rsidR="00417340">
        <w:rPr>
          <w:rFonts w:ascii="Calibri" w:hAnsi="Calibri" w:cs="Calibri"/>
        </w:rPr>
        <w:t xml:space="preserve">pirkimo </w:t>
      </w:r>
      <w:r w:rsidRPr="00B87DD5">
        <w:rPr>
          <w:rFonts w:ascii="Calibri" w:hAnsi="Calibri" w:cs="Calibri"/>
        </w:rPr>
        <w:t>dalies (toliau - Pirkimo III dalis) dokumentų atitikties Įstatymui ir su jo įgyvendinimu susijusiems teisės aktams peržiūra (peržiūra prevenciniais tikslais atliekama tam tikra apimtimi</w:t>
      </w:r>
      <w:r w:rsidR="00417340">
        <w:rPr>
          <w:rFonts w:ascii="Calibri" w:hAnsi="Calibri" w:cs="Calibri"/>
        </w:rPr>
        <w:t>, t. y. vykdoma dalinė pirkimo dokumentų peržiūra</w:t>
      </w:r>
      <w:r w:rsidRPr="00B87DD5">
        <w:rPr>
          <w:rFonts w:ascii="Calibri" w:hAnsi="Calibri" w:cs="Calibri"/>
        </w:rPr>
        <w:t>).</w:t>
      </w:r>
    </w:p>
    <w:p w14:paraId="26F38123" w14:textId="45B41333" w:rsidR="008E1671" w:rsidRPr="00B87DD5" w:rsidRDefault="008E1671" w:rsidP="00A249BA">
      <w:pPr>
        <w:spacing w:after="0"/>
        <w:ind w:firstLine="1296"/>
        <w:rPr>
          <w:rFonts w:ascii="Calibri" w:hAnsi="Calibri" w:cs="Calibri"/>
        </w:rPr>
      </w:pPr>
      <w:r w:rsidRPr="00B87DD5">
        <w:rPr>
          <w:rFonts w:ascii="Calibri" w:hAnsi="Calibri" w:cs="Calibri"/>
        </w:rPr>
        <w:t xml:space="preserve">Tarnyba, prevencine tvarka peržiūrėjusi Pirkimo dokumentus, </w:t>
      </w:r>
      <w:r w:rsidR="00417340">
        <w:rPr>
          <w:rFonts w:ascii="Calibri" w:hAnsi="Calibri" w:cs="Calibri"/>
        </w:rPr>
        <w:t xml:space="preserve">susipažinusi bei įvertinus Perkančiosios organizacijos atsakymus, </w:t>
      </w:r>
      <w:r w:rsidRPr="00B87DD5">
        <w:rPr>
          <w:rFonts w:ascii="Calibri" w:hAnsi="Calibri" w:cs="Calibri"/>
        </w:rPr>
        <w:t xml:space="preserve">teikia </w:t>
      </w:r>
      <w:r w:rsidR="00417340">
        <w:rPr>
          <w:rFonts w:ascii="Calibri" w:hAnsi="Calibri" w:cs="Calibri"/>
        </w:rPr>
        <w:t>rekomendacijas</w:t>
      </w:r>
      <w:r w:rsidR="00417340" w:rsidRPr="00B87DD5">
        <w:rPr>
          <w:rFonts w:ascii="Calibri" w:hAnsi="Calibri" w:cs="Calibri"/>
        </w:rPr>
        <w:t xml:space="preserve"> </w:t>
      </w:r>
      <w:r w:rsidRPr="00B87DD5">
        <w:rPr>
          <w:rFonts w:ascii="Calibri" w:hAnsi="Calibri" w:cs="Calibri"/>
        </w:rPr>
        <w:t xml:space="preserve">dėl Pirkimo </w:t>
      </w:r>
      <w:r w:rsidR="00310D29" w:rsidRPr="00B87DD5">
        <w:rPr>
          <w:rFonts w:ascii="Calibri" w:hAnsi="Calibri" w:cs="Calibri"/>
        </w:rPr>
        <w:t xml:space="preserve">III dalies techninės specifikacijos </w:t>
      </w:r>
      <w:r w:rsidR="00417340">
        <w:rPr>
          <w:rFonts w:ascii="Calibri" w:hAnsi="Calibri" w:cs="Calibri"/>
        </w:rPr>
        <w:t xml:space="preserve">reikalavimų </w:t>
      </w:r>
      <w:r w:rsidRPr="00B87DD5">
        <w:rPr>
          <w:rFonts w:ascii="Calibri" w:hAnsi="Calibri" w:cs="Calibri"/>
        </w:rPr>
        <w:t>tikslinimo (toliau – Rekomendacija</w:t>
      </w:r>
      <w:r w:rsidR="00B87DD5">
        <w:rPr>
          <w:rFonts w:ascii="Calibri" w:hAnsi="Calibri" w:cs="Calibri"/>
        </w:rPr>
        <w:t>)</w:t>
      </w:r>
      <w:r w:rsidR="00310D29" w:rsidRPr="00B87DD5">
        <w:rPr>
          <w:rFonts w:ascii="Calibri" w:hAnsi="Calibri" w:cs="Calibri"/>
        </w:rPr>
        <w:t>.</w:t>
      </w:r>
    </w:p>
    <w:p w14:paraId="198F0EB9" w14:textId="63233052" w:rsidR="00A14249" w:rsidRDefault="007F059C" w:rsidP="00A249BA">
      <w:pPr>
        <w:spacing w:after="0"/>
        <w:ind w:firstLine="1296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F059C">
        <w:rPr>
          <w:rFonts w:ascii="Calibri" w:hAnsi="Calibri" w:cs="Calibri"/>
        </w:rPr>
        <w:t>adovaujantis Įstatymo nuostatomis</w:t>
      </w:r>
      <w:r w:rsidR="009261F4">
        <w:rPr>
          <w:rFonts w:ascii="Calibri" w:hAnsi="Calibri" w:cs="Calibri"/>
        </w:rPr>
        <w:t>,</w:t>
      </w:r>
      <w:r w:rsidRPr="007F059C">
        <w:rPr>
          <w:rFonts w:ascii="Calibri" w:hAnsi="Calibri" w:cs="Calibri"/>
        </w:rPr>
        <w:t xml:space="preserve"> perkamų prekių, paslaugų ar darbų ypatybės apibūdinamos pirkimo dokumentuose pateikiamoje techninėje specifikacijoje, šios ypatybės turi būti susijusios su pirkimo objektu ir proporcingos perkamų prekių, paslaugų ar darbų vertei ir tikslams</w:t>
      </w:r>
      <w:r w:rsidR="00955343">
        <w:rPr>
          <w:rFonts w:ascii="Calibri" w:hAnsi="Calibri" w:cs="Calibri"/>
        </w:rPr>
        <w:t xml:space="preserve"> (Įstatymo 37 straipsnio 1 dalis)</w:t>
      </w:r>
      <w:r w:rsidRPr="007F059C">
        <w:rPr>
          <w:rFonts w:ascii="Calibri" w:hAnsi="Calibri" w:cs="Calibri"/>
        </w:rPr>
        <w:t xml:space="preserve">. </w:t>
      </w:r>
      <w:r w:rsidR="00B87DD5">
        <w:rPr>
          <w:rFonts w:ascii="Calibri" w:hAnsi="Calibri" w:cs="Calibri"/>
        </w:rPr>
        <w:t xml:space="preserve">Pažymėtina, jog </w:t>
      </w:r>
      <w:r w:rsidR="00C34129">
        <w:rPr>
          <w:rFonts w:ascii="Calibri" w:hAnsi="Calibri" w:cs="Calibri"/>
        </w:rPr>
        <w:t xml:space="preserve">techninės specifikacijos rengimas yra </w:t>
      </w:r>
      <w:r w:rsidR="00E8045B">
        <w:rPr>
          <w:rFonts w:ascii="Calibri" w:hAnsi="Calibri" w:cs="Calibri"/>
        </w:rPr>
        <w:t>ypač svarbus viešųjų pirkimų proces</w:t>
      </w:r>
      <w:r w:rsidR="00160475">
        <w:rPr>
          <w:rFonts w:ascii="Calibri" w:hAnsi="Calibri" w:cs="Calibri"/>
        </w:rPr>
        <w:t>o etapas</w:t>
      </w:r>
      <w:r w:rsidR="00E8045B">
        <w:rPr>
          <w:rFonts w:ascii="Calibri" w:hAnsi="Calibri" w:cs="Calibri"/>
        </w:rPr>
        <w:t xml:space="preserve">, nes </w:t>
      </w:r>
      <w:r w:rsidR="00A96571">
        <w:rPr>
          <w:rFonts w:ascii="Calibri" w:hAnsi="Calibri" w:cs="Calibri"/>
        </w:rPr>
        <w:t xml:space="preserve">joje perkančioji organizacija </w:t>
      </w:r>
      <w:r w:rsidR="00301F65">
        <w:rPr>
          <w:rFonts w:ascii="Calibri" w:hAnsi="Calibri" w:cs="Calibri"/>
        </w:rPr>
        <w:t xml:space="preserve">nustato </w:t>
      </w:r>
      <w:r w:rsidR="001F211A">
        <w:rPr>
          <w:rFonts w:ascii="Calibri" w:hAnsi="Calibri" w:cs="Calibri"/>
        </w:rPr>
        <w:t xml:space="preserve">privalomus </w:t>
      </w:r>
      <w:r w:rsidR="00301F65">
        <w:rPr>
          <w:rFonts w:ascii="Calibri" w:hAnsi="Calibri" w:cs="Calibri"/>
        </w:rPr>
        <w:t>reikalavimus perkamai prekei</w:t>
      </w:r>
      <w:r w:rsidR="00C74662">
        <w:rPr>
          <w:rFonts w:ascii="Calibri" w:hAnsi="Calibri" w:cs="Calibri"/>
        </w:rPr>
        <w:t xml:space="preserve"> ir tai tiesiogiai daro įtaką tiek tiekėjų konkurencijai, tiek </w:t>
      </w:r>
      <w:r w:rsidR="00E7404B">
        <w:rPr>
          <w:rFonts w:ascii="Calibri" w:hAnsi="Calibri" w:cs="Calibri"/>
        </w:rPr>
        <w:t xml:space="preserve">vėlesniam </w:t>
      </w:r>
      <w:r w:rsidR="00160475">
        <w:rPr>
          <w:rFonts w:ascii="Calibri" w:hAnsi="Calibri" w:cs="Calibri"/>
        </w:rPr>
        <w:t>pasiūlymų vertinimo etapui.</w:t>
      </w:r>
      <w:r w:rsidR="00383614">
        <w:rPr>
          <w:rFonts w:ascii="Calibri" w:hAnsi="Calibri" w:cs="Calibri"/>
        </w:rPr>
        <w:t xml:space="preserve"> </w:t>
      </w:r>
      <w:r w:rsidR="00455C0D">
        <w:rPr>
          <w:rFonts w:ascii="Calibri" w:hAnsi="Calibri" w:cs="Calibri"/>
        </w:rPr>
        <w:t>Perkančiosioms organizacijoms pripažįstama plati diskrecijos teisė nustat</w:t>
      </w:r>
      <w:r w:rsidR="008B75F6">
        <w:rPr>
          <w:rFonts w:ascii="Calibri" w:hAnsi="Calibri" w:cs="Calibri"/>
        </w:rPr>
        <w:t xml:space="preserve">ant </w:t>
      </w:r>
      <w:r w:rsidR="00250327">
        <w:rPr>
          <w:rFonts w:ascii="Calibri" w:hAnsi="Calibri" w:cs="Calibri"/>
        </w:rPr>
        <w:t xml:space="preserve">techninės specifikacijos reikalavimus, tačiau </w:t>
      </w:r>
      <w:r w:rsidR="0002294C">
        <w:rPr>
          <w:rFonts w:ascii="Calibri" w:hAnsi="Calibri" w:cs="Calibri"/>
        </w:rPr>
        <w:t xml:space="preserve">techninės specifikacijos reikalavimai turi būti </w:t>
      </w:r>
      <w:r w:rsidR="009E420F">
        <w:rPr>
          <w:rFonts w:ascii="Calibri" w:hAnsi="Calibri" w:cs="Calibri"/>
        </w:rPr>
        <w:t>tiksl</w:t>
      </w:r>
      <w:r w:rsidR="003B36A4">
        <w:rPr>
          <w:rFonts w:ascii="Calibri" w:hAnsi="Calibri" w:cs="Calibri"/>
        </w:rPr>
        <w:t>ūs</w:t>
      </w:r>
      <w:r w:rsidR="009E420F">
        <w:rPr>
          <w:rFonts w:ascii="Calibri" w:hAnsi="Calibri" w:cs="Calibri"/>
        </w:rPr>
        <w:t xml:space="preserve"> ir aišk</w:t>
      </w:r>
      <w:r w:rsidR="003B36A4">
        <w:rPr>
          <w:rFonts w:ascii="Calibri" w:hAnsi="Calibri" w:cs="Calibri"/>
        </w:rPr>
        <w:t>ū</w:t>
      </w:r>
      <w:r w:rsidR="009E420F">
        <w:rPr>
          <w:rFonts w:ascii="Calibri" w:hAnsi="Calibri" w:cs="Calibri"/>
        </w:rPr>
        <w:t>s</w:t>
      </w:r>
      <w:r w:rsidR="00B36D3D">
        <w:rPr>
          <w:rFonts w:ascii="Calibri" w:hAnsi="Calibri" w:cs="Calibri"/>
        </w:rPr>
        <w:t xml:space="preserve"> (Įstatymo 35 straipsnio </w:t>
      </w:r>
      <w:r w:rsidR="00D61D05">
        <w:rPr>
          <w:rFonts w:ascii="Calibri" w:hAnsi="Calibri" w:cs="Calibri"/>
        </w:rPr>
        <w:t>4 dalis)</w:t>
      </w:r>
      <w:r w:rsidR="00F16321">
        <w:rPr>
          <w:rFonts w:ascii="Calibri" w:hAnsi="Calibri" w:cs="Calibri"/>
        </w:rPr>
        <w:t xml:space="preserve">, </w:t>
      </w:r>
      <w:r w:rsidR="00CB15DA">
        <w:rPr>
          <w:rFonts w:ascii="Calibri" w:hAnsi="Calibri" w:cs="Calibri"/>
        </w:rPr>
        <w:t xml:space="preserve">užtikrinti tiekėjų konkurenciją ir </w:t>
      </w:r>
      <w:r w:rsidR="007814E2">
        <w:rPr>
          <w:rFonts w:ascii="Calibri" w:hAnsi="Calibri" w:cs="Calibri"/>
        </w:rPr>
        <w:t>nediskriminuoti tiekėjų</w:t>
      </w:r>
      <w:r w:rsidR="00E500B2">
        <w:rPr>
          <w:rFonts w:ascii="Calibri" w:hAnsi="Calibri" w:cs="Calibri"/>
        </w:rPr>
        <w:t xml:space="preserve"> (Įs</w:t>
      </w:r>
      <w:r w:rsidR="00FE3B15">
        <w:rPr>
          <w:rFonts w:ascii="Calibri" w:hAnsi="Calibri" w:cs="Calibri"/>
        </w:rPr>
        <w:t>tatymo 37 straipsnio 3 dalis)</w:t>
      </w:r>
      <w:r w:rsidR="00AC323E">
        <w:rPr>
          <w:rFonts w:ascii="Calibri" w:hAnsi="Calibri" w:cs="Calibri"/>
        </w:rPr>
        <w:t xml:space="preserve">. Be to, </w:t>
      </w:r>
      <w:r w:rsidR="00AC323E" w:rsidRPr="00AC323E">
        <w:rPr>
          <w:rFonts w:ascii="Calibri" w:hAnsi="Calibri" w:cs="Calibri"/>
        </w:rPr>
        <w:t xml:space="preserve">nustatydama perkamas prekes apibūdinančius kriterijus, </w:t>
      </w:r>
      <w:r w:rsidR="008E7546">
        <w:rPr>
          <w:rFonts w:ascii="Calibri" w:hAnsi="Calibri" w:cs="Calibri"/>
        </w:rPr>
        <w:t xml:space="preserve">perkančioji organizacija, </w:t>
      </w:r>
      <w:r w:rsidR="00AC323E" w:rsidRPr="00AC323E">
        <w:rPr>
          <w:rFonts w:ascii="Calibri" w:hAnsi="Calibri" w:cs="Calibri"/>
        </w:rPr>
        <w:t>Įstatymu yra įpareigojama nepažeisti Įstatymo 17 straipsnio 1 dalyje įtvirtintų principų</w:t>
      </w:r>
      <w:r w:rsidR="007814E2">
        <w:rPr>
          <w:rStyle w:val="FootnoteReference"/>
          <w:rFonts w:ascii="Calibri" w:hAnsi="Calibri" w:cs="Calibri"/>
        </w:rPr>
        <w:footnoteReference w:id="1"/>
      </w:r>
      <w:r w:rsidR="008E7546">
        <w:rPr>
          <w:rFonts w:ascii="Calibri" w:hAnsi="Calibri" w:cs="Calibri"/>
        </w:rPr>
        <w:t>.</w:t>
      </w:r>
    </w:p>
    <w:p w14:paraId="18B18ED2" w14:textId="38396049" w:rsidR="00A14249" w:rsidRDefault="00417340" w:rsidP="00A249BA">
      <w:pPr>
        <w:spacing w:after="0"/>
        <w:ind w:firstLine="1296"/>
        <w:rPr>
          <w:rFonts w:ascii="Calibri" w:hAnsi="Calibri" w:cs="Calibri"/>
        </w:rPr>
      </w:pPr>
      <w:r>
        <w:rPr>
          <w:rFonts w:ascii="Calibri" w:hAnsi="Calibri" w:cs="Calibri"/>
        </w:rPr>
        <w:t xml:space="preserve">Tarnybos nuomone, </w:t>
      </w:r>
      <w:r w:rsidR="00A249BA">
        <w:rPr>
          <w:rFonts w:ascii="Calibri" w:hAnsi="Calibri" w:cs="Calibri"/>
        </w:rPr>
        <w:t xml:space="preserve">Pirkimo </w:t>
      </w:r>
      <w:r w:rsidR="00C424F2">
        <w:rPr>
          <w:rFonts w:ascii="Calibri" w:hAnsi="Calibri" w:cs="Calibri"/>
        </w:rPr>
        <w:t>III dalies techninė</w:t>
      </w:r>
      <w:r w:rsidR="00B921D6">
        <w:rPr>
          <w:rFonts w:ascii="Calibri" w:hAnsi="Calibri" w:cs="Calibri"/>
        </w:rPr>
        <w:t>s</w:t>
      </w:r>
      <w:r w:rsidR="00C424F2">
        <w:rPr>
          <w:rFonts w:ascii="Calibri" w:hAnsi="Calibri" w:cs="Calibri"/>
        </w:rPr>
        <w:t xml:space="preserve"> specifikacijo</w:t>
      </w:r>
      <w:r w:rsidR="00094CE4">
        <w:rPr>
          <w:rFonts w:ascii="Calibri" w:hAnsi="Calibri" w:cs="Calibri"/>
        </w:rPr>
        <w:t>s</w:t>
      </w:r>
      <w:r w:rsidR="00C424F2">
        <w:rPr>
          <w:rFonts w:ascii="Calibri" w:hAnsi="Calibri" w:cs="Calibri"/>
        </w:rPr>
        <w:t xml:space="preserve"> </w:t>
      </w:r>
      <w:r w:rsidR="00094CE4">
        <w:rPr>
          <w:rFonts w:ascii="Calibri" w:hAnsi="Calibri" w:cs="Calibri"/>
        </w:rPr>
        <w:t xml:space="preserve">3.1 papunktyje </w:t>
      </w:r>
      <w:r w:rsidR="00DB6C87">
        <w:rPr>
          <w:rFonts w:ascii="Calibri" w:hAnsi="Calibri" w:cs="Calibri"/>
        </w:rPr>
        <w:t xml:space="preserve">nurodyti </w:t>
      </w:r>
      <w:r w:rsidR="00993BC9">
        <w:rPr>
          <w:rFonts w:ascii="Calibri" w:hAnsi="Calibri" w:cs="Calibri"/>
        </w:rPr>
        <w:t>subjektyviai interpretuojam</w:t>
      </w:r>
      <w:r w:rsidR="00063E83">
        <w:rPr>
          <w:rFonts w:ascii="Calibri" w:hAnsi="Calibri" w:cs="Calibri"/>
        </w:rPr>
        <w:t>i</w:t>
      </w:r>
      <w:r w:rsidR="00993BC9">
        <w:rPr>
          <w:rFonts w:ascii="Calibri" w:hAnsi="Calibri" w:cs="Calibri"/>
        </w:rPr>
        <w:t xml:space="preserve"> </w:t>
      </w:r>
      <w:r w:rsidR="00063E83">
        <w:rPr>
          <w:rFonts w:ascii="Calibri" w:hAnsi="Calibri" w:cs="Calibri"/>
        </w:rPr>
        <w:t>reikalavimai</w:t>
      </w:r>
      <w:r w:rsidR="0083104F">
        <w:rPr>
          <w:rFonts w:ascii="Calibri" w:hAnsi="Calibri" w:cs="Calibri"/>
        </w:rPr>
        <w:t>, kuri</w:t>
      </w:r>
      <w:r w:rsidR="00063E83">
        <w:rPr>
          <w:rFonts w:ascii="Calibri" w:hAnsi="Calibri" w:cs="Calibri"/>
        </w:rPr>
        <w:t>e</w:t>
      </w:r>
      <w:r w:rsidR="0083104F">
        <w:rPr>
          <w:rFonts w:ascii="Calibri" w:hAnsi="Calibri" w:cs="Calibri"/>
        </w:rPr>
        <w:t xml:space="preserve"> gali būti suvokiam</w:t>
      </w:r>
      <w:r>
        <w:rPr>
          <w:rFonts w:ascii="Calibri" w:hAnsi="Calibri" w:cs="Calibri"/>
        </w:rPr>
        <w:t xml:space="preserve">i bei vertinami </w:t>
      </w:r>
      <w:r w:rsidR="0083104F">
        <w:rPr>
          <w:rFonts w:ascii="Calibri" w:hAnsi="Calibri" w:cs="Calibri"/>
        </w:rPr>
        <w:t>skirtingai</w:t>
      </w:r>
      <w:r w:rsidR="00094CE4">
        <w:rPr>
          <w:rFonts w:ascii="Calibri" w:hAnsi="Calibri" w:cs="Calibri"/>
        </w:rPr>
        <w:t xml:space="preserve">. </w:t>
      </w:r>
      <w:r w:rsidR="00A63978">
        <w:rPr>
          <w:rFonts w:ascii="Calibri" w:hAnsi="Calibri" w:cs="Calibri"/>
        </w:rPr>
        <w:t xml:space="preserve">Šiame punkte viso žmogaus egzomo sekoskaitos DNR fragmentų bibliotekos ruošimo rinkiniui </w:t>
      </w:r>
      <w:r w:rsidR="00E95832">
        <w:rPr>
          <w:rFonts w:ascii="Calibri" w:hAnsi="Calibri" w:cs="Calibri"/>
        </w:rPr>
        <w:t>kel</w:t>
      </w:r>
      <w:r w:rsidR="002C121E">
        <w:rPr>
          <w:rFonts w:ascii="Calibri" w:hAnsi="Calibri" w:cs="Calibri"/>
        </w:rPr>
        <w:t xml:space="preserve">iami </w:t>
      </w:r>
      <w:r>
        <w:rPr>
          <w:rFonts w:ascii="Calibri" w:hAnsi="Calibri" w:cs="Calibri"/>
        </w:rPr>
        <w:t xml:space="preserve">tokie </w:t>
      </w:r>
      <w:r w:rsidR="002C121E">
        <w:rPr>
          <w:rFonts w:ascii="Calibri" w:hAnsi="Calibri" w:cs="Calibri"/>
        </w:rPr>
        <w:t>reikalavimai:</w:t>
      </w:r>
    </w:p>
    <w:p w14:paraId="045B489F" w14:textId="1C0EE821" w:rsidR="007F1554" w:rsidRDefault="00BA76FE" w:rsidP="00F276E0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8A3E8C">
        <w:rPr>
          <w:rFonts w:ascii="Calibri" w:hAnsi="Calibri" w:cs="Calibri"/>
        </w:rPr>
        <w:t>„</w:t>
      </w:r>
      <w:r w:rsidRPr="0009633E">
        <w:rPr>
          <w:rFonts w:ascii="Calibri" w:hAnsi="Calibri" w:cs="Calibri"/>
          <w:b/>
          <w:bCs/>
        </w:rPr>
        <w:t>Tyrimo trukmė: ~6,5 val.</w:t>
      </w:r>
      <w:r w:rsidRPr="008A3E8C">
        <w:rPr>
          <w:rFonts w:ascii="Calibri" w:hAnsi="Calibri" w:cs="Calibri"/>
        </w:rPr>
        <w:t xml:space="preserve">“ </w:t>
      </w:r>
      <w:r w:rsidR="00417340">
        <w:rPr>
          <w:rFonts w:ascii="Calibri" w:hAnsi="Calibri" w:cs="Calibri"/>
        </w:rPr>
        <w:t xml:space="preserve">Atkreiptinas dėmesys, kad reikalavimas </w:t>
      </w:r>
      <w:r w:rsidR="006372EC" w:rsidRPr="008A3E8C">
        <w:rPr>
          <w:rFonts w:ascii="Calibri" w:hAnsi="Calibri" w:cs="Calibri"/>
        </w:rPr>
        <w:t xml:space="preserve">„apie“ </w:t>
      </w:r>
      <w:r w:rsidR="00704B3C" w:rsidRPr="008A3E8C">
        <w:rPr>
          <w:rFonts w:ascii="Calibri" w:hAnsi="Calibri" w:cs="Calibri"/>
        </w:rPr>
        <w:t xml:space="preserve">skirtingų potencialių dalyvių </w:t>
      </w:r>
      <w:r w:rsidR="00E104DE" w:rsidRPr="008A3E8C">
        <w:rPr>
          <w:rFonts w:ascii="Calibri" w:hAnsi="Calibri" w:cs="Calibri"/>
        </w:rPr>
        <w:t xml:space="preserve">gali būti </w:t>
      </w:r>
      <w:r w:rsidR="00417340">
        <w:rPr>
          <w:rFonts w:ascii="Calibri" w:hAnsi="Calibri" w:cs="Calibri"/>
        </w:rPr>
        <w:t xml:space="preserve">suprantamas ir vertinamas </w:t>
      </w:r>
      <w:r w:rsidR="00E104DE" w:rsidRPr="008A3E8C">
        <w:rPr>
          <w:rFonts w:ascii="Calibri" w:hAnsi="Calibri" w:cs="Calibri"/>
        </w:rPr>
        <w:t xml:space="preserve"> skirtingai. Perkančioji organizacija</w:t>
      </w:r>
      <w:r w:rsidR="0008047B" w:rsidRPr="008A3E8C">
        <w:rPr>
          <w:rFonts w:ascii="Calibri" w:hAnsi="Calibri" w:cs="Calibri"/>
        </w:rPr>
        <w:t>, atsakydama į tiekėjų pretenziją</w:t>
      </w:r>
      <w:r w:rsidR="00D639E2" w:rsidRPr="008A3E8C">
        <w:rPr>
          <w:rFonts w:ascii="Calibri" w:hAnsi="Calibri" w:cs="Calibri"/>
        </w:rPr>
        <w:t xml:space="preserve">, paaiškino </w:t>
      </w:r>
      <w:r w:rsidR="00417340">
        <w:rPr>
          <w:rFonts w:ascii="Calibri" w:hAnsi="Calibri" w:cs="Calibri"/>
        </w:rPr>
        <w:t>taip</w:t>
      </w:r>
      <w:r w:rsidR="00D639E2" w:rsidRPr="008A3E8C">
        <w:rPr>
          <w:rFonts w:ascii="Calibri" w:hAnsi="Calibri" w:cs="Calibri"/>
        </w:rPr>
        <w:t xml:space="preserve"> jog </w:t>
      </w:r>
      <w:r w:rsidR="008A3E8C" w:rsidRPr="008A3E8C">
        <w:rPr>
          <w:rFonts w:ascii="Calibri" w:hAnsi="Calibri" w:cs="Calibri"/>
        </w:rPr>
        <w:t>„Trukmė „apie 6,5 val.“ yra pagrįsta praktiniu darbo srautu, užtikrinančiu laboratorijos našumą ir suderinamumą su automatizuotomis sistemomis. Nurodytas laikas yra orientacinis, o formuluotė „apie“ aiškiai rodo leistiną toleranciją.</w:t>
      </w:r>
      <w:r w:rsidR="008A3E8C">
        <w:rPr>
          <w:rFonts w:ascii="Calibri" w:hAnsi="Calibri" w:cs="Calibri"/>
        </w:rPr>
        <w:t xml:space="preserve">“ </w:t>
      </w:r>
      <w:r w:rsidR="007F1554">
        <w:rPr>
          <w:rFonts w:ascii="Calibri" w:hAnsi="Calibri" w:cs="Calibri"/>
        </w:rPr>
        <w:t xml:space="preserve">Pažymėtina, jog </w:t>
      </w:r>
      <w:r w:rsidR="00404410">
        <w:rPr>
          <w:rFonts w:ascii="Calibri" w:hAnsi="Calibri" w:cs="Calibri"/>
        </w:rPr>
        <w:t xml:space="preserve">nepaisant to, jog Perkančioji organizacija </w:t>
      </w:r>
      <w:r w:rsidR="00CB17B9">
        <w:rPr>
          <w:rFonts w:ascii="Calibri" w:hAnsi="Calibri" w:cs="Calibri"/>
        </w:rPr>
        <w:t xml:space="preserve">pripažįsta leistinas parametro tolerancijos ribas, šios tolerancijos ribos turėtų būti </w:t>
      </w:r>
      <w:r w:rsidR="00417340">
        <w:rPr>
          <w:rFonts w:ascii="Calibri" w:hAnsi="Calibri" w:cs="Calibri"/>
        </w:rPr>
        <w:t xml:space="preserve">aiškiai </w:t>
      </w:r>
      <w:r w:rsidR="00CB17B9">
        <w:rPr>
          <w:rFonts w:ascii="Calibri" w:hAnsi="Calibri" w:cs="Calibri"/>
        </w:rPr>
        <w:t>apibrėžtos</w:t>
      </w:r>
      <w:r w:rsidR="00C01114">
        <w:rPr>
          <w:rFonts w:ascii="Calibri" w:hAnsi="Calibri" w:cs="Calibri"/>
        </w:rPr>
        <w:t xml:space="preserve">, </w:t>
      </w:r>
      <w:r w:rsidR="00C01114">
        <w:rPr>
          <w:rFonts w:ascii="Calibri" w:hAnsi="Calibri" w:cs="Calibri"/>
        </w:rPr>
        <w:lastRenderedPageBreak/>
        <w:t xml:space="preserve">kad jas skirtingi potencialūs dalyviai galėtų </w:t>
      </w:r>
      <w:r w:rsidR="005B7572">
        <w:rPr>
          <w:rFonts w:ascii="Calibri" w:hAnsi="Calibri" w:cs="Calibri"/>
        </w:rPr>
        <w:t xml:space="preserve">suprasti </w:t>
      </w:r>
      <w:r w:rsidR="00C01114">
        <w:rPr>
          <w:rFonts w:ascii="Calibri" w:hAnsi="Calibri" w:cs="Calibri"/>
        </w:rPr>
        <w:t>vienodai</w:t>
      </w:r>
      <w:r w:rsidR="009749D6">
        <w:rPr>
          <w:rFonts w:ascii="Calibri" w:hAnsi="Calibri" w:cs="Calibri"/>
        </w:rPr>
        <w:t xml:space="preserve">. </w:t>
      </w:r>
      <w:r w:rsidR="00543680">
        <w:rPr>
          <w:rFonts w:ascii="Calibri" w:hAnsi="Calibri" w:cs="Calibri"/>
        </w:rPr>
        <w:t>Taip pat a</w:t>
      </w:r>
      <w:r w:rsidR="004756A5">
        <w:rPr>
          <w:rFonts w:ascii="Calibri" w:hAnsi="Calibri" w:cs="Calibri"/>
        </w:rPr>
        <w:t xml:space="preserve">tkreiptinas dėmesys, kad </w:t>
      </w:r>
      <w:r w:rsidR="009749D6">
        <w:rPr>
          <w:rFonts w:ascii="Calibri" w:hAnsi="Calibri" w:cs="Calibri"/>
        </w:rPr>
        <w:t xml:space="preserve">nėra aišku kaip Perkančioji organizacija </w:t>
      </w:r>
      <w:r w:rsidR="0099386E">
        <w:rPr>
          <w:rFonts w:ascii="Calibri" w:hAnsi="Calibri" w:cs="Calibri"/>
        </w:rPr>
        <w:t>vertins</w:t>
      </w:r>
      <w:r w:rsidR="009C681A">
        <w:rPr>
          <w:rFonts w:ascii="Calibri" w:hAnsi="Calibri" w:cs="Calibri"/>
        </w:rPr>
        <w:t xml:space="preserve"> pasiūlymus pagal </w:t>
      </w:r>
      <w:r w:rsidR="0099386E">
        <w:rPr>
          <w:rFonts w:ascii="Calibri" w:hAnsi="Calibri" w:cs="Calibri"/>
        </w:rPr>
        <w:t>šį techninės specifikacijos reikalavimą</w:t>
      </w:r>
      <w:r w:rsidR="004E7921">
        <w:rPr>
          <w:rFonts w:ascii="Calibri" w:hAnsi="Calibri" w:cs="Calibri"/>
        </w:rPr>
        <w:t xml:space="preserve"> kuomet</w:t>
      </w:r>
      <w:r w:rsidR="00703FE0">
        <w:rPr>
          <w:rFonts w:ascii="Calibri" w:hAnsi="Calibri" w:cs="Calibri"/>
        </w:rPr>
        <w:t xml:space="preserve"> </w:t>
      </w:r>
      <w:r w:rsidR="00CB282C">
        <w:rPr>
          <w:rFonts w:ascii="Calibri" w:hAnsi="Calibri" w:cs="Calibri"/>
        </w:rPr>
        <w:t xml:space="preserve">nėra išviešinti objektyvūs parametro kriterijai, kas iš esmės reiškia, jog Perkančioji organizacija turi neribotą </w:t>
      </w:r>
      <w:r w:rsidR="002B0CA3">
        <w:rPr>
          <w:rFonts w:ascii="Calibri" w:hAnsi="Calibri" w:cs="Calibri"/>
        </w:rPr>
        <w:t>vertinimo laisvę (</w:t>
      </w:r>
      <w:r w:rsidR="00324522">
        <w:rPr>
          <w:rFonts w:ascii="Calibri" w:hAnsi="Calibri" w:cs="Calibri"/>
        </w:rPr>
        <w:t xml:space="preserve">ar </w:t>
      </w:r>
      <w:r w:rsidR="002B0CA3">
        <w:rPr>
          <w:rFonts w:ascii="Calibri" w:hAnsi="Calibri" w:cs="Calibri"/>
        </w:rPr>
        <w:t xml:space="preserve">tolerancijos riba bus 30 min., </w:t>
      </w:r>
      <w:r w:rsidR="00324522">
        <w:rPr>
          <w:rFonts w:ascii="Calibri" w:hAnsi="Calibri" w:cs="Calibri"/>
        </w:rPr>
        <w:t xml:space="preserve">ar </w:t>
      </w:r>
      <w:r w:rsidR="002B0CA3">
        <w:rPr>
          <w:rFonts w:ascii="Calibri" w:hAnsi="Calibri" w:cs="Calibri"/>
        </w:rPr>
        <w:t>1 val</w:t>
      </w:r>
      <w:r w:rsidR="00B24D5C">
        <w:rPr>
          <w:rFonts w:ascii="Calibri" w:hAnsi="Calibri" w:cs="Calibri"/>
        </w:rPr>
        <w:t>., ar kiti mažesni, ar didesni dydžiai).</w:t>
      </w:r>
    </w:p>
    <w:p w14:paraId="038FBF99" w14:textId="02123141" w:rsidR="00F329AE" w:rsidRDefault="00171489" w:rsidP="00F276E0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171489">
        <w:rPr>
          <w:rFonts w:ascii="Calibri" w:hAnsi="Calibri" w:cs="Calibri"/>
          <w:b/>
          <w:bCs/>
        </w:rPr>
        <w:t>„On-target rodiklis: ~90% (remiantis vidutine vidine testavimo statistika).“</w:t>
      </w:r>
      <w:r>
        <w:rPr>
          <w:rFonts w:ascii="Calibri" w:hAnsi="Calibri" w:cs="Calibri"/>
          <w:b/>
          <w:bCs/>
        </w:rPr>
        <w:t xml:space="preserve">; </w:t>
      </w:r>
      <w:r w:rsidR="00E33786" w:rsidRPr="00E33786">
        <w:rPr>
          <w:rFonts w:ascii="Calibri" w:hAnsi="Calibri" w:cs="Calibri"/>
        </w:rPr>
        <w:t>„</w:t>
      </w:r>
      <w:r w:rsidR="002A49A9" w:rsidRPr="0009633E">
        <w:rPr>
          <w:rFonts w:ascii="Calibri" w:hAnsi="Calibri" w:cs="Calibri"/>
          <w:b/>
          <w:bCs/>
        </w:rPr>
        <w:t>Rankinis darbo laikas: Apie 2 val.</w:t>
      </w:r>
      <w:r w:rsidR="00E33786" w:rsidRPr="00E33786">
        <w:rPr>
          <w:rFonts w:ascii="Calibri" w:hAnsi="Calibri" w:cs="Calibri"/>
        </w:rPr>
        <w:t xml:space="preserve">“ </w:t>
      </w:r>
      <w:r w:rsidR="00DD13FF">
        <w:rPr>
          <w:rFonts w:ascii="Calibri" w:hAnsi="Calibri" w:cs="Calibri"/>
        </w:rPr>
        <w:t>Perkančioji organizacija</w:t>
      </w:r>
      <w:r w:rsidR="00B6011C">
        <w:rPr>
          <w:rFonts w:ascii="Calibri" w:hAnsi="Calibri" w:cs="Calibri"/>
        </w:rPr>
        <w:t>, atsakydama į tiekėjų pretenziją</w:t>
      </w:r>
      <w:r w:rsidR="00DD13FF">
        <w:rPr>
          <w:rFonts w:ascii="Calibri" w:hAnsi="Calibri" w:cs="Calibri"/>
        </w:rPr>
        <w:t xml:space="preserve"> </w:t>
      </w:r>
      <w:r w:rsidR="009E05FD">
        <w:rPr>
          <w:rFonts w:ascii="Calibri" w:hAnsi="Calibri" w:cs="Calibri"/>
        </w:rPr>
        <w:t xml:space="preserve">dėl rankinio darbo laiko reikalavimo, </w:t>
      </w:r>
      <w:r w:rsidR="00DD13FF">
        <w:rPr>
          <w:rFonts w:ascii="Calibri" w:hAnsi="Calibri" w:cs="Calibri"/>
        </w:rPr>
        <w:t>paaiškino</w:t>
      </w:r>
      <w:r w:rsidR="00C65AD2">
        <w:rPr>
          <w:rFonts w:ascii="Calibri" w:hAnsi="Calibri" w:cs="Calibri"/>
        </w:rPr>
        <w:t>, jog „</w:t>
      </w:r>
      <w:r w:rsidR="003C3E24" w:rsidRPr="003C3E24">
        <w:rPr>
          <w:rFonts w:ascii="Calibri" w:hAnsi="Calibri" w:cs="Calibri"/>
        </w:rPr>
        <w:t>Šis reikalavimas yra orientacinis, padedantis užtikrinti darbo planavimą laboratorijoje. Tai neturi būti laikoma absoliučia kliūtimi, o tiekėjai gali siūlyti lygiavertį sprendimą su darbo eigos dokumentacija</w:t>
      </w:r>
      <w:r w:rsidR="00C65AD2">
        <w:rPr>
          <w:rFonts w:ascii="Calibri" w:hAnsi="Calibri" w:cs="Calibri"/>
        </w:rPr>
        <w:t xml:space="preserve">.“ </w:t>
      </w:r>
    </w:p>
    <w:p w14:paraId="2B6D895B" w14:textId="0EF841D7" w:rsidR="00F329AE" w:rsidRDefault="004E4DFF" w:rsidP="00E76A9F">
      <w:pPr>
        <w:pStyle w:val="ListParagraph"/>
        <w:spacing w:after="0"/>
        <w:ind w:left="2016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E76A9F">
        <w:rPr>
          <w:rFonts w:ascii="Calibri" w:hAnsi="Calibri" w:cs="Calibri"/>
          <w:b/>
          <w:bCs/>
        </w:rPr>
        <w:t>Rekomenduojamas DNR kiekis: 50–1000</w:t>
      </w:r>
      <w:r w:rsidRPr="004E4DFF">
        <w:rPr>
          <w:rFonts w:ascii="Calibri" w:hAnsi="Calibri" w:cs="Calibri"/>
        </w:rPr>
        <w:t xml:space="preserve"> ng</w:t>
      </w:r>
      <w:r>
        <w:rPr>
          <w:rFonts w:ascii="Calibri" w:hAnsi="Calibri" w:cs="Calibri"/>
        </w:rPr>
        <w:t xml:space="preserve">“. Perkančioji organizacija, atsakydama į tiekėjų pretenziją </w:t>
      </w:r>
      <w:r w:rsidR="00A50144">
        <w:rPr>
          <w:rFonts w:ascii="Calibri" w:hAnsi="Calibri" w:cs="Calibri"/>
        </w:rPr>
        <w:t>nurodė</w:t>
      </w:r>
      <w:r>
        <w:rPr>
          <w:rFonts w:ascii="Calibri" w:hAnsi="Calibri" w:cs="Calibri"/>
        </w:rPr>
        <w:t xml:space="preserve">, jog </w:t>
      </w:r>
      <w:r w:rsidR="007858D2">
        <w:rPr>
          <w:rFonts w:ascii="Calibri" w:hAnsi="Calibri" w:cs="Calibri"/>
        </w:rPr>
        <w:t>r</w:t>
      </w:r>
      <w:r w:rsidR="007858D2" w:rsidRPr="007858D2">
        <w:rPr>
          <w:rFonts w:ascii="Calibri" w:hAnsi="Calibri" w:cs="Calibri"/>
        </w:rPr>
        <w:t>ibos yra rekomenduojamos, o ne ribojančios</w:t>
      </w:r>
      <w:r w:rsidR="007858D2">
        <w:rPr>
          <w:rFonts w:ascii="Calibri" w:hAnsi="Calibri" w:cs="Calibri"/>
        </w:rPr>
        <w:t xml:space="preserve">, tačiau </w:t>
      </w:r>
      <w:r w:rsidR="00A50144">
        <w:rPr>
          <w:rFonts w:ascii="Calibri" w:hAnsi="Calibri" w:cs="Calibri"/>
        </w:rPr>
        <w:t>paaiškino</w:t>
      </w:r>
      <w:r w:rsidR="007858D2">
        <w:rPr>
          <w:rFonts w:ascii="Calibri" w:hAnsi="Calibri" w:cs="Calibri"/>
        </w:rPr>
        <w:t xml:space="preserve">, kad </w:t>
      </w:r>
      <w:r w:rsidR="00A50144">
        <w:rPr>
          <w:rFonts w:ascii="Calibri" w:hAnsi="Calibri" w:cs="Calibri"/>
        </w:rPr>
        <w:t>p</w:t>
      </w:r>
      <w:r w:rsidR="00A50144" w:rsidRPr="00A50144">
        <w:rPr>
          <w:rFonts w:ascii="Calibri" w:hAnsi="Calibri" w:cs="Calibri"/>
        </w:rPr>
        <w:t>asirinkta apatinė riba yra atitinkanti Perkančiosios organizacijos poreikį, atsižvelgiant į laboratorijos patirtį ir siekiant užtikrinti kokybišką DNR fragmentų bibliotekų paruošimą</w:t>
      </w:r>
      <w:r w:rsidR="005A22B3">
        <w:rPr>
          <w:rFonts w:ascii="Calibri" w:hAnsi="Calibri" w:cs="Calibri"/>
        </w:rPr>
        <w:t>.</w:t>
      </w:r>
    </w:p>
    <w:p w14:paraId="74F8A080" w14:textId="77777777" w:rsidR="00F329AE" w:rsidRDefault="00F329AE" w:rsidP="00E76A9F">
      <w:pPr>
        <w:pStyle w:val="ListParagraph"/>
        <w:spacing w:after="0"/>
        <w:ind w:left="2016"/>
        <w:rPr>
          <w:rFonts w:ascii="Calibri" w:hAnsi="Calibri" w:cs="Calibri"/>
        </w:rPr>
      </w:pPr>
    </w:p>
    <w:p w14:paraId="7D06DDC8" w14:textId="599A2C0C" w:rsidR="005A22B3" w:rsidRDefault="00211523" w:rsidP="005A22B3">
      <w:pPr>
        <w:pStyle w:val="ListParagraph"/>
        <w:spacing w:after="0"/>
        <w:ind w:left="2016"/>
        <w:rPr>
          <w:rFonts w:ascii="Calibri" w:hAnsi="Calibri" w:cs="Calibri"/>
        </w:rPr>
      </w:pPr>
      <w:r>
        <w:rPr>
          <w:rFonts w:ascii="Calibri" w:hAnsi="Calibri" w:cs="Calibri"/>
        </w:rPr>
        <w:t xml:space="preserve">Techninė specifikacija </w:t>
      </w:r>
      <w:r w:rsidR="00920445">
        <w:rPr>
          <w:rFonts w:ascii="Calibri" w:hAnsi="Calibri" w:cs="Calibri"/>
        </w:rPr>
        <w:t>nustato privalomus reikalavimus prekei</w:t>
      </w:r>
      <w:r w:rsidR="007700EF">
        <w:rPr>
          <w:rFonts w:ascii="Calibri" w:hAnsi="Calibri" w:cs="Calibri"/>
        </w:rPr>
        <w:t xml:space="preserve">, </w:t>
      </w:r>
      <w:r w:rsidR="005C2415">
        <w:rPr>
          <w:rFonts w:ascii="Calibri" w:hAnsi="Calibri" w:cs="Calibri"/>
        </w:rPr>
        <w:t>kurių neatitinkant, tiekėjo pasiū</w:t>
      </w:r>
      <w:r w:rsidR="009C08DE">
        <w:rPr>
          <w:rFonts w:ascii="Calibri" w:hAnsi="Calibri" w:cs="Calibri"/>
        </w:rPr>
        <w:t xml:space="preserve">lymas </w:t>
      </w:r>
      <w:r w:rsidR="00417340">
        <w:rPr>
          <w:rFonts w:ascii="Calibri" w:hAnsi="Calibri" w:cs="Calibri"/>
        </w:rPr>
        <w:t xml:space="preserve">turi būti </w:t>
      </w:r>
      <w:r w:rsidR="009C08DE">
        <w:rPr>
          <w:rFonts w:ascii="Calibri" w:hAnsi="Calibri" w:cs="Calibri"/>
        </w:rPr>
        <w:t>atmetamas, todėl</w:t>
      </w:r>
      <w:r w:rsidR="00B67BB4">
        <w:rPr>
          <w:rFonts w:ascii="Calibri" w:hAnsi="Calibri" w:cs="Calibri"/>
        </w:rPr>
        <w:t xml:space="preserve">, Tarnybos nuomone, </w:t>
      </w:r>
      <w:r w:rsidR="0075741D">
        <w:rPr>
          <w:rFonts w:ascii="Calibri" w:hAnsi="Calibri" w:cs="Calibri"/>
        </w:rPr>
        <w:t>orientacinių</w:t>
      </w:r>
      <w:r w:rsidR="005A22B3">
        <w:rPr>
          <w:rFonts w:ascii="Calibri" w:hAnsi="Calibri" w:cs="Calibri"/>
        </w:rPr>
        <w:t xml:space="preserve">, rekomenduojamų, netikslių ir dviprasmiškų </w:t>
      </w:r>
      <w:r w:rsidR="0075741D">
        <w:rPr>
          <w:rFonts w:ascii="Calibri" w:hAnsi="Calibri" w:cs="Calibri"/>
        </w:rPr>
        <w:t>reikal</w:t>
      </w:r>
      <w:r w:rsidR="00BC31C3">
        <w:rPr>
          <w:rFonts w:ascii="Calibri" w:hAnsi="Calibri" w:cs="Calibri"/>
        </w:rPr>
        <w:t>a</w:t>
      </w:r>
      <w:r w:rsidR="0075741D">
        <w:rPr>
          <w:rFonts w:ascii="Calibri" w:hAnsi="Calibri" w:cs="Calibri"/>
        </w:rPr>
        <w:t>vimų nurodymas te</w:t>
      </w:r>
      <w:r w:rsidR="00BC31C3">
        <w:rPr>
          <w:rFonts w:ascii="Calibri" w:hAnsi="Calibri" w:cs="Calibri"/>
        </w:rPr>
        <w:t xml:space="preserve">chninėje specifikacijoje </w:t>
      </w:r>
      <w:r w:rsidR="00417340">
        <w:rPr>
          <w:rFonts w:ascii="Calibri" w:hAnsi="Calibri" w:cs="Calibri"/>
        </w:rPr>
        <w:t xml:space="preserve">šiuo atveju </w:t>
      </w:r>
      <w:r w:rsidR="00BC31C3">
        <w:rPr>
          <w:rFonts w:ascii="Calibri" w:hAnsi="Calibri" w:cs="Calibri"/>
        </w:rPr>
        <w:t>Perkanči</w:t>
      </w:r>
      <w:r w:rsidR="008046CF">
        <w:rPr>
          <w:rFonts w:ascii="Calibri" w:hAnsi="Calibri" w:cs="Calibri"/>
        </w:rPr>
        <w:t>a</w:t>
      </w:r>
      <w:r w:rsidR="00BC31C3">
        <w:rPr>
          <w:rFonts w:ascii="Calibri" w:hAnsi="Calibri" w:cs="Calibri"/>
        </w:rPr>
        <w:t>j</w:t>
      </w:r>
      <w:r w:rsidR="008046CF">
        <w:rPr>
          <w:rFonts w:ascii="Calibri" w:hAnsi="Calibri" w:cs="Calibri"/>
        </w:rPr>
        <w:t>a</w:t>
      </w:r>
      <w:r w:rsidR="00BC31C3">
        <w:rPr>
          <w:rFonts w:ascii="Calibri" w:hAnsi="Calibri" w:cs="Calibri"/>
        </w:rPr>
        <w:t xml:space="preserve">i organizacijai suteikia </w:t>
      </w:r>
      <w:r w:rsidR="00BC31C3" w:rsidRPr="00BC31C3">
        <w:rPr>
          <w:rFonts w:ascii="Calibri" w:hAnsi="Calibri" w:cs="Calibri"/>
        </w:rPr>
        <w:t>neribot</w:t>
      </w:r>
      <w:r w:rsidR="00BC31C3">
        <w:rPr>
          <w:rFonts w:ascii="Calibri" w:hAnsi="Calibri" w:cs="Calibri"/>
        </w:rPr>
        <w:t>ą</w:t>
      </w:r>
      <w:r w:rsidR="00BC31C3" w:rsidRPr="00BC31C3">
        <w:rPr>
          <w:rFonts w:ascii="Calibri" w:hAnsi="Calibri" w:cs="Calibri"/>
        </w:rPr>
        <w:t xml:space="preserve"> diskrecijos laisv</w:t>
      </w:r>
      <w:r w:rsidR="00BC31C3">
        <w:rPr>
          <w:rFonts w:ascii="Calibri" w:hAnsi="Calibri" w:cs="Calibri"/>
        </w:rPr>
        <w:t>ę</w:t>
      </w:r>
      <w:r w:rsidR="00BC31C3" w:rsidRPr="00BC31C3">
        <w:rPr>
          <w:rFonts w:ascii="Calibri" w:hAnsi="Calibri" w:cs="Calibri"/>
        </w:rPr>
        <w:t xml:space="preserve"> </w:t>
      </w:r>
      <w:r w:rsidR="00BC31C3">
        <w:rPr>
          <w:rFonts w:ascii="Calibri" w:hAnsi="Calibri" w:cs="Calibri"/>
        </w:rPr>
        <w:t>vertinant pasiūlymus</w:t>
      </w:r>
      <w:r w:rsidR="009C08DE" w:rsidRPr="008046CF">
        <w:rPr>
          <w:rFonts w:ascii="Calibri" w:hAnsi="Calibri" w:cs="Calibri"/>
        </w:rPr>
        <w:t xml:space="preserve">. </w:t>
      </w:r>
      <w:r w:rsidR="005A22B3" w:rsidRPr="005A22B3">
        <w:rPr>
          <w:rFonts w:ascii="Calibri" w:hAnsi="Calibri" w:cs="Calibri"/>
        </w:rPr>
        <w:t>Kasacinis teismas yra pasisakęs, kad neribota diskrecijos laisvė perkančiosios organizacijos veiksmuose draudžiama, todėl ji negali savo nuožiūra lanksčiai aiškinti ir vertinti konkurso sąlygose nustatytų reikalavimų: vienu atveju plačiau, kitu – siauriau. Toks ribojimas išplaukia iš dalyvių lygiateisiškumo ir skaidrumo principų, viešumo ir objektyvumo reikalavimų.</w:t>
      </w:r>
    </w:p>
    <w:p w14:paraId="390DC7FE" w14:textId="65028390" w:rsidR="009C08DE" w:rsidRPr="008046CF" w:rsidRDefault="00521FF4" w:rsidP="008028D7">
      <w:pPr>
        <w:pStyle w:val="ListParagraph"/>
        <w:spacing w:after="0"/>
        <w:ind w:left="2016" w:firstLine="576"/>
        <w:rPr>
          <w:rFonts w:ascii="Calibri" w:hAnsi="Calibri" w:cs="Calibri"/>
        </w:rPr>
      </w:pPr>
      <w:r>
        <w:rPr>
          <w:rFonts w:ascii="Calibri" w:hAnsi="Calibri" w:cs="Calibri"/>
        </w:rPr>
        <w:t xml:space="preserve">Atsižvelgiant į tai, kad </w:t>
      </w:r>
      <w:r w:rsidR="00953BB5" w:rsidRPr="008046CF">
        <w:rPr>
          <w:rFonts w:ascii="Calibri" w:hAnsi="Calibri" w:cs="Calibri"/>
        </w:rPr>
        <w:t xml:space="preserve">techninės specifikacijos </w:t>
      </w:r>
      <w:r w:rsidR="00A9128F" w:rsidRPr="008046CF">
        <w:rPr>
          <w:rFonts w:ascii="Calibri" w:hAnsi="Calibri" w:cs="Calibri"/>
        </w:rPr>
        <w:t xml:space="preserve">reikalavimai </w:t>
      </w:r>
      <w:r w:rsidR="00CC3884" w:rsidRPr="008046CF">
        <w:rPr>
          <w:rFonts w:ascii="Calibri" w:hAnsi="Calibri" w:cs="Calibri"/>
        </w:rPr>
        <w:t>tur</w:t>
      </w:r>
      <w:r w:rsidR="00417340">
        <w:rPr>
          <w:rFonts w:ascii="Calibri" w:hAnsi="Calibri" w:cs="Calibri"/>
        </w:rPr>
        <w:t>i</w:t>
      </w:r>
      <w:r w:rsidR="00CC3884" w:rsidRPr="008046CF">
        <w:rPr>
          <w:rFonts w:ascii="Calibri" w:hAnsi="Calibri" w:cs="Calibri"/>
        </w:rPr>
        <w:t xml:space="preserve"> būti </w:t>
      </w:r>
      <w:r w:rsidR="0009633E" w:rsidRPr="008046CF">
        <w:rPr>
          <w:rFonts w:ascii="Calibri" w:hAnsi="Calibri" w:cs="Calibri"/>
        </w:rPr>
        <w:t xml:space="preserve">ne subjektyvaus pobūdžio, </w:t>
      </w:r>
      <w:r w:rsidR="002A6C06" w:rsidRPr="008046CF">
        <w:rPr>
          <w:rFonts w:ascii="Calibri" w:hAnsi="Calibri" w:cs="Calibri"/>
        </w:rPr>
        <w:t xml:space="preserve">o </w:t>
      </w:r>
      <w:r w:rsidR="00CC3884" w:rsidRPr="008046CF">
        <w:rPr>
          <w:rFonts w:ascii="Calibri" w:hAnsi="Calibri" w:cs="Calibri"/>
        </w:rPr>
        <w:t>objektyv</w:t>
      </w:r>
      <w:r w:rsidR="00BA4486" w:rsidRPr="008046CF">
        <w:rPr>
          <w:rFonts w:ascii="Calibri" w:hAnsi="Calibri" w:cs="Calibri"/>
        </w:rPr>
        <w:t>iai patikrinami</w:t>
      </w:r>
      <w:r w:rsidR="0072718B">
        <w:rPr>
          <w:rFonts w:ascii="Calibri" w:hAnsi="Calibri" w:cs="Calibri"/>
        </w:rPr>
        <w:t xml:space="preserve"> ir aiškūs</w:t>
      </w:r>
      <w:r>
        <w:rPr>
          <w:rFonts w:ascii="Calibri" w:hAnsi="Calibri" w:cs="Calibri"/>
        </w:rPr>
        <w:t xml:space="preserve">, </w:t>
      </w:r>
      <w:r w:rsidRPr="008046CF">
        <w:rPr>
          <w:rFonts w:ascii="Calibri" w:hAnsi="Calibri" w:cs="Calibri"/>
        </w:rPr>
        <w:t xml:space="preserve">rekomenduotina pakartotinai įsivertinti </w:t>
      </w:r>
      <w:r>
        <w:rPr>
          <w:rFonts w:ascii="Calibri" w:hAnsi="Calibri" w:cs="Calibri"/>
        </w:rPr>
        <w:t>reikal</w:t>
      </w:r>
      <w:r w:rsidR="00023959">
        <w:rPr>
          <w:rFonts w:ascii="Calibri" w:hAnsi="Calibri" w:cs="Calibri"/>
        </w:rPr>
        <w:t>a</w:t>
      </w:r>
      <w:r>
        <w:rPr>
          <w:rFonts w:ascii="Calibri" w:hAnsi="Calibri" w:cs="Calibri"/>
        </w:rPr>
        <w:t>vimo</w:t>
      </w:r>
      <w:r w:rsidRPr="008046CF">
        <w:rPr>
          <w:rFonts w:ascii="Calibri" w:hAnsi="Calibri" w:cs="Calibri"/>
        </w:rPr>
        <w:t xml:space="preserve"> „rankinis darbas“ poreikį</w:t>
      </w:r>
      <w:r w:rsidR="0072718B">
        <w:rPr>
          <w:rFonts w:ascii="Calibri" w:hAnsi="Calibri" w:cs="Calibri"/>
        </w:rPr>
        <w:t>.</w:t>
      </w:r>
      <w:r w:rsidR="005A22B3">
        <w:rPr>
          <w:rFonts w:ascii="Calibri" w:hAnsi="Calibri" w:cs="Calibri"/>
        </w:rPr>
        <w:t xml:space="preserve"> bei aiškiai apibrėžti reikalaujamą </w:t>
      </w:r>
      <w:r w:rsidR="005A22B3" w:rsidRPr="005A22B3">
        <w:rPr>
          <w:rFonts w:ascii="Calibri" w:hAnsi="Calibri" w:cs="Calibri"/>
        </w:rPr>
        <w:t>DNR kiek</w:t>
      </w:r>
      <w:r w:rsidR="005A22B3">
        <w:rPr>
          <w:rFonts w:ascii="Calibri" w:hAnsi="Calibri" w:cs="Calibri"/>
        </w:rPr>
        <w:t>į</w:t>
      </w:r>
      <w:r w:rsidR="00EA33CC">
        <w:rPr>
          <w:rFonts w:ascii="Calibri" w:hAnsi="Calibri" w:cs="Calibri"/>
        </w:rPr>
        <w:t xml:space="preserve"> </w:t>
      </w:r>
      <w:r w:rsidR="00EA33CC" w:rsidRPr="00F018A7">
        <w:rPr>
          <w:rFonts w:ascii="Calibri" w:hAnsi="Calibri" w:cs="Calibri"/>
        </w:rPr>
        <w:t>pernelyg jo nesusiaurinant</w:t>
      </w:r>
      <w:r w:rsidR="0009633E" w:rsidRPr="00F018A7">
        <w:rPr>
          <w:rFonts w:ascii="Calibri" w:hAnsi="Calibri" w:cs="Calibri"/>
        </w:rPr>
        <w:t>.</w:t>
      </w:r>
      <w:r w:rsidR="001C0FE4">
        <w:rPr>
          <w:rFonts w:ascii="Calibri" w:hAnsi="Calibri" w:cs="Calibri"/>
        </w:rPr>
        <w:t xml:space="preserve"> Taip pat r</w:t>
      </w:r>
      <w:r w:rsidR="001C0FE4" w:rsidRPr="008046CF">
        <w:rPr>
          <w:rFonts w:ascii="Calibri" w:hAnsi="Calibri" w:cs="Calibri"/>
        </w:rPr>
        <w:t>ekomenduotina techninės specifikacijos reikalavimuose nenaudoti subjektyviai interpretuojamų sąvokų „apie“</w:t>
      </w:r>
      <w:r w:rsidR="00417340">
        <w:rPr>
          <w:rFonts w:ascii="Calibri" w:hAnsi="Calibri" w:cs="Calibri"/>
        </w:rPr>
        <w:t xml:space="preserve"> ir kt</w:t>
      </w:r>
      <w:r w:rsidR="001C0FE4" w:rsidRPr="008046CF">
        <w:rPr>
          <w:rFonts w:ascii="Calibri" w:hAnsi="Calibri" w:cs="Calibri"/>
        </w:rPr>
        <w:t>.</w:t>
      </w:r>
    </w:p>
    <w:p w14:paraId="6EBCA78A" w14:textId="41EB3DED" w:rsidR="00BD37C3" w:rsidRDefault="005E52B9" w:rsidP="003B5FB6">
      <w:pPr>
        <w:spacing w:after="0"/>
        <w:ind w:firstLine="1296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Vertinant </w:t>
      </w:r>
      <w:r w:rsidR="004A7460">
        <w:rPr>
          <w:rFonts w:ascii="Calibri" w:hAnsi="Calibri" w:cs="Calibri"/>
        </w:rPr>
        <w:t xml:space="preserve">Pirkimo III dalies techninės specifikacijos reikalavimų visumos </w:t>
      </w:r>
      <w:r w:rsidR="00274BEE">
        <w:rPr>
          <w:rFonts w:ascii="Calibri" w:hAnsi="Calibri" w:cs="Calibri"/>
        </w:rPr>
        <w:t xml:space="preserve">atitiktį Įstatymo 37 straipsnio </w:t>
      </w:r>
      <w:r w:rsidR="00377318">
        <w:rPr>
          <w:rFonts w:ascii="Calibri" w:hAnsi="Calibri" w:cs="Calibri"/>
        </w:rPr>
        <w:t xml:space="preserve">3 dalies </w:t>
      </w:r>
      <w:r w:rsidR="00951845">
        <w:rPr>
          <w:rFonts w:ascii="Calibri" w:hAnsi="Calibri" w:cs="Calibri"/>
        </w:rPr>
        <w:t xml:space="preserve">nuostatoms, Tarnyba prašė </w:t>
      </w:r>
      <w:r w:rsidR="00836CAC">
        <w:rPr>
          <w:rFonts w:ascii="Calibri" w:hAnsi="Calibri" w:cs="Calibri"/>
        </w:rPr>
        <w:t xml:space="preserve">Perkančiosios organizacijos </w:t>
      </w:r>
      <w:r w:rsidR="00417340">
        <w:rPr>
          <w:rFonts w:ascii="Calibri" w:hAnsi="Calibri" w:cs="Calibri"/>
        </w:rPr>
        <w:t xml:space="preserve">nurodyti </w:t>
      </w:r>
      <w:r w:rsidR="00836CAC" w:rsidRPr="00836CAC">
        <w:rPr>
          <w:rFonts w:ascii="Calibri" w:hAnsi="Calibri" w:cs="Calibri"/>
        </w:rPr>
        <w:t xml:space="preserve">bent kelis gamintojus ir konkrečius šių gamintojų siūlomus viso </w:t>
      </w:r>
      <w:r w:rsidR="00836CAC">
        <w:rPr>
          <w:rFonts w:ascii="Calibri" w:hAnsi="Calibri" w:cs="Calibri"/>
        </w:rPr>
        <w:t>ž</w:t>
      </w:r>
      <w:r w:rsidR="00836CAC" w:rsidRPr="00836CAC">
        <w:rPr>
          <w:rFonts w:ascii="Calibri" w:hAnsi="Calibri" w:cs="Calibri"/>
        </w:rPr>
        <w:t xml:space="preserve">mogaus egzomo </w:t>
      </w:r>
      <w:r w:rsidR="00836CAC" w:rsidRPr="00836CAC">
        <w:rPr>
          <w:rFonts w:ascii="Calibri" w:hAnsi="Calibri" w:cs="Calibri"/>
        </w:rPr>
        <w:lastRenderedPageBreak/>
        <w:t>sekoskaitos DNR fragmentų bibliotekos ruošimo rinkinius, kurie</w:t>
      </w:r>
      <w:r w:rsidR="00D64487">
        <w:rPr>
          <w:rFonts w:ascii="Calibri" w:hAnsi="Calibri" w:cs="Calibri"/>
        </w:rPr>
        <w:t xml:space="preserve"> </w:t>
      </w:r>
      <w:r w:rsidR="00836CAC" w:rsidRPr="00836CAC">
        <w:rPr>
          <w:rFonts w:ascii="Calibri" w:hAnsi="Calibri" w:cs="Calibri"/>
        </w:rPr>
        <w:t>pilnai atiti</w:t>
      </w:r>
      <w:r w:rsidR="00417340">
        <w:rPr>
          <w:rFonts w:ascii="Calibri" w:hAnsi="Calibri" w:cs="Calibri"/>
        </w:rPr>
        <w:t>ktų</w:t>
      </w:r>
      <w:r w:rsidR="00836CAC" w:rsidRPr="00836CAC">
        <w:rPr>
          <w:rFonts w:ascii="Calibri" w:hAnsi="Calibri" w:cs="Calibri"/>
        </w:rPr>
        <w:t xml:space="preserve"> Pirkimo III dalies techninės specifikacijos reikalavimų visumą.</w:t>
      </w:r>
      <w:r w:rsidR="00836CAC">
        <w:rPr>
          <w:rFonts w:ascii="Calibri" w:hAnsi="Calibri" w:cs="Calibri"/>
        </w:rPr>
        <w:t xml:space="preserve"> Perkančioji organizacija </w:t>
      </w:r>
      <w:r w:rsidR="00456354">
        <w:rPr>
          <w:rFonts w:ascii="Calibri" w:hAnsi="Calibri" w:cs="Calibri"/>
        </w:rPr>
        <w:t xml:space="preserve">pateikė informaciją, nurodydama </w:t>
      </w:r>
      <w:r w:rsidR="004A6506">
        <w:rPr>
          <w:rFonts w:ascii="Calibri" w:hAnsi="Calibri" w:cs="Calibri"/>
        </w:rPr>
        <w:t xml:space="preserve">gamintojų „Illumina“, </w:t>
      </w:r>
      <w:r w:rsidR="00312362" w:rsidRPr="00312362">
        <w:rPr>
          <w:rFonts w:ascii="Calibri" w:hAnsi="Calibri" w:cs="Calibri"/>
        </w:rPr>
        <w:t>„Agilent“</w:t>
      </w:r>
      <w:r w:rsidR="00312362">
        <w:rPr>
          <w:rFonts w:ascii="Calibri" w:hAnsi="Calibri" w:cs="Calibri"/>
        </w:rPr>
        <w:t xml:space="preserve">, </w:t>
      </w:r>
      <w:r w:rsidR="00312362" w:rsidRPr="00312362">
        <w:rPr>
          <w:rFonts w:ascii="Calibri" w:hAnsi="Calibri" w:cs="Calibri"/>
        </w:rPr>
        <w:t>„Twist Bioscience“</w:t>
      </w:r>
      <w:r w:rsidR="00312362">
        <w:rPr>
          <w:rFonts w:ascii="Calibri" w:hAnsi="Calibri" w:cs="Calibri"/>
        </w:rPr>
        <w:t xml:space="preserve"> </w:t>
      </w:r>
      <w:r w:rsidR="00283880">
        <w:rPr>
          <w:rFonts w:ascii="Calibri" w:hAnsi="Calibri" w:cs="Calibri"/>
        </w:rPr>
        <w:t xml:space="preserve">reagentų rinkinius. Vertinant Perkančiosios organizacijos pateiktą informaciją </w:t>
      </w:r>
      <w:r w:rsidR="00902861">
        <w:rPr>
          <w:rFonts w:ascii="Calibri" w:hAnsi="Calibri" w:cs="Calibri"/>
        </w:rPr>
        <w:t xml:space="preserve">Tarnyba </w:t>
      </w:r>
      <w:r w:rsidR="00417340">
        <w:rPr>
          <w:rFonts w:ascii="Calibri" w:hAnsi="Calibri" w:cs="Calibri"/>
        </w:rPr>
        <w:t>nustatė</w:t>
      </w:r>
      <w:r w:rsidR="00E43346">
        <w:rPr>
          <w:rFonts w:ascii="Calibri" w:hAnsi="Calibri" w:cs="Calibri"/>
        </w:rPr>
        <w:t xml:space="preserve">, jog </w:t>
      </w:r>
      <w:r w:rsidR="00E9386E">
        <w:rPr>
          <w:rFonts w:ascii="Calibri" w:hAnsi="Calibri" w:cs="Calibri"/>
        </w:rPr>
        <w:t>Pirkimo techninės specifikacijos III dal</w:t>
      </w:r>
      <w:r w:rsidR="00417340">
        <w:rPr>
          <w:rFonts w:ascii="Calibri" w:hAnsi="Calibri" w:cs="Calibri"/>
        </w:rPr>
        <w:t xml:space="preserve">yje nustatytų </w:t>
      </w:r>
      <w:r w:rsidR="00E9386E">
        <w:rPr>
          <w:rFonts w:ascii="Calibri" w:hAnsi="Calibri" w:cs="Calibri"/>
        </w:rPr>
        <w:t xml:space="preserve">reikalavimų visuma yra itin artima gamintojo </w:t>
      </w:r>
      <w:r w:rsidR="00984E8E">
        <w:rPr>
          <w:rFonts w:ascii="Calibri" w:hAnsi="Calibri" w:cs="Calibri"/>
        </w:rPr>
        <w:t>„Illumina“ siūlom</w:t>
      </w:r>
      <w:r w:rsidR="00B73166">
        <w:rPr>
          <w:rFonts w:ascii="Calibri" w:hAnsi="Calibri" w:cs="Calibri"/>
        </w:rPr>
        <w:t>ų</w:t>
      </w:r>
      <w:r w:rsidR="00984E8E">
        <w:rPr>
          <w:rFonts w:ascii="Calibri" w:hAnsi="Calibri" w:cs="Calibri"/>
        </w:rPr>
        <w:t xml:space="preserve"> reagentų rinkini</w:t>
      </w:r>
      <w:r w:rsidR="00B73166">
        <w:rPr>
          <w:rFonts w:ascii="Calibri" w:hAnsi="Calibri" w:cs="Calibri"/>
        </w:rPr>
        <w:t xml:space="preserve">ų </w:t>
      </w:r>
      <w:r w:rsidR="00D944A5">
        <w:rPr>
          <w:rFonts w:ascii="Calibri" w:hAnsi="Calibri" w:cs="Calibri"/>
        </w:rPr>
        <w:t>specifikacijoms</w:t>
      </w:r>
      <w:r w:rsidR="00984E8E">
        <w:rPr>
          <w:rStyle w:val="FootnoteReference"/>
          <w:rFonts w:ascii="Calibri" w:hAnsi="Calibri" w:cs="Calibri"/>
        </w:rPr>
        <w:footnoteReference w:id="2"/>
      </w:r>
      <w:r w:rsidR="00180FE4">
        <w:rPr>
          <w:rFonts w:ascii="Calibri" w:hAnsi="Calibri" w:cs="Calibri"/>
        </w:rPr>
        <w:t xml:space="preserve"> (</w:t>
      </w:r>
      <w:r w:rsidR="00CF2073">
        <w:rPr>
          <w:rFonts w:ascii="Calibri" w:hAnsi="Calibri" w:cs="Calibri"/>
        </w:rPr>
        <w:t xml:space="preserve">techninėje specifikacijoje nurodytos </w:t>
      </w:r>
      <w:r w:rsidR="00180FE4">
        <w:rPr>
          <w:rFonts w:ascii="Calibri" w:hAnsi="Calibri" w:cs="Calibri"/>
        </w:rPr>
        <w:t xml:space="preserve">tapačios formuluotės, </w:t>
      </w:r>
      <w:r w:rsidR="00EE0958">
        <w:rPr>
          <w:rFonts w:ascii="Calibri" w:hAnsi="Calibri" w:cs="Calibri"/>
        </w:rPr>
        <w:t xml:space="preserve">skaitinės reikšmės, </w:t>
      </w:r>
      <w:r w:rsidR="00D944A5">
        <w:rPr>
          <w:rFonts w:ascii="Calibri" w:hAnsi="Calibri" w:cs="Calibri"/>
        </w:rPr>
        <w:t xml:space="preserve">lengvai papunkčiui randama informacija </w:t>
      </w:r>
      <w:r w:rsidR="005C628B">
        <w:rPr>
          <w:rFonts w:ascii="Calibri" w:hAnsi="Calibri" w:cs="Calibri"/>
        </w:rPr>
        <w:t>dėl atitikties Pirkimo III dalies techninės specifikacijos reikalavimų visumai</w:t>
      </w:r>
      <w:r w:rsidR="00BC185D">
        <w:rPr>
          <w:rFonts w:ascii="Calibri" w:hAnsi="Calibri" w:cs="Calibri"/>
        </w:rPr>
        <w:t>)</w:t>
      </w:r>
      <w:r w:rsidR="005C628B">
        <w:rPr>
          <w:rFonts w:ascii="Calibri" w:hAnsi="Calibri" w:cs="Calibri"/>
        </w:rPr>
        <w:t xml:space="preserve">. </w:t>
      </w:r>
      <w:r w:rsidR="009009E4">
        <w:rPr>
          <w:rFonts w:ascii="Calibri" w:hAnsi="Calibri" w:cs="Calibri"/>
        </w:rPr>
        <w:t>P</w:t>
      </w:r>
      <w:r w:rsidR="005C628B">
        <w:rPr>
          <w:rFonts w:ascii="Calibri" w:hAnsi="Calibri" w:cs="Calibri"/>
        </w:rPr>
        <w:t>ažym</w:t>
      </w:r>
      <w:r w:rsidR="009009E4">
        <w:rPr>
          <w:rFonts w:ascii="Calibri" w:hAnsi="Calibri" w:cs="Calibri"/>
        </w:rPr>
        <w:t>ėtina</w:t>
      </w:r>
      <w:r w:rsidR="005C628B">
        <w:rPr>
          <w:rFonts w:ascii="Calibri" w:hAnsi="Calibri" w:cs="Calibri"/>
        </w:rPr>
        <w:t xml:space="preserve">, jog </w:t>
      </w:r>
      <w:r w:rsidR="009009E4">
        <w:rPr>
          <w:rFonts w:ascii="Calibri" w:hAnsi="Calibri" w:cs="Calibri"/>
        </w:rPr>
        <w:t xml:space="preserve">Tarnybos parengtose metodinėse priemonėse dėl techninės specifikacijos rengimo akcentuojama, jog techninės specifikacija turėtų būti rengiama ne </w:t>
      </w:r>
      <w:r w:rsidR="00CD1751">
        <w:rPr>
          <w:rFonts w:ascii="Calibri" w:hAnsi="Calibri" w:cs="Calibri"/>
        </w:rPr>
        <w:t>pagal konkretaus objekto gamintojo aprašymą ar prekių katalogą, bet pagal Perkančiosios organizacijos poreikius</w:t>
      </w:r>
      <w:r w:rsidR="00156656">
        <w:rPr>
          <w:rFonts w:ascii="Calibri" w:hAnsi="Calibri" w:cs="Calibri"/>
        </w:rPr>
        <w:t>,</w:t>
      </w:r>
      <w:r w:rsidR="00F55E37">
        <w:rPr>
          <w:rFonts w:ascii="Calibri" w:hAnsi="Calibri" w:cs="Calibri"/>
        </w:rPr>
        <w:t xml:space="preserve"> </w:t>
      </w:r>
      <w:r w:rsidR="004E05D5">
        <w:rPr>
          <w:rFonts w:ascii="Calibri" w:hAnsi="Calibri" w:cs="Calibri"/>
        </w:rPr>
        <w:t>nepažei</w:t>
      </w:r>
      <w:r w:rsidR="00CF2073">
        <w:rPr>
          <w:rFonts w:ascii="Calibri" w:hAnsi="Calibri" w:cs="Calibri"/>
        </w:rPr>
        <w:t>džiant</w:t>
      </w:r>
      <w:r w:rsidR="00F55E37">
        <w:rPr>
          <w:rFonts w:ascii="Calibri" w:hAnsi="Calibri" w:cs="Calibri"/>
        </w:rPr>
        <w:t xml:space="preserve"> </w:t>
      </w:r>
      <w:r w:rsidR="00F36AA5">
        <w:rPr>
          <w:rFonts w:ascii="Calibri" w:hAnsi="Calibri" w:cs="Calibri"/>
        </w:rPr>
        <w:t>Įstatymo nuostatų</w:t>
      </w:r>
      <w:r w:rsidR="00CD1751">
        <w:rPr>
          <w:rStyle w:val="FootnoteReference"/>
          <w:rFonts w:ascii="Calibri" w:hAnsi="Calibri" w:cs="Calibri"/>
        </w:rPr>
        <w:footnoteReference w:id="3"/>
      </w:r>
      <w:r w:rsidR="003E6194">
        <w:rPr>
          <w:rFonts w:ascii="Calibri" w:hAnsi="Calibri" w:cs="Calibri"/>
        </w:rPr>
        <w:t>.</w:t>
      </w:r>
    </w:p>
    <w:p w14:paraId="5963B913" w14:textId="3B65F44C" w:rsidR="008636DE" w:rsidRDefault="007749A9" w:rsidP="003B5FB6">
      <w:pPr>
        <w:spacing w:after="0"/>
        <w:ind w:firstLine="1296"/>
        <w:rPr>
          <w:rFonts w:ascii="Calibri" w:hAnsi="Calibri" w:cs="Calibri"/>
        </w:rPr>
      </w:pPr>
      <w:r>
        <w:rPr>
          <w:rFonts w:ascii="Calibri" w:hAnsi="Calibri" w:cs="Calibri"/>
        </w:rPr>
        <w:t xml:space="preserve">Pirkimo </w:t>
      </w:r>
      <w:r w:rsidR="001D0F7D">
        <w:rPr>
          <w:rFonts w:ascii="Calibri" w:hAnsi="Calibri" w:cs="Calibri"/>
        </w:rPr>
        <w:t xml:space="preserve">III dalies objektas yra itin specifinis, </w:t>
      </w:r>
      <w:r w:rsidR="00046B25">
        <w:rPr>
          <w:rFonts w:ascii="Calibri" w:hAnsi="Calibri" w:cs="Calibri"/>
        </w:rPr>
        <w:t xml:space="preserve">o Perkančioji organizacija yra </w:t>
      </w:r>
      <w:r w:rsidR="00EA3415">
        <w:rPr>
          <w:rFonts w:ascii="Calibri" w:hAnsi="Calibri" w:cs="Calibri"/>
        </w:rPr>
        <w:t>specifinės srities, kurioje veikia</w:t>
      </w:r>
      <w:r w:rsidR="00D62B82">
        <w:rPr>
          <w:rFonts w:ascii="Calibri" w:hAnsi="Calibri" w:cs="Calibri"/>
        </w:rPr>
        <w:t>, profesional</w:t>
      </w:r>
      <w:r w:rsidR="00CF2073">
        <w:rPr>
          <w:rFonts w:ascii="Calibri" w:hAnsi="Calibri" w:cs="Calibri"/>
        </w:rPr>
        <w:t>ė</w:t>
      </w:r>
      <w:r w:rsidR="00D62B82">
        <w:rPr>
          <w:rFonts w:ascii="Calibri" w:hAnsi="Calibri" w:cs="Calibri"/>
        </w:rPr>
        <w:t>, geriausiai žinanti savo poreikius</w:t>
      </w:r>
      <w:r w:rsidR="00C92B19">
        <w:rPr>
          <w:rFonts w:ascii="Calibri" w:hAnsi="Calibri" w:cs="Calibri"/>
        </w:rPr>
        <w:t xml:space="preserve">, tačiau </w:t>
      </w:r>
      <w:r w:rsidR="00CF2073">
        <w:rPr>
          <w:rFonts w:ascii="Calibri" w:hAnsi="Calibri" w:cs="Calibri"/>
        </w:rPr>
        <w:t xml:space="preserve">visais atvejais </w:t>
      </w:r>
      <w:r w:rsidR="00C92B19">
        <w:rPr>
          <w:rFonts w:ascii="Calibri" w:hAnsi="Calibri" w:cs="Calibri"/>
        </w:rPr>
        <w:t>ji turi</w:t>
      </w:r>
      <w:r w:rsidR="00CF2073">
        <w:rPr>
          <w:rFonts w:ascii="Calibri" w:hAnsi="Calibri" w:cs="Calibri"/>
        </w:rPr>
        <w:t xml:space="preserve"> pareigą</w:t>
      </w:r>
      <w:r w:rsidR="00C92B19">
        <w:rPr>
          <w:rFonts w:ascii="Calibri" w:hAnsi="Calibri" w:cs="Calibri"/>
        </w:rPr>
        <w:t xml:space="preserve"> </w:t>
      </w:r>
      <w:r w:rsidR="001E325F">
        <w:rPr>
          <w:rFonts w:ascii="Calibri" w:hAnsi="Calibri" w:cs="Calibri"/>
        </w:rPr>
        <w:t xml:space="preserve">techninės specifikacijos reikalavimus </w:t>
      </w:r>
      <w:r w:rsidR="00CF2073">
        <w:rPr>
          <w:rFonts w:ascii="Calibri" w:hAnsi="Calibri" w:cs="Calibri"/>
        </w:rPr>
        <w:t>nustatyti</w:t>
      </w:r>
      <w:r w:rsidR="006D0E3B">
        <w:rPr>
          <w:rFonts w:ascii="Calibri" w:hAnsi="Calibri" w:cs="Calibri"/>
        </w:rPr>
        <w:t xml:space="preserve"> aiškiai, tiksliai, </w:t>
      </w:r>
      <w:r w:rsidR="0084188F">
        <w:rPr>
          <w:rFonts w:ascii="Calibri" w:hAnsi="Calibri" w:cs="Calibri"/>
        </w:rPr>
        <w:t xml:space="preserve">vengiant subjektyviai interpretuojamų </w:t>
      </w:r>
      <w:r w:rsidR="00633E00">
        <w:rPr>
          <w:rFonts w:ascii="Calibri" w:hAnsi="Calibri" w:cs="Calibri"/>
        </w:rPr>
        <w:t>reikalavimų (</w:t>
      </w:r>
      <w:r w:rsidR="0084188F">
        <w:rPr>
          <w:rFonts w:ascii="Calibri" w:hAnsi="Calibri" w:cs="Calibri"/>
        </w:rPr>
        <w:t>sąvokų</w:t>
      </w:r>
      <w:r w:rsidR="00633E00">
        <w:rPr>
          <w:rFonts w:ascii="Calibri" w:hAnsi="Calibri" w:cs="Calibri"/>
        </w:rPr>
        <w:t>)</w:t>
      </w:r>
      <w:r w:rsidR="0084188F">
        <w:rPr>
          <w:rFonts w:ascii="Calibri" w:hAnsi="Calibri" w:cs="Calibri"/>
        </w:rPr>
        <w:t xml:space="preserve">, </w:t>
      </w:r>
      <w:r w:rsidR="006D0E3B">
        <w:rPr>
          <w:rFonts w:ascii="Calibri" w:hAnsi="Calibri" w:cs="Calibri"/>
        </w:rPr>
        <w:t xml:space="preserve">kad potencialūs dalyviai galėtų </w:t>
      </w:r>
      <w:r w:rsidR="00677C05">
        <w:rPr>
          <w:rFonts w:ascii="Calibri" w:hAnsi="Calibri" w:cs="Calibri"/>
        </w:rPr>
        <w:t xml:space="preserve">suprasti </w:t>
      </w:r>
      <w:r w:rsidR="006D0E3B">
        <w:rPr>
          <w:rFonts w:ascii="Calibri" w:hAnsi="Calibri" w:cs="Calibri"/>
        </w:rPr>
        <w:t>šiuos reikalavimus vienodai</w:t>
      </w:r>
      <w:r w:rsidR="009954CA">
        <w:rPr>
          <w:rFonts w:ascii="Calibri" w:hAnsi="Calibri" w:cs="Calibri"/>
        </w:rPr>
        <w:t xml:space="preserve">, o Perkančioji organizacija, siekdama užtikrinti </w:t>
      </w:r>
      <w:r w:rsidR="002A002F">
        <w:rPr>
          <w:rFonts w:ascii="Calibri" w:hAnsi="Calibri" w:cs="Calibri"/>
        </w:rPr>
        <w:t xml:space="preserve">skaidrumo ir </w:t>
      </w:r>
      <w:r w:rsidR="009954CA">
        <w:rPr>
          <w:rFonts w:ascii="Calibri" w:hAnsi="Calibri" w:cs="Calibri"/>
        </w:rPr>
        <w:t xml:space="preserve">lygiateisiškumo </w:t>
      </w:r>
      <w:r w:rsidR="002A002F">
        <w:rPr>
          <w:rFonts w:ascii="Calibri" w:hAnsi="Calibri" w:cs="Calibri"/>
        </w:rPr>
        <w:t>principų laikymąsi</w:t>
      </w:r>
      <w:r w:rsidR="00014E04">
        <w:rPr>
          <w:rFonts w:ascii="Calibri" w:hAnsi="Calibri" w:cs="Calibri"/>
        </w:rPr>
        <w:t xml:space="preserve">, galėtų </w:t>
      </w:r>
      <w:r w:rsidR="00014E04" w:rsidRPr="00677C05">
        <w:rPr>
          <w:rFonts w:ascii="Calibri" w:hAnsi="Calibri" w:cs="Calibri"/>
        </w:rPr>
        <w:t>vienodai vertinti tiekėjų pasiūlymus</w:t>
      </w:r>
      <w:r w:rsidR="006D0E3B">
        <w:rPr>
          <w:rFonts w:ascii="Calibri" w:hAnsi="Calibri" w:cs="Calibri"/>
        </w:rPr>
        <w:t>.</w:t>
      </w:r>
    </w:p>
    <w:p w14:paraId="611728BB" w14:textId="2C48707F" w:rsidR="00154A2C" w:rsidRDefault="00D417ED" w:rsidP="003B5FB6">
      <w:pPr>
        <w:spacing w:after="0"/>
        <w:ind w:firstLine="1296"/>
        <w:rPr>
          <w:rFonts w:ascii="Calibri" w:hAnsi="Calibri" w:cs="Calibri"/>
        </w:rPr>
      </w:pPr>
      <w:r>
        <w:rPr>
          <w:rFonts w:ascii="Calibri" w:hAnsi="Calibri" w:cs="Calibri"/>
        </w:rPr>
        <w:t xml:space="preserve">Atsižvelgiant į tai, jog Pirkimo III dalies techninės specifikacijos 3.1 punktas neatitinka Įstatymo 35 </w:t>
      </w:r>
      <w:r w:rsidR="00BB10D9">
        <w:rPr>
          <w:rFonts w:ascii="Calibri" w:hAnsi="Calibri" w:cs="Calibri"/>
        </w:rPr>
        <w:t>straipsnio 4 dalies reikalavimų</w:t>
      </w:r>
      <w:r w:rsidR="00B2764E">
        <w:rPr>
          <w:rStyle w:val="FootnoteReference"/>
          <w:rFonts w:ascii="Calibri" w:hAnsi="Calibri" w:cs="Calibri"/>
        </w:rPr>
        <w:footnoteReference w:id="4"/>
      </w:r>
      <w:r w:rsidR="00A84582">
        <w:rPr>
          <w:rFonts w:ascii="Calibri" w:hAnsi="Calibri" w:cs="Calibri"/>
        </w:rPr>
        <w:t xml:space="preserve"> </w:t>
      </w:r>
      <w:r w:rsidR="00A84582" w:rsidRPr="00A84582">
        <w:rPr>
          <w:rFonts w:ascii="Calibri" w:hAnsi="Calibri" w:cs="Calibri"/>
        </w:rPr>
        <w:t xml:space="preserve">ir </w:t>
      </w:r>
      <w:r w:rsidR="00504183">
        <w:rPr>
          <w:rFonts w:ascii="Calibri" w:hAnsi="Calibri" w:cs="Calibri"/>
        </w:rPr>
        <w:t>neužtikrina</w:t>
      </w:r>
      <w:r w:rsidR="00A84582" w:rsidRPr="00A84582">
        <w:rPr>
          <w:rFonts w:ascii="Calibri" w:hAnsi="Calibri" w:cs="Calibri"/>
        </w:rPr>
        <w:t> Įstatymo 17 straipsnio 1 dalyje įtvirtint</w:t>
      </w:r>
      <w:r w:rsidR="00504183">
        <w:rPr>
          <w:rFonts w:ascii="Calibri" w:hAnsi="Calibri" w:cs="Calibri"/>
        </w:rPr>
        <w:t>ų</w:t>
      </w:r>
      <w:r w:rsidR="00A84582" w:rsidRPr="00A84582">
        <w:rPr>
          <w:rFonts w:ascii="Calibri" w:hAnsi="Calibri" w:cs="Calibri"/>
        </w:rPr>
        <w:t xml:space="preserve"> skaidrumo ir lygiateisiškumo princip</w:t>
      </w:r>
      <w:r w:rsidR="00504183">
        <w:rPr>
          <w:rFonts w:ascii="Calibri" w:hAnsi="Calibri" w:cs="Calibri"/>
        </w:rPr>
        <w:t>ų</w:t>
      </w:r>
      <w:r w:rsidR="00BB10D9">
        <w:rPr>
          <w:rFonts w:ascii="Calibri" w:hAnsi="Calibri" w:cs="Calibri"/>
        </w:rPr>
        <w:t xml:space="preserve">, </w:t>
      </w:r>
      <w:r w:rsidR="00926681">
        <w:rPr>
          <w:rFonts w:ascii="Calibri" w:hAnsi="Calibri" w:cs="Calibri"/>
        </w:rPr>
        <w:t xml:space="preserve">rekomenduotina </w:t>
      </w:r>
      <w:r w:rsidR="00CF2073">
        <w:rPr>
          <w:rFonts w:ascii="Calibri" w:hAnsi="Calibri" w:cs="Calibri"/>
        </w:rPr>
        <w:t xml:space="preserve">peržiūrėti ir </w:t>
      </w:r>
      <w:r w:rsidR="00926681">
        <w:rPr>
          <w:rFonts w:ascii="Calibri" w:hAnsi="Calibri" w:cs="Calibri"/>
        </w:rPr>
        <w:t xml:space="preserve">tikslinti Pirkimo III dalies techninę specifikaciją </w:t>
      </w:r>
      <w:r w:rsidR="00CF2073">
        <w:rPr>
          <w:rFonts w:ascii="Calibri" w:hAnsi="Calibri" w:cs="Calibri"/>
        </w:rPr>
        <w:t xml:space="preserve">bei atsižvelgiant į tai, kad tokie tikslinimai laikytini esminiais, rekomenduotina </w:t>
      </w:r>
      <w:r w:rsidR="006E7602">
        <w:rPr>
          <w:rFonts w:ascii="Calibri" w:hAnsi="Calibri" w:cs="Calibri"/>
        </w:rPr>
        <w:t>Pirkim</w:t>
      </w:r>
      <w:r w:rsidR="00CF2073">
        <w:rPr>
          <w:rFonts w:ascii="Calibri" w:hAnsi="Calibri" w:cs="Calibri"/>
        </w:rPr>
        <w:t>o</w:t>
      </w:r>
      <w:r w:rsidR="006E7602">
        <w:rPr>
          <w:rFonts w:ascii="Calibri" w:hAnsi="Calibri" w:cs="Calibri"/>
        </w:rPr>
        <w:t xml:space="preserve"> III </w:t>
      </w:r>
      <w:r w:rsidR="00CF2073">
        <w:rPr>
          <w:rFonts w:ascii="Calibri" w:hAnsi="Calibri" w:cs="Calibri"/>
        </w:rPr>
        <w:t xml:space="preserve">dalį </w:t>
      </w:r>
      <w:r w:rsidR="006E7602">
        <w:rPr>
          <w:rFonts w:ascii="Calibri" w:hAnsi="Calibri" w:cs="Calibri"/>
        </w:rPr>
        <w:t>nutraukti.</w:t>
      </w:r>
      <w:r w:rsidR="00F41241">
        <w:rPr>
          <w:rFonts w:ascii="Calibri" w:hAnsi="Calibri" w:cs="Calibri"/>
        </w:rPr>
        <w:t xml:space="preserve"> </w:t>
      </w:r>
      <w:r w:rsidR="00A2302B">
        <w:rPr>
          <w:rFonts w:ascii="Calibri" w:hAnsi="Calibri" w:cs="Calibri"/>
        </w:rPr>
        <w:t>Prieš inicijuojant naujo viešojo pirkimo procedūras pakartotinai</w:t>
      </w:r>
      <w:r w:rsidR="00CF2073">
        <w:rPr>
          <w:rFonts w:ascii="Calibri" w:hAnsi="Calibri" w:cs="Calibri"/>
        </w:rPr>
        <w:t xml:space="preserve"> </w:t>
      </w:r>
      <w:r w:rsidR="0051527F">
        <w:rPr>
          <w:rFonts w:ascii="Calibri" w:hAnsi="Calibri" w:cs="Calibri"/>
        </w:rPr>
        <w:t xml:space="preserve">įsivertinti </w:t>
      </w:r>
      <w:r w:rsidR="005D3B4C">
        <w:rPr>
          <w:rFonts w:ascii="Calibri" w:hAnsi="Calibri" w:cs="Calibri"/>
        </w:rPr>
        <w:t>siekiamų įsigyti prekių alternatyvas rinkoje bei tikslinant techninę specifikaciją užtikrinti, jog ji būtų tiksli, aiški</w:t>
      </w:r>
      <w:r w:rsidR="00BF01F3">
        <w:rPr>
          <w:rFonts w:ascii="Calibri" w:hAnsi="Calibri" w:cs="Calibri"/>
        </w:rPr>
        <w:t xml:space="preserve"> bei užtikrint</w:t>
      </w:r>
      <w:r w:rsidR="00CF2073">
        <w:rPr>
          <w:rFonts w:ascii="Calibri" w:hAnsi="Calibri" w:cs="Calibri"/>
        </w:rPr>
        <w:t>ų realią</w:t>
      </w:r>
      <w:r w:rsidR="00BF01F3">
        <w:rPr>
          <w:rFonts w:ascii="Calibri" w:hAnsi="Calibri" w:cs="Calibri"/>
        </w:rPr>
        <w:t xml:space="preserve"> tiekėjų galimyb</w:t>
      </w:r>
      <w:r w:rsidR="00CF2073">
        <w:rPr>
          <w:rFonts w:ascii="Calibri" w:hAnsi="Calibri" w:cs="Calibri"/>
        </w:rPr>
        <w:t>ę</w:t>
      </w:r>
      <w:r w:rsidR="00BF01F3">
        <w:rPr>
          <w:rFonts w:ascii="Calibri" w:hAnsi="Calibri" w:cs="Calibri"/>
        </w:rPr>
        <w:t xml:space="preserve"> varžytis</w:t>
      </w:r>
      <w:r w:rsidR="008636DE">
        <w:rPr>
          <w:rStyle w:val="FootnoteReference"/>
          <w:rFonts w:ascii="Calibri" w:hAnsi="Calibri" w:cs="Calibri"/>
        </w:rPr>
        <w:footnoteReference w:id="5"/>
      </w:r>
      <w:r w:rsidR="00BF01F3">
        <w:rPr>
          <w:rFonts w:ascii="Calibri" w:hAnsi="Calibri" w:cs="Calibri"/>
        </w:rPr>
        <w:t>.</w:t>
      </w:r>
    </w:p>
    <w:p w14:paraId="7F543FE0" w14:textId="7FCA106B" w:rsidR="00E53E25" w:rsidRPr="00E53E25" w:rsidRDefault="00E53E25" w:rsidP="00E53E25">
      <w:pPr>
        <w:spacing w:after="0"/>
        <w:ind w:firstLine="1296"/>
        <w:rPr>
          <w:rFonts w:ascii="Calibri" w:hAnsi="Calibri" w:cs="Calibri"/>
          <w:iCs/>
        </w:rPr>
      </w:pPr>
      <w:r w:rsidRPr="00E53E25">
        <w:rPr>
          <w:rFonts w:ascii="Calibri" w:hAnsi="Calibri" w:cs="Calibri"/>
          <w:iCs/>
        </w:rPr>
        <w:t xml:space="preserve">Pažymėtina, kad visais atvejais sprendimą dėl tolimesnio Pirkimo procedūros vykdymo ar nutraukimo priima pati Perkančioji organizacija, nes Tarnybos pateikta Rekomendacija nėra privalomojo pobūdžio įpareigojimas, tačiau Perkančiajai organizacijai, neatsižvelgus į Rekomendaciją, </w:t>
      </w:r>
      <w:r w:rsidR="00CF2073">
        <w:rPr>
          <w:rFonts w:ascii="Calibri" w:hAnsi="Calibri" w:cs="Calibri"/>
          <w:iCs/>
        </w:rPr>
        <w:t>bus</w:t>
      </w:r>
      <w:r w:rsidRPr="00E53E25">
        <w:rPr>
          <w:rFonts w:ascii="Calibri" w:hAnsi="Calibri" w:cs="Calibri"/>
          <w:iCs/>
        </w:rPr>
        <w:t xml:space="preserve"> sprendžiamas klausimas dėl Pirkimo perdavimo išsamiam vertinimui.</w:t>
      </w:r>
    </w:p>
    <w:sectPr w:rsidR="00E53E25" w:rsidRPr="00E53E2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08E7" w14:textId="77777777" w:rsidR="003E79B7" w:rsidRDefault="003E79B7" w:rsidP="007814E2">
      <w:pPr>
        <w:spacing w:after="0" w:line="240" w:lineRule="auto"/>
      </w:pPr>
      <w:r>
        <w:separator/>
      </w:r>
    </w:p>
  </w:endnote>
  <w:endnote w:type="continuationSeparator" w:id="0">
    <w:p w14:paraId="1F9043DC" w14:textId="77777777" w:rsidR="003E79B7" w:rsidRDefault="003E79B7" w:rsidP="0078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B80B" w14:textId="77777777" w:rsidR="003E79B7" w:rsidRDefault="003E79B7" w:rsidP="007814E2">
      <w:pPr>
        <w:spacing w:after="0" w:line="240" w:lineRule="auto"/>
      </w:pPr>
      <w:r>
        <w:separator/>
      </w:r>
    </w:p>
  </w:footnote>
  <w:footnote w:type="continuationSeparator" w:id="0">
    <w:p w14:paraId="6EAC8EF7" w14:textId="77777777" w:rsidR="003E79B7" w:rsidRDefault="003E79B7" w:rsidP="007814E2">
      <w:pPr>
        <w:spacing w:after="0" w:line="240" w:lineRule="auto"/>
      </w:pPr>
      <w:r>
        <w:continuationSeparator/>
      </w:r>
    </w:p>
  </w:footnote>
  <w:footnote w:id="1">
    <w:p w14:paraId="0BBEA6BA" w14:textId="7F7A45A9" w:rsidR="007814E2" w:rsidRDefault="007814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49BA">
          <w:rPr>
            <w:rStyle w:val="Hyperlink"/>
          </w:rPr>
          <w:t>Detaliau žr. Įstatymo 35 straipsnio komentaras</w:t>
        </w:r>
      </w:hyperlink>
      <w:r w:rsidR="00A249BA">
        <w:t>.</w:t>
      </w:r>
    </w:p>
  </w:footnote>
  <w:footnote w:id="2">
    <w:p w14:paraId="3FCD3241" w14:textId="22FBB402" w:rsidR="00984E8E" w:rsidRDefault="00984E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852A50" w:rsidRPr="001630AD">
          <w:rPr>
            <w:rStyle w:val="Hyperlink"/>
          </w:rPr>
          <w:t>https://www.illumina.com/products/by-type/sequencing-kits/library-prep-kits/dna-prep-exome-enrichment.html</w:t>
        </w:r>
      </w:hyperlink>
      <w:r w:rsidR="00852A50">
        <w:t xml:space="preserve"> </w:t>
      </w:r>
    </w:p>
  </w:footnote>
  <w:footnote w:id="3">
    <w:p w14:paraId="32BFD4BE" w14:textId="6FA00775" w:rsidR="00CD1751" w:rsidRDefault="00CD17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CD1751">
          <w:rPr>
            <w:rStyle w:val="Hyperlink"/>
          </w:rPr>
          <w:t>Techninė specifikacija. Akcentai</w:t>
        </w:r>
      </w:hyperlink>
    </w:p>
  </w:footnote>
  <w:footnote w:id="4">
    <w:p w14:paraId="43511C3E" w14:textId="405361B9" w:rsidR="00B2764E" w:rsidRDefault="00B2764E">
      <w:pPr>
        <w:pStyle w:val="FootnoteText"/>
      </w:pPr>
      <w:r>
        <w:rPr>
          <w:rStyle w:val="FootnoteReference"/>
        </w:rPr>
        <w:footnoteRef/>
      </w:r>
      <w:r>
        <w:t xml:space="preserve"> „&lt;...&gt; </w:t>
      </w:r>
      <w:r w:rsidRPr="00B2764E">
        <w:t>Pirkimo dokumentai turi būti tikslūs, aiškūs, be dviprasmybių, kad tiekėjai galėtų pateikti pasiūlymus, o perkančioji organizacija – nupirkti tai, ko reikia.</w:t>
      </w:r>
      <w:r>
        <w:t>“</w:t>
      </w:r>
    </w:p>
  </w:footnote>
  <w:footnote w:id="5">
    <w:p w14:paraId="1616EE9D" w14:textId="6E4D4DEC" w:rsidR="008636DE" w:rsidRDefault="008636DE">
      <w:pPr>
        <w:pStyle w:val="FootnoteText"/>
      </w:pPr>
      <w:r>
        <w:rPr>
          <w:rStyle w:val="FootnoteReference"/>
        </w:rPr>
        <w:footnoteRef/>
      </w:r>
      <w:r>
        <w:t xml:space="preserve"> Tarnybos rekomendacijos ir praktiniai patarimai dėl techninės specifikacijos reikalavimų nustatymo mokymų medžiagoje: </w:t>
      </w:r>
      <w:hyperlink r:id="rId4" w:history="1">
        <w:r w:rsidR="005E52B9" w:rsidRPr="005E52B9">
          <w:rPr>
            <w:rStyle w:val="Hyperlink"/>
          </w:rPr>
          <w:t>Techninė specifikacija. Akcentai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96D"/>
    <w:multiLevelType w:val="hybridMultilevel"/>
    <w:tmpl w:val="1F76321A"/>
    <w:lvl w:ilvl="0" w:tplc="1A660D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C9A1E57"/>
    <w:multiLevelType w:val="hybridMultilevel"/>
    <w:tmpl w:val="0FEAF8AC"/>
    <w:lvl w:ilvl="0" w:tplc="6102281C">
      <w:start w:val="1"/>
      <w:numFmt w:val="lowerRoman"/>
      <w:lvlText w:val="%1)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6767861">
    <w:abstractNumId w:val="0"/>
  </w:num>
  <w:num w:numId="2" w16cid:durableId="61279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71"/>
    <w:rsid w:val="0000628A"/>
    <w:rsid w:val="00014E04"/>
    <w:rsid w:val="00020FB6"/>
    <w:rsid w:val="0002294C"/>
    <w:rsid w:val="00023959"/>
    <w:rsid w:val="00046B25"/>
    <w:rsid w:val="00054B17"/>
    <w:rsid w:val="00056E9A"/>
    <w:rsid w:val="00063E83"/>
    <w:rsid w:val="0008047B"/>
    <w:rsid w:val="0008214D"/>
    <w:rsid w:val="000839AD"/>
    <w:rsid w:val="00094CE4"/>
    <w:rsid w:val="0009633E"/>
    <w:rsid w:val="000B1AD0"/>
    <w:rsid w:val="000C3DAC"/>
    <w:rsid w:val="000C7F0E"/>
    <w:rsid w:val="00107794"/>
    <w:rsid w:val="00111BA5"/>
    <w:rsid w:val="00112BCB"/>
    <w:rsid w:val="00125B7B"/>
    <w:rsid w:val="00154934"/>
    <w:rsid w:val="00154A2C"/>
    <w:rsid w:val="00156656"/>
    <w:rsid w:val="00160475"/>
    <w:rsid w:val="00171489"/>
    <w:rsid w:val="00180FE4"/>
    <w:rsid w:val="001857E2"/>
    <w:rsid w:val="001B15C1"/>
    <w:rsid w:val="001C0FE4"/>
    <w:rsid w:val="001C2935"/>
    <w:rsid w:val="001D0F7D"/>
    <w:rsid w:val="001D643C"/>
    <w:rsid w:val="001E325F"/>
    <w:rsid w:val="001E6213"/>
    <w:rsid w:val="001F211A"/>
    <w:rsid w:val="00205744"/>
    <w:rsid w:val="00206612"/>
    <w:rsid w:val="00211523"/>
    <w:rsid w:val="002140BF"/>
    <w:rsid w:val="00217AAF"/>
    <w:rsid w:val="002215A4"/>
    <w:rsid w:val="00242533"/>
    <w:rsid w:val="00250327"/>
    <w:rsid w:val="00274BEE"/>
    <w:rsid w:val="00283880"/>
    <w:rsid w:val="00287ADB"/>
    <w:rsid w:val="002A002F"/>
    <w:rsid w:val="002A49A9"/>
    <w:rsid w:val="002A6C06"/>
    <w:rsid w:val="002B0CA3"/>
    <w:rsid w:val="002B1877"/>
    <w:rsid w:val="002B7C0B"/>
    <w:rsid w:val="002C121E"/>
    <w:rsid w:val="002D7C58"/>
    <w:rsid w:val="002E4042"/>
    <w:rsid w:val="00301F65"/>
    <w:rsid w:val="00303493"/>
    <w:rsid w:val="00310D29"/>
    <w:rsid w:val="00312362"/>
    <w:rsid w:val="00324522"/>
    <w:rsid w:val="00353BED"/>
    <w:rsid w:val="003652FB"/>
    <w:rsid w:val="0036726F"/>
    <w:rsid w:val="00377318"/>
    <w:rsid w:val="00383614"/>
    <w:rsid w:val="003A2154"/>
    <w:rsid w:val="003B36A4"/>
    <w:rsid w:val="003B5FB6"/>
    <w:rsid w:val="003B6B79"/>
    <w:rsid w:val="003C3E24"/>
    <w:rsid w:val="003E6194"/>
    <w:rsid w:val="003E79B7"/>
    <w:rsid w:val="00404410"/>
    <w:rsid w:val="00411549"/>
    <w:rsid w:val="00417340"/>
    <w:rsid w:val="00455C0D"/>
    <w:rsid w:val="00456354"/>
    <w:rsid w:val="004756A5"/>
    <w:rsid w:val="00481AAC"/>
    <w:rsid w:val="004A6506"/>
    <w:rsid w:val="004A7460"/>
    <w:rsid w:val="004E05D5"/>
    <w:rsid w:val="004E4DFF"/>
    <w:rsid w:val="004E7921"/>
    <w:rsid w:val="004F35C7"/>
    <w:rsid w:val="00504183"/>
    <w:rsid w:val="0051527F"/>
    <w:rsid w:val="00521FF4"/>
    <w:rsid w:val="00532D97"/>
    <w:rsid w:val="00542BFA"/>
    <w:rsid w:val="00543680"/>
    <w:rsid w:val="00570D16"/>
    <w:rsid w:val="00570EA4"/>
    <w:rsid w:val="005864AA"/>
    <w:rsid w:val="005A22B3"/>
    <w:rsid w:val="005A5983"/>
    <w:rsid w:val="005B7572"/>
    <w:rsid w:val="005C2415"/>
    <w:rsid w:val="005C5AF3"/>
    <w:rsid w:val="005C628B"/>
    <w:rsid w:val="005D3B4C"/>
    <w:rsid w:val="005E52B9"/>
    <w:rsid w:val="005E637B"/>
    <w:rsid w:val="00600396"/>
    <w:rsid w:val="00611ACB"/>
    <w:rsid w:val="006233AF"/>
    <w:rsid w:val="00633E00"/>
    <w:rsid w:val="0063546E"/>
    <w:rsid w:val="006372EC"/>
    <w:rsid w:val="006515BA"/>
    <w:rsid w:val="00670663"/>
    <w:rsid w:val="00674A0B"/>
    <w:rsid w:val="00677C05"/>
    <w:rsid w:val="006A1E49"/>
    <w:rsid w:val="006C468C"/>
    <w:rsid w:val="006D0E3B"/>
    <w:rsid w:val="006E7602"/>
    <w:rsid w:val="00703FE0"/>
    <w:rsid w:val="00704B3C"/>
    <w:rsid w:val="007056E0"/>
    <w:rsid w:val="007134C6"/>
    <w:rsid w:val="0072718B"/>
    <w:rsid w:val="00741FB3"/>
    <w:rsid w:val="0074617D"/>
    <w:rsid w:val="0075741D"/>
    <w:rsid w:val="007700EF"/>
    <w:rsid w:val="007749A9"/>
    <w:rsid w:val="007814E2"/>
    <w:rsid w:val="007858D2"/>
    <w:rsid w:val="00796C8E"/>
    <w:rsid w:val="007970E9"/>
    <w:rsid w:val="007C189B"/>
    <w:rsid w:val="007F059C"/>
    <w:rsid w:val="007F1554"/>
    <w:rsid w:val="007F5947"/>
    <w:rsid w:val="008028D7"/>
    <w:rsid w:val="008046CF"/>
    <w:rsid w:val="0083104F"/>
    <w:rsid w:val="00835493"/>
    <w:rsid w:val="00836CAC"/>
    <w:rsid w:val="0084188F"/>
    <w:rsid w:val="00852A50"/>
    <w:rsid w:val="008555C0"/>
    <w:rsid w:val="008636DE"/>
    <w:rsid w:val="008A3E8C"/>
    <w:rsid w:val="008A492D"/>
    <w:rsid w:val="008B75F6"/>
    <w:rsid w:val="008E1671"/>
    <w:rsid w:val="008E2726"/>
    <w:rsid w:val="008E7546"/>
    <w:rsid w:val="009009E4"/>
    <w:rsid w:val="00902861"/>
    <w:rsid w:val="00920445"/>
    <w:rsid w:val="00921247"/>
    <w:rsid w:val="009261F4"/>
    <w:rsid w:val="00926681"/>
    <w:rsid w:val="00935A90"/>
    <w:rsid w:val="00951845"/>
    <w:rsid w:val="00953BB5"/>
    <w:rsid w:val="00955343"/>
    <w:rsid w:val="00961FB3"/>
    <w:rsid w:val="009749D6"/>
    <w:rsid w:val="00984E8E"/>
    <w:rsid w:val="0099386E"/>
    <w:rsid w:val="00993BC9"/>
    <w:rsid w:val="009954CA"/>
    <w:rsid w:val="009C08DE"/>
    <w:rsid w:val="009C681A"/>
    <w:rsid w:val="009D7E46"/>
    <w:rsid w:val="009E05FD"/>
    <w:rsid w:val="009E420F"/>
    <w:rsid w:val="00A04ABA"/>
    <w:rsid w:val="00A14249"/>
    <w:rsid w:val="00A2302B"/>
    <w:rsid w:val="00A249BA"/>
    <w:rsid w:val="00A3354A"/>
    <w:rsid w:val="00A449F5"/>
    <w:rsid w:val="00A50144"/>
    <w:rsid w:val="00A50A1A"/>
    <w:rsid w:val="00A6260D"/>
    <w:rsid w:val="00A63978"/>
    <w:rsid w:val="00A84582"/>
    <w:rsid w:val="00A9128F"/>
    <w:rsid w:val="00A94D21"/>
    <w:rsid w:val="00A96571"/>
    <w:rsid w:val="00AA34F5"/>
    <w:rsid w:val="00AA36CD"/>
    <w:rsid w:val="00AC323E"/>
    <w:rsid w:val="00AC41B8"/>
    <w:rsid w:val="00AD0143"/>
    <w:rsid w:val="00AD2C64"/>
    <w:rsid w:val="00B06815"/>
    <w:rsid w:val="00B24D5C"/>
    <w:rsid w:val="00B252AC"/>
    <w:rsid w:val="00B2764E"/>
    <w:rsid w:val="00B3351E"/>
    <w:rsid w:val="00B36D3D"/>
    <w:rsid w:val="00B6011C"/>
    <w:rsid w:val="00B67BB4"/>
    <w:rsid w:val="00B73166"/>
    <w:rsid w:val="00B74346"/>
    <w:rsid w:val="00B87DD5"/>
    <w:rsid w:val="00B921D6"/>
    <w:rsid w:val="00B94ED4"/>
    <w:rsid w:val="00BA4486"/>
    <w:rsid w:val="00BA76FE"/>
    <w:rsid w:val="00BB10D9"/>
    <w:rsid w:val="00BC185D"/>
    <w:rsid w:val="00BC31C3"/>
    <w:rsid w:val="00BD37C3"/>
    <w:rsid w:val="00BE46B5"/>
    <w:rsid w:val="00BF01F3"/>
    <w:rsid w:val="00C01114"/>
    <w:rsid w:val="00C0341C"/>
    <w:rsid w:val="00C160F8"/>
    <w:rsid w:val="00C320EB"/>
    <w:rsid w:val="00C34129"/>
    <w:rsid w:val="00C424F2"/>
    <w:rsid w:val="00C51165"/>
    <w:rsid w:val="00C65AD2"/>
    <w:rsid w:val="00C74662"/>
    <w:rsid w:val="00C92B19"/>
    <w:rsid w:val="00CA3CBB"/>
    <w:rsid w:val="00CA7999"/>
    <w:rsid w:val="00CB15DA"/>
    <w:rsid w:val="00CB17B9"/>
    <w:rsid w:val="00CB282C"/>
    <w:rsid w:val="00CC3884"/>
    <w:rsid w:val="00CD1751"/>
    <w:rsid w:val="00CF2073"/>
    <w:rsid w:val="00CF212C"/>
    <w:rsid w:val="00D01A24"/>
    <w:rsid w:val="00D15663"/>
    <w:rsid w:val="00D21BD2"/>
    <w:rsid w:val="00D417ED"/>
    <w:rsid w:val="00D61D05"/>
    <w:rsid w:val="00D62B82"/>
    <w:rsid w:val="00D639E2"/>
    <w:rsid w:val="00D64487"/>
    <w:rsid w:val="00D701C5"/>
    <w:rsid w:val="00D944A5"/>
    <w:rsid w:val="00D96A74"/>
    <w:rsid w:val="00DB5E56"/>
    <w:rsid w:val="00DB6C87"/>
    <w:rsid w:val="00DC009D"/>
    <w:rsid w:val="00DD040C"/>
    <w:rsid w:val="00DD13FF"/>
    <w:rsid w:val="00DD5870"/>
    <w:rsid w:val="00DD5F01"/>
    <w:rsid w:val="00DF3BA6"/>
    <w:rsid w:val="00E104DE"/>
    <w:rsid w:val="00E1091F"/>
    <w:rsid w:val="00E33786"/>
    <w:rsid w:val="00E43346"/>
    <w:rsid w:val="00E500B2"/>
    <w:rsid w:val="00E53E25"/>
    <w:rsid w:val="00E7404B"/>
    <w:rsid w:val="00E76A9F"/>
    <w:rsid w:val="00E8045B"/>
    <w:rsid w:val="00E9386E"/>
    <w:rsid w:val="00E95832"/>
    <w:rsid w:val="00EA33CC"/>
    <w:rsid w:val="00EA3415"/>
    <w:rsid w:val="00EB20CE"/>
    <w:rsid w:val="00EB520B"/>
    <w:rsid w:val="00EE0958"/>
    <w:rsid w:val="00EF18C2"/>
    <w:rsid w:val="00F01409"/>
    <w:rsid w:val="00F018A7"/>
    <w:rsid w:val="00F16321"/>
    <w:rsid w:val="00F329AE"/>
    <w:rsid w:val="00F32B45"/>
    <w:rsid w:val="00F36AA5"/>
    <w:rsid w:val="00F41241"/>
    <w:rsid w:val="00F55E37"/>
    <w:rsid w:val="00F6240D"/>
    <w:rsid w:val="00F807AE"/>
    <w:rsid w:val="00F9643E"/>
    <w:rsid w:val="00FA7D39"/>
    <w:rsid w:val="00FD3B31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D709"/>
  <w15:chartTrackingRefBased/>
  <w15:docId w15:val="{3DB7E060-1197-4678-A9F3-617073C2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67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4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4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4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9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9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7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6FE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628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63E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5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pt.lrv.lt/media/viesa/saugykla/2024/5/naKvCXi2qyc.pdf" TargetMode="External"/><Relationship Id="rId2" Type="http://schemas.openxmlformats.org/officeDocument/2006/relationships/hyperlink" Target="https://www.illumina.com/products/by-type/sequencing-kits/library-prep-kits/dna-prep-exome-enrichment.html" TargetMode="External"/><Relationship Id="rId1" Type="http://schemas.openxmlformats.org/officeDocument/2006/relationships/hyperlink" Target="https://klausk.vpt.lt/hc/lt/articles/360016399100-37-straipsnis-Technin%C4%97-specifikacija" TargetMode="External"/><Relationship Id="rId4" Type="http://schemas.openxmlformats.org/officeDocument/2006/relationships/hyperlink" Target="https://vpt.lrv.lt/media/viesa/saugykla/2024/5/naKvCXi2qy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C95E-9576-49D8-9CA2-1000E7CE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5264</Words>
  <Characters>3001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Gasiulienė</dc:creator>
  <cp:keywords/>
  <dc:description/>
  <cp:lastModifiedBy>Živilė Gasiulienė</cp:lastModifiedBy>
  <cp:revision>11</cp:revision>
  <dcterms:created xsi:type="dcterms:W3CDTF">2025-05-14T07:17:00Z</dcterms:created>
  <dcterms:modified xsi:type="dcterms:W3CDTF">2025-05-14T07:53:00Z</dcterms:modified>
</cp:coreProperties>
</file>