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A419" w14:textId="77777777" w:rsidR="00094929" w:rsidRPr="006D1B51" w:rsidRDefault="00094929" w:rsidP="00094929">
      <w:pPr>
        <w:spacing w:after="0" w:line="276" w:lineRule="auto"/>
        <w:ind w:firstLine="709"/>
        <w:rPr>
          <w:rFonts w:ascii="Calibri" w:hAnsi="Calibri" w:cs="Calibri"/>
          <w:sz w:val="24"/>
          <w:szCs w:val="24"/>
          <w:lang w:val="lt-LT"/>
        </w:rPr>
      </w:pPr>
      <w:r w:rsidRPr="006D1B51">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F742F65" w14:textId="77777777" w:rsidR="00094929" w:rsidRPr="006D1B51" w:rsidRDefault="00094929" w:rsidP="00094929">
      <w:pPr>
        <w:spacing w:after="0" w:line="276" w:lineRule="auto"/>
        <w:ind w:firstLine="709"/>
        <w:rPr>
          <w:rFonts w:ascii="Calibri" w:hAnsi="Calibri" w:cs="Calibri"/>
          <w:sz w:val="24"/>
          <w:szCs w:val="24"/>
          <w:lang w:val="lt-LT"/>
        </w:rPr>
      </w:pPr>
      <w:r w:rsidRPr="006D1B51">
        <w:rPr>
          <w:rFonts w:ascii="Calibri" w:eastAsia="Times New Roman" w:hAnsi="Calibri" w:cs="Calibri"/>
          <w:sz w:val="24"/>
          <w:szCs w:val="24"/>
          <w:lang w:val="lt-LT"/>
        </w:rPr>
        <w:t xml:space="preserve">Vadovaujantis Tarnybai Įstatyme nustatyta pažeidimų prevencijos funkcija, šiuo metu atliekama </w:t>
      </w:r>
      <w:r w:rsidRPr="006D1B51">
        <w:rPr>
          <w:rFonts w:ascii="Calibri" w:eastAsia="Times New Roman" w:hAnsi="Calibri" w:cs="Calibri"/>
          <w:b/>
          <w:bCs/>
          <w:sz w:val="24"/>
          <w:szCs w:val="24"/>
          <w:lang w:val="lt-LT"/>
        </w:rPr>
        <w:t>Lietuvos Respublikos Seimo kanceliarijos</w:t>
      </w:r>
      <w:r w:rsidRPr="006D1B51">
        <w:rPr>
          <w:rFonts w:ascii="Calibri" w:hAnsi="Calibri" w:cs="Calibri"/>
          <w:b/>
          <w:bCs/>
          <w:spacing w:val="-2"/>
          <w:sz w:val="24"/>
          <w:szCs w:val="24"/>
          <w:lang w:val="lt-LT"/>
        </w:rPr>
        <w:t xml:space="preserve"> </w:t>
      </w:r>
      <w:r w:rsidRPr="006D1B51">
        <w:rPr>
          <w:rFonts w:ascii="Calibri" w:hAnsi="Calibri" w:cs="Calibri"/>
          <w:sz w:val="24"/>
          <w:szCs w:val="24"/>
          <w:lang w:val="lt-LT" w:eastAsia="lt-LT"/>
        </w:rPr>
        <w:t>(toliau – Perkančioji organizacija) vykdomo pirkimo Nr.</w:t>
      </w:r>
      <w:r w:rsidRPr="006D1B51">
        <w:rPr>
          <w:rFonts w:ascii="Calibri" w:hAnsi="Calibri" w:cs="Calibri"/>
          <w:b/>
          <w:bCs/>
          <w:sz w:val="24"/>
          <w:szCs w:val="24"/>
          <w:lang w:val="lt-LT" w:eastAsia="lt-LT"/>
        </w:rPr>
        <w:t xml:space="preserve"> 2320659 „Seimo viešbučio patalpos pritaikymo asmenims su negalia paprastojo remonto darbai (atviras (supaprastintas) pirkimas)“</w:t>
      </w:r>
      <w:r w:rsidRPr="006D1B51">
        <w:rPr>
          <w:rFonts w:ascii="Calibri" w:hAnsi="Calibri" w:cs="Calibri"/>
          <w:sz w:val="24"/>
          <w:szCs w:val="24"/>
          <w:lang w:val="lt-LT" w:eastAsia="lt-LT"/>
        </w:rPr>
        <w:t xml:space="preserve"> (toliau – Pirkimas) </w:t>
      </w:r>
      <w:r w:rsidRPr="006D1B51">
        <w:rPr>
          <w:rFonts w:ascii="Calibri" w:hAnsi="Calibri" w:cs="Calibri"/>
          <w:sz w:val="24"/>
          <w:szCs w:val="24"/>
          <w:lang w:val="lt-LT"/>
        </w:rPr>
        <w:t>dokumentų atitikties Įstatymui ir jį įgyvendinantiems teisės aktams peržiūra (peržiūra prevenciniais tikslais atliekama tam tikra apimtimi).</w:t>
      </w:r>
    </w:p>
    <w:p w14:paraId="674B0723" w14:textId="77777777" w:rsidR="00094929" w:rsidRPr="006D1B51" w:rsidRDefault="00094929" w:rsidP="00094929">
      <w:pPr>
        <w:spacing w:after="0" w:line="276" w:lineRule="auto"/>
        <w:ind w:firstLine="709"/>
        <w:rPr>
          <w:rFonts w:ascii="Calibri" w:hAnsi="Calibri" w:cs="Calibri"/>
          <w:sz w:val="24"/>
          <w:szCs w:val="24"/>
          <w:lang w:val="lt-LT" w:eastAsia="lt-LT"/>
        </w:rPr>
      </w:pPr>
      <w:r w:rsidRPr="006D1B51">
        <w:rPr>
          <w:rFonts w:ascii="Calibri" w:hAnsi="Calibri" w:cs="Calibri"/>
          <w:sz w:val="24"/>
          <w:szCs w:val="24"/>
          <w:lang w:val="lt-LT" w:eastAsia="lt-LT"/>
        </w:rPr>
        <w:t>Tarnyba, prevencine tvarka peržiūrėjusi Pirkimo dokumentus ir atsižvelgdama į galiojantį teisinį reglamentavimą, teikia pastabas ir rekomendacijas (toliau – Rekomendacija) dėl Pirkimo dokumentų nuostatų.</w:t>
      </w:r>
    </w:p>
    <w:p w14:paraId="59E4D2E6" w14:textId="77777777" w:rsidR="00094929" w:rsidRPr="006D1B51" w:rsidRDefault="00094929" w:rsidP="00094929">
      <w:pPr>
        <w:pStyle w:val="ListParagraph"/>
        <w:numPr>
          <w:ilvl w:val="0"/>
          <w:numId w:val="1"/>
        </w:numPr>
        <w:tabs>
          <w:tab w:val="left" w:pos="426"/>
          <w:tab w:val="left" w:pos="1134"/>
        </w:tabs>
        <w:spacing w:after="0" w:line="276" w:lineRule="auto"/>
        <w:ind w:left="0" w:firstLine="709"/>
        <w:rPr>
          <w:rFonts w:ascii="Calibri" w:eastAsia="Calibri" w:hAnsi="Calibri" w:cs="Calibri"/>
          <w:b/>
          <w:sz w:val="24"/>
          <w:szCs w:val="24"/>
          <w:lang w:val="lt-LT" w:eastAsia="ar-SA"/>
        </w:rPr>
      </w:pPr>
      <w:r w:rsidRPr="006D1B51">
        <w:rPr>
          <w:rFonts w:ascii="Calibri" w:eastAsia="Calibri" w:hAnsi="Calibri" w:cs="Calibri"/>
          <w:b/>
          <w:sz w:val="24"/>
          <w:szCs w:val="24"/>
          <w:lang w:val="lt-LT" w:eastAsia="ar-SA"/>
        </w:rPr>
        <w:t>Dėl Sutarties termino</w:t>
      </w:r>
    </w:p>
    <w:p w14:paraId="3A7BB28C" w14:textId="77777777" w:rsidR="00094929" w:rsidRPr="006D1B51" w:rsidRDefault="00094929" w:rsidP="00094929">
      <w:pPr>
        <w:spacing w:after="0" w:line="276" w:lineRule="auto"/>
        <w:ind w:firstLine="709"/>
        <w:rPr>
          <w:rFonts w:ascii="Calibri" w:hAnsi="Calibri" w:cs="Calibri"/>
          <w:sz w:val="24"/>
          <w:szCs w:val="24"/>
          <w:lang w:val="lt-LT"/>
        </w:rPr>
      </w:pPr>
      <w:r w:rsidRPr="006D1B51">
        <w:rPr>
          <w:rFonts w:ascii="Calibri" w:hAnsi="Calibri" w:cs="Calibri"/>
          <w:sz w:val="24"/>
          <w:szCs w:val="24"/>
          <w:lang w:val="lt-LT"/>
        </w:rPr>
        <w:t xml:space="preserve">Skelbimo apie pirkimą 5.1.3 punkte „Numatomas galiojimas” nurodyta, jog </w:t>
      </w:r>
      <w:r w:rsidRPr="006D1B51">
        <w:rPr>
          <w:rFonts w:ascii="Calibri" w:hAnsi="Calibri" w:cs="Calibri"/>
          <w:b/>
          <w:bCs/>
          <w:sz w:val="24"/>
          <w:szCs w:val="24"/>
          <w:lang w:val="lt-LT"/>
        </w:rPr>
        <w:t>sutarties trukmė – 3 mėnesiai</w:t>
      </w:r>
      <w:r w:rsidRPr="006D1B51">
        <w:rPr>
          <w:rFonts w:ascii="Calibri" w:hAnsi="Calibri" w:cs="Calibri"/>
          <w:sz w:val="24"/>
          <w:szCs w:val="24"/>
          <w:lang w:val="lt-LT"/>
        </w:rPr>
        <w:t>.</w:t>
      </w:r>
    </w:p>
    <w:p w14:paraId="367D7B67" w14:textId="77777777" w:rsidR="00094929" w:rsidRPr="006D1B51" w:rsidRDefault="00094929" w:rsidP="00094929">
      <w:pPr>
        <w:tabs>
          <w:tab w:val="left" w:pos="1560"/>
          <w:tab w:val="right" w:pos="9639"/>
        </w:tabs>
        <w:overflowPunct w:val="0"/>
        <w:autoSpaceDE w:val="0"/>
        <w:autoSpaceDN w:val="0"/>
        <w:adjustRightInd w:val="0"/>
        <w:spacing w:after="0" w:line="276" w:lineRule="auto"/>
        <w:ind w:firstLine="709"/>
        <w:rPr>
          <w:rFonts w:ascii="Calibri" w:hAnsi="Calibri" w:cs="Calibri"/>
          <w:bCs/>
          <w:sz w:val="24"/>
          <w:szCs w:val="24"/>
          <w:lang w:val="lt-LT"/>
        </w:rPr>
      </w:pPr>
      <w:r w:rsidRPr="006D1B51">
        <w:rPr>
          <w:rFonts w:ascii="Calibri" w:hAnsi="Calibri" w:cs="Calibri"/>
          <w:sz w:val="24"/>
          <w:szCs w:val="24"/>
          <w:lang w:val="lt-LT"/>
        </w:rPr>
        <w:t xml:space="preserve">Pirkimo sąlygų 2.7 punkte, Techninės specifikacijos (Pirkimo sąlygų 3 priedas) (toliau – techninė specifikacija) 2.2 punkte bei </w:t>
      </w:r>
      <w:r w:rsidRPr="006D1B51">
        <w:rPr>
          <w:rFonts w:ascii="Calibri" w:hAnsi="Calibri" w:cs="Calibri"/>
          <w:bCs/>
          <w:sz w:val="24"/>
          <w:szCs w:val="24"/>
          <w:lang w:val="lt-LT"/>
        </w:rPr>
        <w:t>Pirkimo sąlygų XI skyriaus „Pirkimo sutarties sudarymo sąlygos“ (toliau – Sutarties projektas) 11.13.1 punkte</w:t>
      </w:r>
      <w:r w:rsidRPr="006D1B51">
        <w:rPr>
          <w:rFonts w:ascii="Calibri" w:hAnsi="Calibri" w:cs="Calibri"/>
          <w:sz w:val="24"/>
          <w:szCs w:val="24"/>
          <w:lang w:val="lt-LT"/>
        </w:rPr>
        <w:t xml:space="preserve"> pažymėta, kad „Pirkimo sutartis galioja</w:t>
      </w:r>
      <w:r w:rsidRPr="006D1B51">
        <w:rPr>
          <w:rFonts w:ascii="Calibri" w:hAnsi="Calibri" w:cs="Calibri"/>
          <w:b/>
          <w:bCs/>
          <w:sz w:val="24"/>
          <w:szCs w:val="24"/>
          <w:lang w:val="lt-LT"/>
        </w:rPr>
        <w:t xml:space="preserve"> 3 (tris) mėnesius</w:t>
      </w:r>
      <w:r w:rsidRPr="006D1B51">
        <w:rPr>
          <w:rFonts w:ascii="Calibri" w:hAnsi="Calibri" w:cs="Calibri"/>
          <w:sz w:val="24"/>
          <w:szCs w:val="24"/>
          <w:lang w:val="lt-LT"/>
        </w:rPr>
        <w:t xml:space="preserve">“. Pirkimo sąlygų </w:t>
      </w:r>
      <w:r w:rsidRPr="006D1B51">
        <w:rPr>
          <w:rFonts w:ascii="Calibri" w:hAnsi="Calibri" w:cs="Calibri"/>
          <w:bCs/>
          <w:sz w:val="24"/>
          <w:szCs w:val="24"/>
          <w:lang w:val="lt-LT"/>
        </w:rPr>
        <w:t>2.5 punkte bei Sutarties projekto 11.4.5 punkte nurodyta, kad „d</w:t>
      </w:r>
      <w:r w:rsidRPr="006D1B51">
        <w:rPr>
          <w:rFonts w:ascii="Calibri" w:hAnsi="Calibri" w:cs="Calibri"/>
          <w:bCs/>
          <w:color w:val="000000" w:themeColor="text1"/>
          <w:sz w:val="24"/>
          <w:szCs w:val="24"/>
          <w:lang w:val="lt-LT"/>
        </w:rPr>
        <w:t>arbų atlikimo trukmė –</w:t>
      </w:r>
      <w:r w:rsidRPr="006D1B51">
        <w:rPr>
          <w:rFonts w:ascii="Calibri" w:hAnsi="Calibri" w:cs="Calibri"/>
          <w:b/>
          <w:color w:val="000000" w:themeColor="text1"/>
          <w:sz w:val="24"/>
          <w:szCs w:val="24"/>
          <w:lang w:val="lt-LT"/>
        </w:rPr>
        <w:t xml:space="preserve"> 2 (du) mėnesiai</w:t>
      </w:r>
      <w:r w:rsidRPr="006D1B51">
        <w:rPr>
          <w:rFonts w:ascii="Calibri" w:hAnsi="Calibri" w:cs="Calibri"/>
          <w:color w:val="000000" w:themeColor="text1"/>
          <w:sz w:val="24"/>
          <w:szCs w:val="24"/>
          <w:lang w:val="lt-LT"/>
        </w:rPr>
        <w:t xml:space="preserve"> nuo darbų pradžios“. Sutarties projekto 11.4.6 punkte nustatyta, kad „&lt;...&gt; </w:t>
      </w:r>
      <w:r w:rsidRPr="006D1B51">
        <w:rPr>
          <w:rFonts w:ascii="Calibri" w:hAnsi="Calibri" w:cs="Calibri"/>
          <w:sz w:val="24"/>
          <w:szCs w:val="24"/>
          <w:lang w:val="lt-LT"/>
        </w:rPr>
        <w:t>darbų atlikimo terminas</w:t>
      </w:r>
      <w:r w:rsidRPr="006D1B51">
        <w:rPr>
          <w:rFonts w:ascii="Calibri" w:hAnsi="Calibri" w:cs="Calibri"/>
          <w:b/>
          <w:bCs/>
          <w:sz w:val="24"/>
          <w:szCs w:val="24"/>
          <w:lang w:val="lt-LT"/>
        </w:rPr>
        <w:t xml:space="preserve"> gali būti pratęstas ne ilgesniam kaip 20 (dvidešimties) dienų</w:t>
      </w:r>
      <w:r w:rsidRPr="006D1B51">
        <w:rPr>
          <w:rFonts w:ascii="Calibri" w:hAnsi="Calibri" w:cs="Calibri"/>
          <w:sz w:val="24"/>
          <w:szCs w:val="24"/>
          <w:lang w:val="lt-LT"/>
        </w:rPr>
        <w:t xml:space="preserve"> laikotarpiui nestabdant darbų arba jų dalies atlikimo, atsiradus nuo Rangovo nepriklausančių aplinkybių, turinčių įtakos darbų atlikimo terminams, pvz., patikslinus darbų apimtis, kiekius ar pan. &lt;...&gt;“. Sutarties projekto 11.7.3 punkte nustatyta, kad „</w:t>
      </w:r>
      <w:r w:rsidRPr="006D1B51">
        <w:rPr>
          <w:rFonts w:ascii="Calibri" w:hAnsi="Calibri" w:cs="Calibri"/>
          <w:bCs/>
          <w:sz w:val="24"/>
          <w:szCs w:val="24"/>
          <w:lang w:val="lt-LT"/>
        </w:rPr>
        <w:t xml:space="preserve">Mokėjimai atliekami &lt;...&gt; per </w:t>
      </w:r>
      <w:r w:rsidRPr="006D1B51">
        <w:rPr>
          <w:rFonts w:ascii="Calibri" w:hAnsi="Calibri" w:cs="Calibri"/>
          <w:b/>
          <w:sz w:val="24"/>
          <w:szCs w:val="24"/>
          <w:lang w:val="lt-LT"/>
        </w:rPr>
        <w:t>30 (trisdešimt) dienų</w:t>
      </w:r>
      <w:r w:rsidRPr="006D1B51">
        <w:rPr>
          <w:rFonts w:ascii="Calibri" w:hAnsi="Calibri" w:cs="Calibri"/>
          <w:bCs/>
          <w:sz w:val="24"/>
          <w:szCs w:val="24"/>
          <w:lang w:val="lt-LT"/>
        </w:rPr>
        <w:t xml:space="preserve"> nuo Sąskaitos gavimo dienos. &lt;...&gt;“.</w:t>
      </w:r>
    </w:p>
    <w:p w14:paraId="06F3F065" w14:textId="77777777" w:rsidR="00094929" w:rsidRPr="006D1B51" w:rsidRDefault="00094929" w:rsidP="00094929">
      <w:pPr>
        <w:spacing w:after="0" w:line="276" w:lineRule="auto"/>
        <w:ind w:firstLine="720"/>
        <w:rPr>
          <w:rFonts w:ascii="Calibri" w:hAnsi="Calibri" w:cs="Calibri"/>
          <w:sz w:val="24"/>
          <w:szCs w:val="24"/>
          <w:lang w:val="lt-LT"/>
        </w:rPr>
      </w:pPr>
      <w:r w:rsidRPr="006D1B51">
        <w:rPr>
          <w:rFonts w:ascii="Calibri" w:hAnsi="Calibri" w:cs="Calibri"/>
          <w:sz w:val="24"/>
          <w:szCs w:val="24"/>
          <w:lang w:val="lt-LT"/>
        </w:rPr>
        <w:t>Šiuo atveju, pildant skelbimo apie pirkimą 5.1.3 punktą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5759FB3A" w14:textId="77777777" w:rsidR="00094929" w:rsidRPr="006D1B51" w:rsidRDefault="00094929" w:rsidP="00094929">
      <w:pPr>
        <w:spacing w:after="0" w:line="276" w:lineRule="auto"/>
        <w:ind w:firstLine="720"/>
        <w:rPr>
          <w:rFonts w:ascii="Calibri" w:hAnsi="Calibri" w:cs="Calibri"/>
          <w:sz w:val="24"/>
          <w:szCs w:val="24"/>
          <w:lang w:val="lt-LT"/>
        </w:rPr>
      </w:pPr>
      <w:r w:rsidRPr="006D1B51">
        <w:rPr>
          <w:rFonts w:ascii="Calibri" w:hAnsi="Calibri" w:cs="Calibri"/>
          <w:sz w:val="24"/>
          <w:szCs w:val="24"/>
          <w:lang w:val="lt-LT"/>
        </w:rPr>
        <w:t>Atsižvelgiant į tai, Tarnyba rekomenduoja tikslinti skelbimo apie pirkimą 5.1.3 punktą, į sutarties trukmę įskaičiuojant darbų atlikimo terminą, darbų atlikimo pratęsimo terminą ir apmokėjimo terminą bei kitų įsipareigojimų, jei jie nustatyti, terminus.</w:t>
      </w:r>
    </w:p>
    <w:p w14:paraId="3207C42D" w14:textId="77777777" w:rsidR="00094929" w:rsidRPr="006D1B51" w:rsidRDefault="00094929" w:rsidP="00094929">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sidRPr="006D1B51">
        <w:rPr>
          <w:rFonts w:ascii="Calibri" w:hAnsi="Calibri" w:cs="Calibri"/>
          <w:b/>
          <w:bCs/>
          <w:sz w:val="24"/>
          <w:szCs w:val="24"/>
          <w:lang w:val="lt-LT"/>
        </w:rPr>
        <w:t>Dėl tiekėjų kvalifikacijos reikalavimų</w:t>
      </w:r>
    </w:p>
    <w:p w14:paraId="6EFDBF99" w14:textId="77777777" w:rsidR="00094929" w:rsidRPr="00BC3D93" w:rsidRDefault="00094929" w:rsidP="00094929">
      <w:pPr>
        <w:pStyle w:val="Standard"/>
        <w:spacing w:after="0" w:line="276" w:lineRule="auto"/>
        <w:ind w:firstLine="709"/>
        <w:jc w:val="left"/>
        <w:rPr>
          <w:rFonts w:ascii="Calibri" w:hAnsi="Calibri" w:cs="Calibri"/>
          <w:szCs w:val="24"/>
        </w:rPr>
      </w:pPr>
      <w:r w:rsidRPr="006D1B51">
        <w:rPr>
          <w:rFonts w:ascii="Calibri" w:hAnsi="Calibri" w:cs="Calibri"/>
          <w:szCs w:val="24"/>
        </w:rPr>
        <w:t>Pirkimo sąlygų 3.2.2 punkte nustatyt</w:t>
      </w:r>
      <w:r>
        <w:rPr>
          <w:rFonts w:ascii="Calibri" w:hAnsi="Calibri" w:cs="Calibri"/>
          <w:szCs w:val="24"/>
        </w:rPr>
        <w:t>as</w:t>
      </w:r>
      <w:r w:rsidRPr="006D1B51">
        <w:rPr>
          <w:rFonts w:ascii="Calibri" w:hAnsi="Calibri" w:cs="Calibri"/>
          <w:szCs w:val="24"/>
        </w:rPr>
        <w:t xml:space="preserve"> kvalifikacijos reikalavim</w:t>
      </w:r>
      <w:r>
        <w:rPr>
          <w:rFonts w:ascii="Calibri" w:hAnsi="Calibri" w:cs="Calibri"/>
          <w:szCs w:val="24"/>
        </w:rPr>
        <w:t>as tiekėjo</w:t>
      </w:r>
      <w:r w:rsidRPr="006D1B51">
        <w:rPr>
          <w:rFonts w:ascii="Calibri" w:hAnsi="Calibri" w:cs="Calibri"/>
          <w:szCs w:val="24"/>
        </w:rPr>
        <w:t xml:space="preserve"> specialist</w:t>
      </w:r>
      <w:r>
        <w:rPr>
          <w:rFonts w:ascii="Calibri" w:hAnsi="Calibri" w:cs="Calibri"/>
          <w:szCs w:val="24"/>
        </w:rPr>
        <w:t>ui: „</w:t>
      </w:r>
      <w:r w:rsidRPr="00BC3D93">
        <w:rPr>
          <w:rFonts w:ascii="Calibri" w:hAnsi="Calibri" w:cs="Calibri"/>
          <w:szCs w:val="24"/>
        </w:rPr>
        <w:t xml:space="preserve">Tiekėjas, </w:t>
      </w:r>
      <w:r>
        <w:rPr>
          <w:rFonts w:ascii="Calibri" w:hAnsi="Calibri" w:cs="Calibri"/>
          <w:szCs w:val="24"/>
        </w:rPr>
        <w:t>&lt;...&gt;</w:t>
      </w:r>
      <w:r w:rsidRPr="00BC3D93">
        <w:rPr>
          <w:rFonts w:ascii="Calibri" w:hAnsi="Calibri" w:cs="Calibri"/>
          <w:szCs w:val="24"/>
        </w:rPr>
        <w:t xml:space="preserve">, turi turėti bent vieną kvalifikuotą specialistą turintį teisę eiti </w:t>
      </w:r>
      <w:r w:rsidRPr="00BC3D93">
        <w:rPr>
          <w:rFonts w:ascii="Calibri" w:hAnsi="Calibri" w:cs="Calibri"/>
          <w:b/>
          <w:bCs/>
          <w:szCs w:val="24"/>
        </w:rPr>
        <w:t xml:space="preserve">ypatingojo statinio </w:t>
      </w:r>
      <w:r w:rsidRPr="00BC3D93">
        <w:rPr>
          <w:rFonts w:ascii="Calibri" w:hAnsi="Calibri" w:cs="Calibri"/>
          <w:b/>
          <w:bCs/>
          <w:szCs w:val="24"/>
        </w:rPr>
        <w:lastRenderedPageBreak/>
        <w:t>statybos vadovo pareigas</w:t>
      </w:r>
      <w:r w:rsidRPr="00BC3D93">
        <w:rPr>
          <w:rFonts w:ascii="Calibri" w:hAnsi="Calibri" w:cs="Calibri"/>
          <w:szCs w:val="24"/>
        </w:rPr>
        <w:t xml:space="preserve"> statinių grupėje: </w:t>
      </w:r>
      <w:r w:rsidRPr="00BC3D93">
        <w:rPr>
          <w:rFonts w:ascii="Calibri" w:hAnsi="Calibri" w:cs="Calibri"/>
          <w:b/>
          <w:bCs/>
          <w:szCs w:val="24"/>
        </w:rPr>
        <w:t>negyvenamieji pastatai</w:t>
      </w:r>
      <w:r w:rsidRPr="00BC3D93">
        <w:rPr>
          <w:rFonts w:ascii="Calibri" w:hAnsi="Calibri" w:cs="Calibri"/>
          <w:szCs w:val="24"/>
        </w:rPr>
        <w:t>; taip pat minėti statiniai esantys kultūros paveldo objekto teritorijoje, jo apsaugos zonoje, kultūros paveldo vietovėje</w:t>
      </w:r>
      <w:r>
        <w:rPr>
          <w:rFonts w:ascii="Calibri" w:hAnsi="Calibri" w:cs="Calibri"/>
          <w:szCs w:val="24"/>
        </w:rPr>
        <w:t>“</w:t>
      </w:r>
      <w:r w:rsidRPr="00BC3D93">
        <w:rPr>
          <w:rFonts w:ascii="Calibri" w:hAnsi="Calibri" w:cs="Calibri"/>
          <w:szCs w:val="24"/>
        </w:rPr>
        <w:t>.</w:t>
      </w:r>
      <w:r>
        <w:rPr>
          <w:rFonts w:ascii="Calibri" w:hAnsi="Calibri" w:cs="Calibri"/>
          <w:szCs w:val="24"/>
        </w:rPr>
        <w:t xml:space="preserve"> </w:t>
      </w:r>
    </w:p>
    <w:p w14:paraId="17AC34D7" w14:textId="77777777" w:rsidR="00094929" w:rsidRDefault="00094929" w:rsidP="00094929">
      <w:pPr>
        <w:tabs>
          <w:tab w:val="left" w:pos="993"/>
        </w:tabs>
        <w:spacing w:after="0" w:line="276" w:lineRule="auto"/>
        <w:ind w:firstLine="567"/>
        <w:rPr>
          <w:rFonts w:ascii="Calibri" w:eastAsia="Calibri" w:hAnsi="Calibri" w:cs="Calibri"/>
          <w:sz w:val="24"/>
          <w:szCs w:val="24"/>
          <w:lang w:val="lt-LT"/>
        </w:rPr>
      </w:pPr>
      <w:r w:rsidRPr="00935C29">
        <w:rPr>
          <w:rFonts w:ascii="Calibri" w:eastAsia="Calibri" w:hAnsi="Calibri" w:cs="Calibri"/>
          <w:sz w:val="24"/>
          <w:szCs w:val="24"/>
          <w:lang w:val="lt-LT"/>
        </w:rPr>
        <w:t xml:space="preserve">Siekiant aiškumo, kaip bus vertinami Pirkimo dalyvio specialistų kvalifikacijos atestatai, kuriuose bus nurodytas konkretus negyvenamojo pastato pogrupis, nes galimai yra tiekėjų specialistų, kuriems atestatai buvo išduoti galiojant ankstesniam teisiniam reglamentavimui, t. y., išduoti atestatai, suteikiantys teisę eiti statinio statybos vadovo, statinio projekto vadovo, statinio specialiųjų statybos darbų vadovo pareigas negyvenamųjų pastatų </w:t>
      </w:r>
      <w:r w:rsidRPr="00BC3D93">
        <w:rPr>
          <w:rFonts w:ascii="Calibri" w:eastAsia="Calibri" w:hAnsi="Calibri" w:cs="Calibri"/>
          <w:b/>
          <w:bCs/>
          <w:sz w:val="24"/>
          <w:szCs w:val="24"/>
          <w:lang w:val="lt-LT"/>
        </w:rPr>
        <w:t>pogrupyje, atitinkančiame Pirkimo objektą,</w:t>
      </w:r>
      <w:r w:rsidRPr="00935C29">
        <w:rPr>
          <w:rFonts w:ascii="Calibri" w:eastAsia="Calibri" w:hAnsi="Calibri" w:cs="Calibri"/>
          <w:sz w:val="24"/>
          <w:szCs w:val="24"/>
          <w:lang w:val="lt-LT"/>
        </w:rPr>
        <w:t xml:space="preserve"> rekomenduojama </w:t>
      </w:r>
      <w:r>
        <w:rPr>
          <w:rFonts w:ascii="Calibri" w:eastAsia="Calibri" w:hAnsi="Calibri" w:cs="Calibri"/>
          <w:sz w:val="24"/>
          <w:szCs w:val="24"/>
          <w:lang w:val="lt-LT"/>
        </w:rPr>
        <w:t xml:space="preserve">formuluojant reikalavimą </w:t>
      </w:r>
      <w:r w:rsidRPr="00935C29">
        <w:rPr>
          <w:rFonts w:ascii="Calibri" w:eastAsia="Calibri" w:hAnsi="Calibri" w:cs="Calibri"/>
          <w:sz w:val="24"/>
          <w:szCs w:val="24"/>
          <w:lang w:val="lt-LT"/>
        </w:rPr>
        <w:t>nu</w:t>
      </w:r>
      <w:r>
        <w:rPr>
          <w:rFonts w:ascii="Calibri" w:eastAsia="Calibri" w:hAnsi="Calibri" w:cs="Calibri"/>
          <w:sz w:val="24"/>
          <w:szCs w:val="24"/>
          <w:lang w:val="lt-LT"/>
        </w:rPr>
        <w:t xml:space="preserve">rodyti </w:t>
      </w:r>
      <w:r w:rsidRPr="00935C29">
        <w:rPr>
          <w:rFonts w:ascii="Calibri" w:eastAsia="Calibri" w:hAnsi="Calibri" w:cs="Calibri"/>
          <w:sz w:val="24"/>
          <w:szCs w:val="24"/>
          <w:lang w:val="lt-LT"/>
        </w:rPr>
        <w:t xml:space="preserve">konkretų negyvenamųjų pastatų pogrupį (pagal iki 2024 m. spalio 31 d. galiojusią </w:t>
      </w:r>
      <w:hyperlink r:id="rId7">
        <w:r w:rsidRPr="00935C29">
          <w:rPr>
            <w:rStyle w:val="Hyperlink"/>
            <w:rFonts w:ascii="Calibri" w:eastAsia="Calibri" w:hAnsi="Calibri" w:cs="Calibri"/>
            <w:color w:val="0563C1"/>
            <w:sz w:val="24"/>
            <w:szCs w:val="24"/>
            <w:lang w:val="lt-LT"/>
          </w:rPr>
          <w:t>STR „Statinių klasifikavimas“</w:t>
        </w:r>
      </w:hyperlink>
      <w:r w:rsidRPr="00935C29">
        <w:rPr>
          <w:rFonts w:ascii="Calibri" w:eastAsia="Calibri" w:hAnsi="Calibri" w:cs="Calibri"/>
          <w:sz w:val="24"/>
          <w:szCs w:val="24"/>
          <w:lang w:val="lt-LT"/>
        </w:rPr>
        <w:t xml:space="preserve"> redakciją) bei nurodyti, kad kaip kvalifikaciją atitinkantys dokumentai bus priimtini ir atestatai, kuriuose nurodyta visa reikalaujama statinių grupė (neišskirti / nenurodyti pogrupiai) bei atestatai, suteikiantys teisę eiti atitinkamas pareigas konkrečiame negyvenamųjų pastatų pogrupyje.</w:t>
      </w:r>
    </w:p>
    <w:p w14:paraId="4473D114" w14:textId="77777777" w:rsidR="00094929" w:rsidRPr="006D1B51" w:rsidRDefault="00094929" w:rsidP="00094929">
      <w:pPr>
        <w:pStyle w:val="ListParagraph"/>
        <w:spacing w:after="0" w:line="276" w:lineRule="auto"/>
        <w:ind w:left="709"/>
        <w:rPr>
          <w:rFonts w:ascii="Calibri" w:hAnsi="Calibri" w:cs="Calibri"/>
          <w:sz w:val="24"/>
          <w:szCs w:val="24"/>
          <w:lang w:val="lt-LT"/>
        </w:rPr>
      </w:pPr>
      <w:r w:rsidRPr="002164EF">
        <w:rPr>
          <w:rFonts w:ascii="Calibri" w:eastAsia="Calibri" w:hAnsi="Calibri" w:cs="Calibri"/>
          <w:b/>
          <w:bCs/>
          <w:sz w:val="24"/>
          <w:szCs w:val="24"/>
          <w:lang w:val="lt-LT"/>
        </w:rPr>
        <w:t>3</w:t>
      </w:r>
      <w:r>
        <w:rPr>
          <w:rFonts w:ascii="Calibri" w:eastAsia="Calibri" w:hAnsi="Calibri" w:cs="Calibri"/>
          <w:sz w:val="24"/>
          <w:szCs w:val="24"/>
          <w:lang w:val="lt-LT"/>
        </w:rPr>
        <w:t xml:space="preserve">. </w:t>
      </w:r>
      <w:r w:rsidRPr="006D1B51">
        <w:rPr>
          <w:rFonts w:ascii="Calibri" w:hAnsi="Calibri" w:cs="Calibri"/>
          <w:b/>
          <w:bCs/>
          <w:sz w:val="24"/>
          <w:szCs w:val="24"/>
          <w:lang w:val="lt-LT"/>
        </w:rPr>
        <w:t>Dėl žaliojo kriterijaus taikymo</w:t>
      </w:r>
    </w:p>
    <w:p w14:paraId="2A28D637" w14:textId="77777777" w:rsidR="00094929" w:rsidRPr="006D1B51" w:rsidRDefault="00094929" w:rsidP="00094929">
      <w:pPr>
        <w:spacing w:after="0" w:line="276" w:lineRule="auto"/>
        <w:ind w:firstLine="709"/>
        <w:rPr>
          <w:rFonts w:ascii="Calibri" w:hAnsi="Calibri" w:cs="Calibri"/>
          <w:sz w:val="24"/>
          <w:szCs w:val="24"/>
          <w:lang w:val="lt-LT"/>
        </w:rPr>
      </w:pPr>
      <w:r w:rsidRPr="006D1B51">
        <w:rPr>
          <w:rFonts w:ascii="Calibri" w:hAnsi="Calibri" w:cs="Calibri"/>
          <w:sz w:val="24"/>
          <w:szCs w:val="24"/>
          <w:lang w:val="lt-LT"/>
        </w:rPr>
        <w:t xml:space="preserve">Techninės specifikacijos 3.3 punkte nustatyta, kad „Atliekamas žaliasis pirkimas. </w:t>
      </w:r>
      <w:r w:rsidRPr="006D1B51">
        <w:rPr>
          <w:rFonts w:ascii="Calibri" w:hAnsi="Calibri" w:cs="Calibri"/>
          <w:sz w:val="24"/>
          <w:szCs w:val="24"/>
          <w:lang w:val="pt-BR"/>
        </w:rPr>
        <w:t>Pirkimas vykdomas vadovaujantis Lietuvos Respublikos aplinkos ministro 2011 m. birželio 28 d. įsakymo Nr. D1-508 „</w:t>
      </w:r>
      <w:hyperlink r:id="rId8" w:history="1">
        <w:r w:rsidRPr="006D1B51">
          <w:rPr>
            <w:rStyle w:val="Hyperlink"/>
            <w:rFonts w:ascii="Calibri" w:hAnsi="Calibri" w:cs="Calibri"/>
            <w:color w:val="0070C0"/>
            <w:sz w:val="24"/>
            <w:szCs w:val="24"/>
            <w:lang w:val="pt-BR"/>
          </w:rPr>
          <w:t>Dėl Aplinkos apsaugos kriterijų taikymo, vykdant žaliuosius pirkimus, tvarkos aprašo patvirtinimo</w:t>
        </w:r>
      </w:hyperlink>
      <w:r w:rsidRPr="006D1B51">
        <w:rPr>
          <w:rFonts w:ascii="Calibri" w:hAnsi="Calibri" w:cs="Calibri"/>
          <w:sz w:val="24"/>
          <w:szCs w:val="24"/>
          <w:lang w:val="pt-BR"/>
        </w:rPr>
        <w:t xml:space="preserve">“ (toliau – Tvarkos aprašas) </w:t>
      </w:r>
      <w:r w:rsidRPr="006D1B51">
        <w:rPr>
          <w:rFonts w:ascii="Calibri" w:hAnsi="Calibri" w:cs="Calibri"/>
          <w:b/>
          <w:bCs/>
          <w:color w:val="000000"/>
          <w:sz w:val="24"/>
          <w:szCs w:val="24"/>
          <w:lang w:val="pt-BR"/>
        </w:rPr>
        <w:t>4.</w:t>
      </w:r>
      <w:r w:rsidRPr="006D1B51">
        <w:rPr>
          <w:rFonts w:ascii="Calibri" w:hAnsi="Calibri" w:cs="Calibri"/>
          <w:b/>
          <w:bCs/>
          <w:color w:val="000000"/>
          <w:sz w:val="24"/>
          <w:szCs w:val="24"/>
          <w:lang w:val="lt-LT"/>
        </w:rPr>
        <w:t>1</w:t>
      </w:r>
      <w:r w:rsidRPr="006D1B51">
        <w:rPr>
          <w:rFonts w:ascii="Calibri" w:hAnsi="Calibri" w:cs="Calibri"/>
          <w:b/>
          <w:bCs/>
          <w:color w:val="000000"/>
          <w:sz w:val="24"/>
          <w:szCs w:val="24"/>
          <w:lang w:val="pt-BR"/>
        </w:rPr>
        <w:t xml:space="preserve"> papunkčiu</w:t>
      </w:r>
      <w:r w:rsidRPr="006D1B51">
        <w:rPr>
          <w:rFonts w:ascii="Calibri" w:hAnsi="Calibri" w:cs="Calibri"/>
          <w:color w:val="000000"/>
          <w:sz w:val="24"/>
          <w:szCs w:val="24"/>
          <w:lang w:val="pt-BR"/>
        </w:rPr>
        <w:t>:</w:t>
      </w:r>
      <w:r w:rsidRPr="006D1B51">
        <w:rPr>
          <w:rFonts w:ascii="Calibri" w:hAnsi="Calibri" w:cs="Calibri"/>
          <w:color w:val="000000"/>
          <w:sz w:val="24"/>
          <w:szCs w:val="24"/>
          <w:shd w:val="clear" w:color="auto" w:fill="FFFFFF"/>
          <w:lang w:val="pt-BR"/>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6D1B51">
        <w:rPr>
          <w:rFonts w:ascii="Calibri" w:hAnsi="Calibri" w:cs="Calibri"/>
          <w:color w:val="000000"/>
          <w:sz w:val="24"/>
          <w:szCs w:val="24"/>
          <w:lang w:val="pt-BR"/>
        </w:rPr>
        <w:t xml:space="preserve"> </w:t>
      </w:r>
      <w:r w:rsidRPr="006D1B51">
        <w:rPr>
          <w:rFonts w:ascii="Calibri" w:hAnsi="Calibri" w:cs="Calibri"/>
          <w:sz w:val="24"/>
          <w:szCs w:val="24"/>
          <w:lang w:val="pt-BR"/>
        </w:rPr>
        <w:t xml:space="preserve">Rangovas teikdamas pasiūlymą įsipareigoja, kad </w:t>
      </w:r>
      <w:r w:rsidRPr="006D1B51">
        <w:rPr>
          <w:rFonts w:ascii="Calibri" w:hAnsi="Calibri" w:cs="Calibri"/>
          <w:b/>
          <w:bCs/>
          <w:sz w:val="24"/>
          <w:szCs w:val="24"/>
          <w:lang w:val="pt-BR"/>
        </w:rPr>
        <w:t>darbai bus atlikti naudojant</w:t>
      </w:r>
      <w:r w:rsidRPr="006D1B51">
        <w:rPr>
          <w:rFonts w:ascii="Calibri" w:hAnsi="Calibri" w:cs="Calibri"/>
          <w:sz w:val="24"/>
          <w:szCs w:val="24"/>
          <w:lang w:val="pt-BR"/>
        </w:rPr>
        <w:t xml:space="preserve"> statybines medžiagas ir kitus su pastato projektu susijusius produktus (jei taikoma), atitinkančius minimalius aplinkos apsaugos kriterijus, nurodytus </w:t>
      </w:r>
      <w:r w:rsidRPr="006D1B51">
        <w:rPr>
          <w:rFonts w:ascii="Calibri" w:hAnsi="Calibri" w:cs="Calibri"/>
          <w:b/>
          <w:bCs/>
          <w:sz w:val="24"/>
          <w:szCs w:val="24"/>
          <w:lang w:val="pt-BR"/>
        </w:rPr>
        <w:t xml:space="preserve">Tvarko aprašo </w:t>
      </w:r>
      <w:r w:rsidRPr="006D1B51">
        <w:rPr>
          <w:rFonts w:ascii="Calibri" w:hAnsi="Calibri" w:cs="Calibri"/>
          <w:b/>
          <w:bCs/>
          <w:color w:val="000000"/>
          <w:sz w:val="24"/>
          <w:szCs w:val="24"/>
          <w:lang w:val="pt-BR"/>
        </w:rPr>
        <w:t>XIII skyriuje „Statybinės medžiagos“, XIV skyriuje „Patalpų apšvietimas“; XV skyriuje „Vandens maišytuvai ir dušai“; XVI skyriuje „Vandens šildytuvai“</w:t>
      </w:r>
      <w:r w:rsidRPr="006D1B51">
        <w:rPr>
          <w:rFonts w:ascii="Calibri" w:hAnsi="Calibri" w:cs="Calibri"/>
          <w:b/>
          <w:bCs/>
          <w:sz w:val="24"/>
          <w:szCs w:val="24"/>
          <w:lang w:val="pt-BR"/>
        </w:rPr>
        <w:t>.</w:t>
      </w:r>
      <w:r w:rsidRPr="006D1B51">
        <w:rPr>
          <w:rFonts w:ascii="Calibri" w:hAnsi="Calibri" w:cs="Calibri"/>
          <w:sz w:val="24"/>
          <w:szCs w:val="24"/>
          <w:lang w:val="pt-BR"/>
        </w:rPr>
        <w:t xml:space="preserve"> Atitiktį aplinkos apsaugos kriterijams pagrindžiančius dokumentus Rangovas turi pateikti tų darbų sutarties vykdymo metu”. Ši nuostata atkartota </w:t>
      </w:r>
      <w:r w:rsidRPr="006D1B51">
        <w:rPr>
          <w:rFonts w:ascii="Calibri" w:hAnsi="Calibri" w:cs="Calibri"/>
          <w:sz w:val="24"/>
          <w:szCs w:val="24"/>
          <w:lang w:val="lt-LT"/>
        </w:rPr>
        <w:t>Sutarties projekto 11.6.1 punkte.</w:t>
      </w:r>
    </w:p>
    <w:p w14:paraId="7BAECFAC" w14:textId="77777777" w:rsidR="00094929" w:rsidRPr="006D1B51" w:rsidRDefault="00094929" w:rsidP="00094929">
      <w:pPr>
        <w:pStyle w:val="Betarp1"/>
        <w:spacing w:line="276" w:lineRule="auto"/>
        <w:ind w:firstLine="709"/>
        <w:rPr>
          <w:rFonts w:cs="Calibri"/>
          <w:sz w:val="24"/>
          <w:szCs w:val="24"/>
        </w:rPr>
      </w:pPr>
      <w:r w:rsidRPr="006D1B51">
        <w:rPr>
          <w:rFonts w:cs="Calibri"/>
          <w:sz w:val="24"/>
          <w:szCs w:val="24"/>
        </w:rPr>
        <w:t>Sutarties projekto 11.6.2 punkte nustatyta, kad jei rangovas naudoja medžiagas, įrangą, gaminius ir įrenginius neatitinkančius aukščiau nurodytų reikalavimų, „</w:t>
      </w:r>
      <w:r w:rsidRPr="006D1B51">
        <w:rPr>
          <w:rFonts w:cs="Calibri"/>
          <w:b/>
          <w:bCs/>
          <w:sz w:val="24"/>
          <w:szCs w:val="24"/>
        </w:rPr>
        <w:t>Užsakovas turi teisę bet kuriuo metu pareikalauti Rangovo juos Rangovo sąskaita pakeisti atitinkančiais konkurso sąlygų 11.6.1 papunktyje nustatytus reikalavimus</w:t>
      </w:r>
      <w:r w:rsidRPr="006D1B51">
        <w:rPr>
          <w:rFonts w:cs="Calibri"/>
          <w:sz w:val="24"/>
          <w:szCs w:val="24"/>
        </w:rPr>
        <w:t>“.</w:t>
      </w:r>
    </w:p>
    <w:p w14:paraId="7C61F590" w14:textId="77777777" w:rsidR="00094929" w:rsidRPr="006D1B51" w:rsidRDefault="00094929" w:rsidP="00094929">
      <w:pPr>
        <w:spacing w:after="0" w:line="276" w:lineRule="auto"/>
        <w:ind w:firstLine="709"/>
        <w:rPr>
          <w:rFonts w:ascii="Calibri" w:eastAsia="Times New Roman" w:hAnsi="Calibri" w:cs="Calibri"/>
          <w:sz w:val="24"/>
          <w:szCs w:val="24"/>
          <w:lang w:val="lt-LT"/>
        </w:rPr>
      </w:pPr>
      <w:r w:rsidRPr="006D1B51">
        <w:rPr>
          <w:rFonts w:ascii="Calibri" w:hAnsi="Calibri" w:cs="Calibri"/>
          <w:sz w:val="24"/>
          <w:szCs w:val="24"/>
          <w:lang w:val="lt-LT"/>
        </w:rPr>
        <w:t xml:space="preserve">Tarnyba primena, jog </w:t>
      </w:r>
      <w:r w:rsidRPr="006D1B51">
        <w:rPr>
          <w:rFonts w:ascii="Calibri" w:eastAsia="Times New Roman" w:hAnsi="Calibri" w:cs="Calibri"/>
          <w:sz w:val="24"/>
          <w:szCs w:val="24"/>
          <w:lang w:val="lt-LT"/>
        </w:rPr>
        <w:t xml:space="preserve">Sutarties projekte turi būti nustatytas ne tik kontrolės mechanizmas, t. y. nustatyta, kaip Perkančioji organizacija kontroliuos tiekėjo pareigą sutarties vykdymo metu naudoti </w:t>
      </w:r>
      <w:r w:rsidRPr="006D1B51">
        <w:rPr>
          <w:rFonts w:ascii="Calibri" w:hAnsi="Calibri" w:cs="Calibri"/>
          <w:sz w:val="24"/>
          <w:szCs w:val="24"/>
          <w:lang w:val="lt-LT"/>
        </w:rPr>
        <w:t xml:space="preserve">medžiagas, įrangą, gaminius ir įrenginius, atitinkančius Tvarkos aprašo 2 priedo </w:t>
      </w:r>
      <w:r w:rsidRPr="006D1B51">
        <w:rPr>
          <w:rFonts w:ascii="Calibri" w:hAnsi="Calibri" w:cs="Calibri"/>
          <w:color w:val="000000"/>
          <w:sz w:val="24"/>
          <w:szCs w:val="24"/>
          <w:lang w:val="lt-LT"/>
        </w:rPr>
        <w:t xml:space="preserve">XIII skyriuje „Statybinės medžiagos“, XIV skyriuje „Patalpų apšvietimas“; XV skyriuje „Vandens maišytuvai ir dušai“; XVI skyriuje „Vandens šildytuvai“ nustatytus reikalavimus, bet taip pat koks bus sankcijų mechanizmas, jeigu tiekėjas šios pareigos nevykdys, šiuo atveju, savo </w:t>
      </w:r>
      <w:r w:rsidRPr="006D1B51">
        <w:rPr>
          <w:rFonts w:ascii="Calibri" w:hAnsi="Calibri" w:cs="Calibri"/>
          <w:color w:val="000000"/>
          <w:sz w:val="24"/>
          <w:szCs w:val="24"/>
          <w:lang w:val="lt-LT"/>
        </w:rPr>
        <w:lastRenderedPageBreak/>
        <w:t xml:space="preserve">sąskaita nepakeis </w:t>
      </w:r>
      <w:r w:rsidRPr="006D1B51">
        <w:rPr>
          <w:rFonts w:ascii="Calibri" w:hAnsi="Calibri" w:cs="Calibri"/>
          <w:sz w:val="24"/>
          <w:szCs w:val="24"/>
          <w:lang w:val="lt-LT"/>
        </w:rPr>
        <w:t>medžiagų, įrangos, gaminių ir įrenginių atitinkančiais šiuos reikalavimus. Atsižvelgiant į tai, Tarnyba rekomenduoja papildyti Sutarties projekto nuostatas, nurodant, kokios sankcijos bus taikomos tiekėjui nevykdant tokios pareigos.</w:t>
      </w:r>
    </w:p>
    <w:p w14:paraId="55168DB9" w14:textId="77777777" w:rsidR="00094929" w:rsidRPr="006D1B51" w:rsidRDefault="00094929" w:rsidP="00094929">
      <w:pPr>
        <w:spacing w:after="0" w:line="276" w:lineRule="auto"/>
        <w:ind w:firstLine="709"/>
        <w:rPr>
          <w:rFonts w:ascii="Calibri" w:hAnsi="Calibri" w:cs="Calibri"/>
          <w:sz w:val="24"/>
          <w:szCs w:val="24"/>
          <w:lang w:val="lt-LT"/>
        </w:rPr>
      </w:pPr>
      <w:r w:rsidRPr="006D1B51">
        <w:rPr>
          <w:rFonts w:ascii="Calibri" w:hAnsi="Calibri" w:cs="Calibri"/>
          <w:sz w:val="24"/>
          <w:szCs w:val="24"/>
          <w:lang w:val="lt-LT"/>
        </w:rPr>
        <w:t xml:space="preserve">Tarnyba nori atkreipti dėmesį į tai, kad, kaip nurodyta aukščiau, Techninės specifikacijos 3.3 punkte buvo nustatyti aplinkos apsaugos reikalavimai, esantys Tvarkos aprašo 2 priedo </w:t>
      </w:r>
      <w:r w:rsidRPr="006D1B51">
        <w:rPr>
          <w:rFonts w:ascii="Calibri" w:hAnsi="Calibri" w:cs="Calibri"/>
          <w:color w:val="000000"/>
          <w:sz w:val="24"/>
          <w:szCs w:val="24"/>
          <w:lang w:val="lt-LT"/>
        </w:rPr>
        <w:t xml:space="preserve">XIII skyriuje „Statybinės medžiagos“, XIV skyriuje „Patalpų apšvietimas“; XV skyriuje „Vandens maišytuvai ir dušai“; XVI skyriuje „Vandens šildytuvai“. Tačiau įvertinus Pirkimo sąlygų 3.4 punktą, nustatyta, kad be aukščiau nurodytų reikalavimų, </w:t>
      </w:r>
      <w:r w:rsidRPr="006D1B51">
        <w:rPr>
          <w:rFonts w:ascii="Calibri" w:hAnsi="Calibri" w:cs="Calibri"/>
          <w:b/>
          <w:bCs/>
          <w:color w:val="000000"/>
          <w:sz w:val="24"/>
          <w:szCs w:val="24"/>
          <w:lang w:val="lt-LT"/>
        </w:rPr>
        <w:t>taip pat keliami reikalavimai dėl aplinkos apsaugos vadybos sistemos standartų</w:t>
      </w:r>
      <w:r w:rsidRPr="006D1B51">
        <w:rPr>
          <w:rFonts w:ascii="Calibri" w:hAnsi="Calibri" w:cs="Calibri"/>
          <w:color w:val="000000"/>
          <w:sz w:val="24"/>
          <w:szCs w:val="24"/>
          <w:lang w:val="lt-LT"/>
        </w:rPr>
        <w:t>: „</w:t>
      </w:r>
      <w:r w:rsidRPr="006D1B51">
        <w:rPr>
          <w:rFonts w:ascii="Calibri" w:hAnsi="Calibri" w:cs="Calibri"/>
          <w:sz w:val="24"/>
          <w:szCs w:val="24"/>
          <w:lang w:val="lt-LT"/>
        </w:rPr>
        <w:t xml:space="preserve">Tiekėjas, </w:t>
      </w:r>
      <w:r w:rsidRPr="006D1B51">
        <w:rPr>
          <w:rFonts w:ascii="Calibri" w:hAnsi="Calibri" w:cs="Calibri"/>
          <w:b/>
          <w:bCs/>
          <w:sz w:val="24"/>
          <w:szCs w:val="24"/>
          <w:lang w:val="lt-LT"/>
        </w:rPr>
        <w:t>bent vienas</w:t>
      </w:r>
      <w:r w:rsidRPr="006D1B51">
        <w:rPr>
          <w:rFonts w:ascii="Calibri" w:hAnsi="Calibri" w:cs="Calibri"/>
          <w:sz w:val="24"/>
          <w:szCs w:val="24"/>
          <w:lang w:val="lt-LT"/>
        </w:rPr>
        <w:t xml:space="preserve"> iš tiekėjų grupės narių (atsižvelgiant į prisiimamus įsipareigojimus pirkimo sutarčiai vykdyti), ūkio subjektas, kurio pajėgumais tiekėjas numato remtis (atsižvelgiant į prisiimamus įsipareigojimus pirkimo sutarčiai vykdyti), subtiekėjas kurio pajėgumais tiekėjas numato remtis (atsižvelgiant į prisiimamus įsipareigojimus pirkimo sutarčiai vykdyti), </w:t>
      </w:r>
      <w:r w:rsidRPr="006D1B51">
        <w:rPr>
          <w:rFonts w:ascii="Calibri" w:hAnsi="Calibri" w:cs="Calibri"/>
          <w:color w:val="000000"/>
          <w:sz w:val="24"/>
          <w:szCs w:val="24"/>
          <w:lang w:val="lt-LT"/>
        </w:rPr>
        <w:t xml:space="preserve">atliekamiems </w:t>
      </w:r>
      <w:r w:rsidRPr="006D1B51">
        <w:rPr>
          <w:rFonts w:ascii="Calibri" w:hAnsi="Calibri" w:cs="Calibri"/>
          <w:b/>
          <w:bCs/>
          <w:color w:val="000000"/>
          <w:sz w:val="24"/>
          <w:szCs w:val="24"/>
          <w:lang w:val="lt-LT"/>
        </w:rPr>
        <w:t>statybos darbams</w:t>
      </w:r>
      <w:r w:rsidRPr="006D1B51">
        <w:rPr>
          <w:rFonts w:ascii="Calibri" w:hAnsi="Calibri" w:cs="Calibri"/>
          <w:color w:val="000000"/>
          <w:sz w:val="24"/>
          <w:szCs w:val="24"/>
          <w:lang w:val="lt-LT"/>
        </w:rPr>
        <w:t xml:space="preserve"> taiko aplinkos apsaugos vadybos sistemos reikalavimus pagal standartą </w:t>
      </w:r>
      <w:r w:rsidRPr="006D1B51">
        <w:rPr>
          <w:rFonts w:ascii="Calibri" w:hAnsi="Calibri" w:cs="Calibri"/>
          <w:b/>
          <w:bCs/>
          <w:color w:val="000000"/>
          <w:sz w:val="24"/>
          <w:szCs w:val="24"/>
          <w:lang w:val="lt-LT"/>
        </w:rPr>
        <w:t>LST EN ISO 14001</w:t>
      </w:r>
      <w:r w:rsidRPr="006D1B51">
        <w:rPr>
          <w:rFonts w:ascii="Calibri" w:hAnsi="Calibri" w:cs="Calibri"/>
          <w:color w:val="000000"/>
          <w:sz w:val="24"/>
          <w:szCs w:val="24"/>
          <w:lang w:val="lt-LT"/>
        </w:rPr>
        <w:t xml:space="preserve"> „Aplinkos vadybos sistemos. Reikalavimai ir naudojimo gairės“ </w:t>
      </w:r>
      <w:r w:rsidRPr="006D1B51">
        <w:rPr>
          <w:rFonts w:ascii="Calibri" w:hAnsi="Calibri" w:cs="Calibri"/>
          <w:sz w:val="24"/>
          <w:szCs w:val="24"/>
          <w:lang w:val="lt-LT" w:eastAsia="lt-LT"/>
        </w:rPr>
        <w:t xml:space="preserve">arba </w:t>
      </w:r>
      <w:r w:rsidRPr="006D1B51">
        <w:rPr>
          <w:rFonts w:ascii="Calibri" w:hAnsi="Calibri" w:cs="Calibri"/>
          <w:color w:val="000000"/>
          <w:sz w:val="24"/>
          <w:szCs w:val="24"/>
          <w:lang w:val="lt-LT"/>
        </w:rPr>
        <w:t>Europos Sąjungos (toliau – ES) aplinkosaugos vadybos ir audito sistemą (</w:t>
      </w:r>
      <w:r w:rsidRPr="006D1B51">
        <w:rPr>
          <w:rFonts w:ascii="Calibri" w:hAnsi="Calibri" w:cs="Calibri"/>
          <w:b/>
          <w:bCs/>
          <w:sz w:val="24"/>
          <w:szCs w:val="24"/>
          <w:lang w:val="lt-LT" w:eastAsia="lt-LT"/>
        </w:rPr>
        <w:t>EMAS)</w:t>
      </w:r>
      <w:r w:rsidRPr="006D1B51">
        <w:rPr>
          <w:rFonts w:ascii="Calibri" w:hAnsi="Calibri" w:cs="Calibri"/>
          <w:color w:val="000000"/>
          <w:sz w:val="24"/>
          <w:szCs w:val="24"/>
          <w:lang w:val="lt-LT"/>
        </w:rPr>
        <w:t xml:space="preserve"> ar kitus aplinkos apsaugos vadybos standartus, pagrįstus atitinkamais Europos arba </w:t>
      </w:r>
      <w:r w:rsidRPr="006D1B51">
        <w:rPr>
          <w:rFonts w:ascii="Calibri" w:hAnsi="Calibri" w:cs="Calibri"/>
          <w:sz w:val="24"/>
          <w:szCs w:val="24"/>
          <w:lang w:val="lt-LT"/>
        </w:rPr>
        <w:t>tarptautiniais standartais (kuriuos yra patvirtinusios sertifikavimo įstaigos, atitinkančios Europos Sąjungos teisės aktus arba tarptautinius sertifikavimo standartus)</w:t>
      </w:r>
      <w:r w:rsidRPr="006D1B51">
        <w:rPr>
          <w:rFonts w:ascii="Calibri" w:hAnsi="Calibri" w:cs="Calibri"/>
          <w:color w:val="000000"/>
          <w:sz w:val="24"/>
          <w:szCs w:val="24"/>
          <w:lang w:val="lt-LT"/>
        </w:rPr>
        <w:t>, ar kitais tiekėjo pateiktais lygiaverčiais įrodymais“.</w:t>
      </w:r>
    </w:p>
    <w:p w14:paraId="5D47C826" w14:textId="77777777" w:rsidR="00094929" w:rsidRPr="006D1B51" w:rsidRDefault="00094929" w:rsidP="00094929">
      <w:pPr>
        <w:spacing w:after="0" w:line="276" w:lineRule="auto"/>
        <w:ind w:firstLine="709"/>
        <w:rPr>
          <w:rFonts w:ascii="Calibri" w:hAnsi="Calibri" w:cs="Calibri"/>
          <w:sz w:val="24"/>
          <w:szCs w:val="24"/>
          <w:lang w:val="lt-LT"/>
        </w:rPr>
      </w:pPr>
      <w:r w:rsidRPr="006D1B51">
        <w:rPr>
          <w:rFonts w:ascii="Calibri" w:hAnsi="Calibri" w:cs="Calibri"/>
          <w:sz w:val="24"/>
          <w:szCs w:val="24"/>
          <w:lang w:val="lt-LT"/>
        </w:rPr>
        <w:t>Apibendrinant išdėstytą, Tarnyba rekomenduoja patikslinti Pirkimo sąlygas, jose tiksliai, aiškiai nurodant kam (</w:t>
      </w:r>
      <w:r w:rsidRPr="006D1B51">
        <w:rPr>
          <w:rFonts w:ascii="Calibri" w:hAnsi="Calibri" w:cs="Calibri"/>
          <w:color w:val="000000"/>
          <w:sz w:val="24"/>
          <w:szCs w:val="24"/>
          <w:lang w:val="lt-LT"/>
        </w:rPr>
        <w:t>statybinėms medžiagoms, patalpų apšvietimui, vandens maišytuvams ir dušams, vandens šildytuvams ir</w:t>
      </w:r>
      <w:r w:rsidRPr="006D1B51">
        <w:rPr>
          <w:rFonts w:ascii="Calibri" w:hAnsi="Calibri" w:cs="Calibri"/>
          <w:b/>
          <w:bCs/>
          <w:sz w:val="24"/>
          <w:szCs w:val="24"/>
          <w:lang w:val="lt-LT"/>
        </w:rPr>
        <w:t xml:space="preserve"> statybos darbams </w:t>
      </w:r>
      <w:r w:rsidRPr="006D1B51">
        <w:rPr>
          <w:rFonts w:ascii="Calibri" w:hAnsi="Calibri" w:cs="Calibri"/>
          <w:sz w:val="24"/>
          <w:szCs w:val="24"/>
          <w:lang w:val="lt-LT"/>
        </w:rPr>
        <w:t xml:space="preserve">) ir kokie minimalūs aplinkos apsaugos kriterijai yra taikomi. Jei bus nuspręsta kelti </w:t>
      </w:r>
      <w:r w:rsidRPr="006D1B51">
        <w:rPr>
          <w:rFonts w:ascii="Calibri" w:hAnsi="Calibri" w:cs="Calibri"/>
          <w:color w:val="000000"/>
          <w:sz w:val="24"/>
          <w:szCs w:val="24"/>
          <w:lang w:val="lt-LT"/>
        </w:rPr>
        <w:t>aplinkos apsaugos vadybos sistemos standartų</w:t>
      </w:r>
      <w:r w:rsidRPr="006D1B51">
        <w:rPr>
          <w:rFonts w:ascii="Calibri" w:hAnsi="Calibri" w:cs="Calibri"/>
          <w:sz w:val="24"/>
          <w:szCs w:val="24"/>
          <w:lang w:val="lt-LT"/>
        </w:rPr>
        <w:t xml:space="preserve"> reikalavimus statybos darbams, rekomenduotina papildyti Sutarties projektą nuostatomis,</w:t>
      </w:r>
      <w:r w:rsidRPr="006D1B51">
        <w:rPr>
          <w:rFonts w:ascii="Calibri" w:eastAsia="Calibri" w:hAnsi="Calibri" w:cs="Calibri"/>
          <w:color w:val="000000" w:themeColor="text1"/>
          <w:sz w:val="24"/>
          <w:szCs w:val="24"/>
          <w:lang w:val="lt"/>
        </w:rPr>
        <w:t xml:space="preserve"> kaip Perkančioji organizacija kontroliuos tiekėjo pareigą sutarties vykdymo metu taikyti aplinkos apsaugos vadybos sistemos standartų reikalavimus ir koks bus sankcijų mechanizmas, jeigu tiekėjas šios pareigos nevykdys.</w:t>
      </w:r>
    </w:p>
    <w:p w14:paraId="25D640C2" w14:textId="77777777" w:rsidR="00094929" w:rsidRPr="006D1B51" w:rsidRDefault="00094929" w:rsidP="00094929">
      <w:pPr>
        <w:spacing w:after="0" w:line="276" w:lineRule="auto"/>
        <w:ind w:firstLine="709"/>
        <w:rPr>
          <w:rStyle w:val="FontStyle14"/>
          <w:rFonts w:ascii="Calibri" w:hAnsi="Calibri" w:cs="Calibri"/>
          <w:sz w:val="24"/>
          <w:szCs w:val="24"/>
          <w:lang w:val="lt-LT"/>
        </w:rPr>
      </w:pPr>
      <w:r w:rsidRPr="006D1B51">
        <w:rPr>
          <w:rFonts w:ascii="Calibri" w:hAnsi="Calibri" w:cs="Calibri"/>
          <w:sz w:val="24"/>
          <w:szCs w:val="24"/>
          <w:lang w:val="lt-LT"/>
        </w:rPr>
        <w:t xml:space="preserve">Taip pat atkreiptinas dėmesys į keliamo </w:t>
      </w:r>
      <w:r w:rsidRPr="006D1B51">
        <w:rPr>
          <w:rFonts w:ascii="Calibri" w:eastAsia="Calibri" w:hAnsi="Calibri" w:cs="Calibri"/>
          <w:color w:val="000000" w:themeColor="text1"/>
          <w:sz w:val="24"/>
          <w:szCs w:val="24"/>
          <w:lang w:val="lt"/>
        </w:rPr>
        <w:t xml:space="preserve">aplinkos apsaugos vadybos sistemos standartų </w:t>
      </w:r>
      <w:r w:rsidRPr="006D1B51">
        <w:rPr>
          <w:rFonts w:ascii="Calibri" w:hAnsi="Calibri" w:cs="Calibri"/>
          <w:sz w:val="24"/>
          <w:szCs w:val="24"/>
          <w:lang w:val="lt-LT"/>
        </w:rPr>
        <w:t>reikalavimo</w:t>
      </w:r>
      <w:r w:rsidRPr="006D1B51">
        <w:rPr>
          <w:rFonts w:ascii="Calibri" w:eastAsia="Calibri" w:hAnsi="Calibri" w:cs="Calibri"/>
          <w:color w:val="000000" w:themeColor="text1"/>
          <w:sz w:val="24"/>
          <w:szCs w:val="24"/>
          <w:lang w:val="lt"/>
        </w:rPr>
        <w:t xml:space="preserve"> sąlygą, kad </w:t>
      </w:r>
      <w:r w:rsidRPr="006D1B51">
        <w:rPr>
          <w:rFonts w:ascii="Calibri" w:hAnsi="Calibri" w:cs="Calibri"/>
          <w:color w:val="000000"/>
          <w:sz w:val="24"/>
          <w:szCs w:val="24"/>
          <w:lang w:val="lt-LT"/>
        </w:rPr>
        <w:t>„</w:t>
      </w:r>
      <w:r w:rsidRPr="006D1B51">
        <w:rPr>
          <w:rFonts w:ascii="Calibri" w:hAnsi="Calibri" w:cs="Calibri"/>
          <w:sz w:val="24"/>
          <w:szCs w:val="24"/>
          <w:lang w:val="lt-LT"/>
        </w:rPr>
        <w:t xml:space="preserve">Tiekėjas, </w:t>
      </w:r>
      <w:r w:rsidRPr="006D1B51">
        <w:rPr>
          <w:rFonts w:ascii="Calibri" w:hAnsi="Calibri" w:cs="Calibri"/>
          <w:b/>
          <w:bCs/>
          <w:sz w:val="24"/>
          <w:szCs w:val="24"/>
          <w:lang w:val="lt-LT"/>
        </w:rPr>
        <w:t>bent vienas</w:t>
      </w:r>
      <w:r w:rsidRPr="006D1B51">
        <w:rPr>
          <w:rFonts w:ascii="Calibri" w:hAnsi="Calibri" w:cs="Calibri"/>
          <w:sz w:val="24"/>
          <w:szCs w:val="24"/>
          <w:lang w:val="lt-LT"/>
        </w:rPr>
        <w:t xml:space="preserve"> iš tiekėjų grupės narių (atsižvelgiant į prisiimamus įsipareigojimus pirkimo sutarčiai vykdyti), </w:t>
      </w:r>
      <w:r w:rsidRPr="006D1B51">
        <w:rPr>
          <w:rFonts w:ascii="Calibri" w:hAnsi="Calibri" w:cs="Calibri"/>
          <w:color w:val="000000"/>
          <w:sz w:val="24"/>
          <w:szCs w:val="24"/>
          <w:lang w:val="lt-LT"/>
        </w:rPr>
        <w:t xml:space="preserve">atliekamiems </w:t>
      </w:r>
      <w:r w:rsidRPr="006D1B51">
        <w:rPr>
          <w:rFonts w:ascii="Calibri" w:hAnsi="Calibri" w:cs="Calibri"/>
          <w:b/>
          <w:bCs/>
          <w:color w:val="000000"/>
          <w:sz w:val="24"/>
          <w:szCs w:val="24"/>
          <w:lang w:val="lt-LT"/>
        </w:rPr>
        <w:t>statybos darbams</w:t>
      </w:r>
      <w:r w:rsidRPr="006D1B51">
        <w:rPr>
          <w:rFonts w:ascii="Calibri" w:hAnsi="Calibri" w:cs="Calibri"/>
          <w:color w:val="000000"/>
          <w:sz w:val="24"/>
          <w:szCs w:val="24"/>
          <w:lang w:val="lt-LT"/>
        </w:rPr>
        <w:t xml:space="preserve"> taiko aplinkos apsaugos vadybos sistemos reikalavimus pagal standartą &lt;...&gt;“. </w:t>
      </w:r>
      <w:r w:rsidRPr="006D1B51">
        <w:rPr>
          <w:rStyle w:val="FontStyle14"/>
          <w:rFonts w:ascii="Calibri" w:hAnsi="Calibri" w:cs="Calibri"/>
          <w:sz w:val="24"/>
          <w:szCs w:val="24"/>
          <w:lang w:val="lt-LT"/>
        </w:rPr>
        <w:t xml:space="preserve">Tarnyba rekomenduoja tikslinti šią sąlygą, kadangi </w:t>
      </w:r>
      <w:r w:rsidRPr="006D1B51">
        <w:rPr>
          <w:rStyle w:val="FontStyle14"/>
          <w:rFonts w:ascii="Calibri" w:hAnsi="Calibri" w:cs="Calibri"/>
          <w:b/>
          <w:bCs/>
          <w:sz w:val="24"/>
          <w:szCs w:val="24"/>
          <w:lang w:val="lt-LT"/>
        </w:rPr>
        <w:t>kiekvienas (ne bent vienas ir ne visi kartu) tiekėjų grupės narys</w:t>
      </w:r>
      <w:r w:rsidRPr="006D1B51">
        <w:rPr>
          <w:rStyle w:val="FontStyle14"/>
          <w:rFonts w:ascii="Calibri" w:hAnsi="Calibri" w:cs="Calibri"/>
          <w:sz w:val="24"/>
          <w:szCs w:val="24"/>
          <w:lang w:val="lt-LT"/>
        </w:rPr>
        <w:t xml:space="preserve"> privalo atitikti reikalavimą pagal jų prisiimamus įsipareigojimus pirkimo sutarčiai vykdyti. </w:t>
      </w:r>
      <w:r w:rsidRPr="006D1B51">
        <w:rPr>
          <w:rFonts w:ascii="Calibri" w:hAnsi="Calibri" w:cs="Calibri"/>
          <w:sz w:val="24"/>
          <w:szCs w:val="24"/>
          <w:lang w:val="lt"/>
        </w:rPr>
        <w:t xml:space="preserve">Plačiau skaityti </w:t>
      </w:r>
      <w:hyperlink r:id="rId9" w:history="1">
        <w:r w:rsidRPr="006D1B51">
          <w:rPr>
            <w:rStyle w:val="Hyperlink"/>
            <w:rFonts w:ascii="Calibri" w:hAnsi="Calibri" w:cs="Calibri"/>
            <w:sz w:val="24"/>
            <w:szCs w:val="24"/>
            <w:lang w:val="lt"/>
          </w:rPr>
          <w:t>čia</w:t>
        </w:r>
      </w:hyperlink>
      <w:r w:rsidRPr="006D1B51">
        <w:rPr>
          <w:rFonts w:ascii="Calibri" w:hAnsi="Calibri" w:cs="Calibri"/>
          <w:sz w:val="24"/>
          <w:szCs w:val="24"/>
          <w:lang w:val="lt"/>
        </w:rPr>
        <w:t xml:space="preserve"> (10 psl.).</w:t>
      </w:r>
    </w:p>
    <w:p w14:paraId="52614D4A" w14:textId="77777777" w:rsidR="00094929" w:rsidRPr="008C482A" w:rsidRDefault="00094929" w:rsidP="00094929">
      <w:pPr>
        <w:spacing w:after="0" w:line="276" w:lineRule="auto"/>
        <w:ind w:firstLine="709"/>
        <w:rPr>
          <w:rFonts w:ascii="Calibri" w:hAnsi="Calibri" w:cs="Calibri"/>
          <w:sz w:val="24"/>
          <w:szCs w:val="24"/>
          <w:lang w:val="lt-LT"/>
        </w:rPr>
      </w:pPr>
      <w:r w:rsidRPr="008C482A">
        <w:rPr>
          <w:rFonts w:ascii="Calibri" w:eastAsia="Calibri" w:hAnsi="Calibri" w:cs="Calibri"/>
          <w:sz w:val="24"/>
          <w:szCs w:val="24"/>
          <w:lang w:val="lt-LT"/>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w:t>
      </w:r>
      <w:r w:rsidRPr="008C482A">
        <w:rPr>
          <w:rFonts w:ascii="Calibri" w:eastAsia="Calibri" w:hAnsi="Calibri" w:cs="Calibri"/>
          <w:sz w:val="24"/>
          <w:szCs w:val="24"/>
          <w:lang w:val="lt-LT"/>
        </w:rPr>
        <w:lastRenderedPageBreak/>
        <w:t>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8C482A">
        <w:rPr>
          <w:rFonts w:ascii="Calibri" w:eastAsia="Calibri" w:hAnsi="Calibri" w:cs="Calibri"/>
          <w:sz w:val="24"/>
          <w:szCs w:val="24"/>
          <w:vertAlign w:val="superscript"/>
        </w:rPr>
        <w:footnoteReference w:id="1"/>
      </w:r>
      <w:r w:rsidRPr="008C482A">
        <w:rPr>
          <w:rFonts w:ascii="Calibri" w:eastAsia="Calibri" w:hAnsi="Calibri" w:cs="Calibri"/>
          <w:sz w:val="24"/>
          <w:szCs w:val="24"/>
          <w:lang w:val="lt-LT"/>
        </w:rPr>
        <w:t xml:space="preserve"> ir 4</w:t>
      </w:r>
      <w:r w:rsidRPr="008C482A">
        <w:rPr>
          <w:rFonts w:ascii="Calibri" w:eastAsia="Calibri" w:hAnsi="Calibri" w:cs="Calibri"/>
          <w:sz w:val="24"/>
          <w:szCs w:val="24"/>
          <w:vertAlign w:val="superscript"/>
        </w:rPr>
        <w:footnoteReference w:id="2"/>
      </w:r>
      <w:r w:rsidRPr="008C482A">
        <w:rPr>
          <w:rFonts w:ascii="Calibri" w:eastAsia="Calibri" w:hAnsi="Calibri" w:cs="Calibri"/>
          <w:sz w:val="24"/>
          <w:szCs w:val="24"/>
          <w:lang w:val="lt-LT"/>
        </w:rPr>
        <w:t xml:space="preserve"> dalių nuostatomis.</w:t>
      </w:r>
    </w:p>
    <w:sectPr w:rsidR="00094929" w:rsidRPr="008C48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7FDC" w14:textId="77777777" w:rsidR="00094929" w:rsidRDefault="00094929" w:rsidP="00094929">
      <w:pPr>
        <w:spacing w:after="0" w:line="240" w:lineRule="auto"/>
      </w:pPr>
      <w:r>
        <w:separator/>
      </w:r>
    </w:p>
  </w:endnote>
  <w:endnote w:type="continuationSeparator" w:id="0">
    <w:p w14:paraId="13812FBA" w14:textId="77777777" w:rsidR="00094929" w:rsidRDefault="00094929" w:rsidP="0009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392B" w14:textId="77777777" w:rsidR="00094929" w:rsidRDefault="00094929" w:rsidP="00094929">
      <w:pPr>
        <w:spacing w:after="0" w:line="240" w:lineRule="auto"/>
      </w:pPr>
      <w:r>
        <w:separator/>
      </w:r>
    </w:p>
  </w:footnote>
  <w:footnote w:type="continuationSeparator" w:id="0">
    <w:p w14:paraId="324AC099" w14:textId="77777777" w:rsidR="00094929" w:rsidRDefault="00094929" w:rsidP="00094929">
      <w:pPr>
        <w:spacing w:after="0" w:line="240" w:lineRule="auto"/>
      </w:pPr>
      <w:r>
        <w:continuationSeparator/>
      </w:r>
    </w:p>
  </w:footnote>
  <w:footnote w:id="1">
    <w:p w14:paraId="2FA4AD89" w14:textId="77777777" w:rsidR="00094929" w:rsidRPr="00E75053" w:rsidRDefault="00094929" w:rsidP="00094929">
      <w:pPr>
        <w:pStyle w:val="FootnoteText"/>
        <w:jc w:val="both"/>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w:t>
      </w:r>
      <w:r w:rsidRPr="00E75053">
        <w:rPr>
          <w:rFonts w:ascii="Calibri" w:hAnsi="Calibri" w:cs="Calibri"/>
          <w:color w:val="000000"/>
        </w:rPr>
        <w:t xml:space="preserve"> organizacija privalo </w:t>
      </w:r>
      <w:r w:rsidRPr="00E75053">
        <w:rPr>
          <w:rFonts w:ascii="Calibri" w:hAnsi="Calibri" w:cs="Calibri"/>
          <w:bCs/>
          <w:color w:val="000000"/>
        </w:rPr>
        <w:t>nutraukti pradėtas pirkimo ar projekto konkurso procedūras</w:t>
      </w:r>
      <w:r w:rsidRPr="00E75053">
        <w:rPr>
          <w:rFonts w:ascii="Calibri" w:hAnsi="Calibri" w:cs="Calibri"/>
          <w:color w:val="000000"/>
        </w:rPr>
        <w:t>, jeigu buvo pažeisti šio įstatymo 17 straipsnio 1 dalyje nustatyti principai ir atitinkamos padėties negalima ištaisyti.“</w:t>
      </w:r>
    </w:p>
  </w:footnote>
  <w:footnote w:id="2">
    <w:p w14:paraId="5BA23E34" w14:textId="77777777" w:rsidR="00094929" w:rsidRPr="00E75053" w:rsidRDefault="00094929" w:rsidP="00094929">
      <w:pPr>
        <w:pStyle w:val="FootnoteText"/>
        <w:jc w:val="both"/>
        <w:rPr>
          <w:rFonts w:ascii="Calibri" w:hAnsi="Calibri" w:cs="Calibri"/>
        </w:rPr>
      </w:pPr>
      <w:r w:rsidRPr="00437C1D">
        <w:rPr>
          <w:rStyle w:val="FootnoteReference"/>
          <w:rFonts w:ascii="Calibri" w:hAnsi="Calibri" w:cs="Calibri"/>
        </w:rPr>
        <w:footnoteRef/>
      </w:r>
      <w:r w:rsidRPr="00E75053">
        <w:rPr>
          <w:rFonts w:ascii="Calibri" w:hAnsi="Calibri" w:cs="Calibri"/>
        </w:rPr>
        <w:t xml:space="preserve">„ </w:t>
      </w:r>
      <w:r w:rsidRPr="00E75053">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37E56"/>
    <w:multiLevelType w:val="multilevel"/>
    <w:tmpl w:val="21F891D4"/>
    <w:lvl w:ilvl="0">
      <w:start w:val="1"/>
      <w:numFmt w:val="decimal"/>
      <w:lvlText w:val="%1."/>
      <w:lvlJc w:val="left"/>
      <w:pPr>
        <w:ind w:left="1069" w:hanging="360"/>
      </w:pPr>
      <w:rPr>
        <w:rFonts w:hint="default"/>
        <w:b/>
        <w:bCs/>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189438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29"/>
    <w:rsid w:val="00094929"/>
    <w:rsid w:val="00A0134C"/>
    <w:rsid w:val="00A445D4"/>
    <w:rsid w:val="00BB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8B54"/>
  <w15:chartTrackingRefBased/>
  <w15:docId w15:val="{2F88440A-D1D7-498E-A7BE-1203C40F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29"/>
    <w:pPr>
      <w:spacing w:line="259" w:lineRule="auto"/>
    </w:pPr>
    <w:rPr>
      <w:sz w:val="22"/>
      <w:szCs w:val="22"/>
    </w:rPr>
  </w:style>
  <w:style w:type="paragraph" w:styleId="Heading1">
    <w:name w:val="heading 1"/>
    <w:basedOn w:val="Normal"/>
    <w:next w:val="Normal"/>
    <w:link w:val="Heading1Char"/>
    <w:uiPriority w:val="9"/>
    <w:qFormat/>
    <w:rsid w:val="00094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929"/>
    <w:rPr>
      <w:rFonts w:eastAsiaTheme="majorEastAsia" w:cstheme="majorBidi"/>
      <w:color w:val="272727" w:themeColor="text1" w:themeTint="D8"/>
    </w:rPr>
  </w:style>
  <w:style w:type="paragraph" w:styleId="Title">
    <w:name w:val="Title"/>
    <w:basedOn w:val="Normal"/>
    <w:next w:val="Normal"/>
    <w:link w:val="TitleChar"/>
    <w:uiPriority w:val="10"/>
    <w:qFormat/>
    <w:rsid w:val="00094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929"/>
    <w:pPr>
      <w:spacing w:before="160"/>
      <w:jc w:val="center"/>
    </w:pPr>
    <w:rPr>
      <w:i/>
      <w:iCs/>
      <w:color w:val="404040" w:themeColor="text1" w:themeTint="BF"/>
    </w:rPr>
  </w:style>
  <w:style w:type="character" w:customStyle="1" w:styleId="QuoteChar">
    <w:name w:val="Quote Char"/>
    <w:basedOn w:val="DefaultParagraphFont"/>
    <w:link w:val="Quote"/>
    <w:uiPriority w:val="29"/>
    <w:rsid w:val="0009492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094929"/>
    <w:pPr>
      <w:ind w:left="720"/>
      <w:contextualSpacing/>
    </w:pPr>
  </w:style>
  <w:style w:type="character" w:styleId="IntenseEmphasis">
    <w:name w:val="Intense Emphasis"/>
    <w:basedOn w:val="DefaultParagraphFont"/>
    <w:uiPriority w:val="21"/>
    <w:qFormat/>
    <w:rsid w:val="00094929"/>
    <w:rPr>
      <w:i/>
      <w:iCs/>
      <w:color w:val="0F4761" w:themeColor="accent1" w:themeShade="BF"/>
    </w:rPr>
  </w:style>
  <w:style w:type="paragraph" w:styleId="IntenseQuote">
    <w:name w:val="Intense Quote"/>
    <w:basedOn w:val="Normal"/>
    <w:next w:val="Normal"/>
    <w:link w:val="IntenseQuoteChar"/>
    <w:uiPriority w:val="30"/>
    <w:qFormat/>
    <w:rsid w:val="00094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929"/>
    <w:rPr>
      <w:i/>
      <w:iCs/>
      <w:color w:val="0F4761" w:themeColor="accent1" w:themeShade="BF"/>
    </w:rPr>
  </w:style>
  <w:style w:type="character" w:styleId="IntenseReference">
    <w:name w:val="Intense Reference"/>
    <w:basedOn w:val="DefaultParagraphFont"/>
    <w:uiPriority w:val="32"/>
    <w:qFormat/>
    <w:rsid w:val="00094929"/>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94929"/>
  </w:style>
  <w:style w:type="character" w:styleId="Hyperlink">
    <w:name w:val="Hyperlink"/>
    <w:basedOn w:val="DefaultParagraphFont"/>
    <w:uiPriority w:val="99"/>
    <w:unhideWhenUsed/>
    <w:rsid w:val="00094929"/>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94929"/>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94929"/>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94929"/>
    <w:rPr>
      <w:vertAlign w:val="superscript"/>
    </w:rPr>
  </w:style>
  <w:style w:type="paragraph" w:customStyle="1" w:styleId="Standard">
    <w:name w:val="Standard"/>
    <w:qFormat/>
    <w:rsid w:val="00094929"/>
    <w:pPr>
      <w:widowControl w:val="0"/>
      <w:spacing w:after="57" w:line="240" w:lineRule="auto"/>
      <w:jc w:val="both"/>
    </w:pPr>
    <w:rPr>
      <w:rFonts w:ascii="TimesLT" w:eastAsia="Calibri" w:hAnsi="TimesLT" w:cs="Times New Roman"/>
      <w:kern w:val="0"/>
      <w:szCs w:val="20"/>
      <w:lang w:val="lt-LT"/>
      <w14:ligatures w14:val="none"/>
    </w:rPr>
  </w:style>
  <w:style w:type="paragraph" w:customStyle="1" w:styleId="Betarp1">
    <w:name w:val="Be tarpų1"/>
    <w:uiPriority w:val="1"/>
    <w:qFormat/>
    <w:rsid w:val="00094929"/>
    <w:pPr>
      <w:spacing w:after="0" w:line="240" w:lineRule="auto"/>
    </w:pPr>
    <w:rPr>
      <w:rFonts w:ascii="Calibri" w:eastAsia="Times New Roman" w:hAnsi="Calibri" w:cs="Times New Roman"/>
      <w:kern w:val="0"/>
      <w:sz w:val="22"/>
      <w:szCs w:val="22"/>
      <w:lang w:val="lt-LT"/>
      <w14:ligatures w14:val="none"/>
    </w:rPr>
  </w:style>
  <w:style w:type="character" w:customStyle="1" w:styleId="FontStyle14">
    <w:name w:val="Font Style14"/>
    <w:uiPriority w:val="99"/>
    <w:rsid w:val="0009492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https://www.e-tar.lt/portal/lt/legalAct/c14e6210afe511e6b844f0f29024f5ac/UAsEvnmf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media/viesa/saugykla/2024/7/TdOv2vnE6t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2025-05-05T07:48:00Z</dcterms:created>
  <dcterms:modified xsi:type="dcterms:W3CDTF">2025-05-05T07:49:00Z</dcterms:modified>
</cp:coreProperties>
</file>