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9FFC" w14:textId="77777777" w:rsidR="005524C9" w:rsidRPr="005524C9" w:rsidRDefault="005524C9" w:rsidP="005524C9">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5524C9">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E3B71C5" w14:textId="77777777" w:rsidR="005524C9" w:rsidRPr="005524C9" w:rsidRDefault="005524C9" w:rsidP="005524C9">
      <w:pPr>
        <w:pStyle w:val="paragraph"/>
        <w:spacing w:before="0" w:beforeAutospacing="0" w:after="0" w:afterAutospacing="0" w:line="276" w:lineRule="auto"/>
        <w:ind w:firstLine="720"/>
        <w:textAlignment w:val="baseline"/>
        <w:rPr>
          <w:rFonts w:ascii="Calibri" w:hAnsi="Calibri" w:cs="Calibri"/>
          <w:lang w:val="lt-LT"/>
        </w:rPr>
      </w:pPr>
      <w:bookmarkStart w:id="0" w:name="_Hlk194474617"/>
      <w:r w:rsidRPr="005524C9">
        <w:rPr>
          <w:rStyle w:val="normaltextrun"/>
          <w:rFonts w:ascii="Calibri" w:eastAsiaTheme="majorEastAsia" w:hAnsi="Calibri" w:cs="Calibri"/>
          <w:lang w:val="lt-LT"/>
        </w:rPr>
        <w:t xml:space="preserve">Vadovaujantis Tarnybai Įstatyme nustatyta pažeidimų prevencijos funkcija, šiuo metu atliekama </w:t>
      </w:r>
      <w:r w:rsidRPr="005524C9">
        <w:rPr>
          <w:rStyle w:val="normaltextrun"/>
          <w:rFonts w:ascii="Calibri" w:eastAsiaTheme="majorEastAsia" w:hAnsi="Calibri" w:cs="Calibri"/>
          <w:b/>
          <w:bCs/>
          <w:lang w:val="lt-LT"/>
        </w:rPr>
        <w:t>Klaipėdos miesto savivaldybės administracijos</w:t>
      </w:r>
      <w:r w:rsidRPr="005524C9">
        <w:rPr>
          <w:rStyle w:val="normaltextrun"/>
          <w:rFonts w:ascii="Calibri" w:eastAsiaTheme="majorEastAsia" w:hAnsi="Calibri" w:cs="Calibri"/>
          <w:lang w:val="lt-LT"/>
        </w:rPr>
        <w:t xml:space="preserve"> </w:t>
      </w:r>
      <w:r w:rsidRPr="005524C9">
        <w:rPr>
          <w:rFonts w:ascii="Calibri" w:hAnsi="Calibri" w:cs="Calibri"/>
          <w:lang w:val="lt-LT"/>
        </w:rPr>
        <w:t xml:space="preserve">(toliau – Perkančioji organizacija) vykdomo pirkimo </w:t>
      </w:r>
      <w:r w:rsidRPr="005524C9">
        <w:rPr>
          <w:rFonts w:ascii="Calibri" w:hAnsi="Calibri" w:cs="Calibri"/>
          <w:b/>
          <w:bCs/>
          <w:lang w:val="lt-LT"/>
        </w:rPr>
        <w:t>Nr. 1889445 „Mokslo paskirties pastato Paryžiaus Komunos g. 16, Klaipėda, paprastojo remonto darbai su darbo projekto parengimu“</w:t>
      </w:r>
      <w:r w:rsidRPr="005524C9">
        <w:rPr>
          <w:rFonts w:ascii="Calibri" w:hAnsi="Calibri" w:cs="Calibri"/>
          <w:lang w:val="lt-LT"/>
        </w:rPr>
        <w:t xml:space="preserve"> (toliau – Pirkimas Nr. 1889445) ir </w:t>
      </w:r>
      <w:r w:rsidRPr="005524C9">
        <w:rPr>
          <w:rFonts w:ascii="Calibri" w:hAnsi="Calibri" w:cs="Calibri"/>
          <w:b/>
          <w:bCs/>
          <w:lang w:val="lt-LT"/>
        </w:rPr>
        <w:t>Nr. 1971743 „Klaipėdos vaikų ligoninės konsultacinės poliklinikos pastato, J. Karoso g. 13, rekonstravimo darbai (1, 2, 3, 4 a. ir rūsio) su darbo projekto parengimu“</w:t>
      </w:r>
      <w:r w:rsidRPr="005524C9">
        <w:rPr>
          <w:rFonts w:ascii="Calibri" w:hAnsi="Calibri" w:cs="Calibri"/>
          <w:lang w:val="lt-LT"/>
        </w:rPr>
        <w:t xml:space="preserve"> (toliau – Pirkimas Nr. 1971743) (toliau abu kartu – Pirkimai) dokumentų atitikties Įstatymui ir jį įgyvendinantiems teisės aktams peržiūra (peržiūra prevenciniais tikslais atliekama tam tikra apimtimi).</w:t>
      </w:r>
    </w:p>
    <w:bookmarkEnd w:id="0"/>
    <w:p w14:paraId="598869A2" w14:textId="77777777" w:rsidR="005524C9" w:rsidRPr="005524C9" w:rsidRDefault="005524C9" w:rsidP="005524C9">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5524C9">
        <w:rPr>
          <w:rStyle w:val="normaltextrun"/>
          <w:rFonts w:ascii="Calibri" w:eastAsiaTheme="majorEastAsia" w:hAnsi="Calibri" w:cs="Calibri"/>
          <w:lang w:val="lt-LT"/>
        </w:rPr>
        <w:t>Tarnyba, prevencine tvarka peržiūrėjusi Pirkimų dokumentus, teikia rekomendaciją dėl Pirkimų dokumentų nuostatų.</w:t>
      </w:r>
    </w:p>
    <w:p w14:paraId="53652493" w14:textId="77777777" w:rsidR="005524C9" w:rsidRPr="005524C9" w:rsidRDefault="005524C9" w:rsidP="005524C9">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5524C9">
        <w:rPr>
          <w:rStyle w:val="normaltextrun"/>
          <w:rFonts w:ascii="Calibri" w:eastAsiaTheme="majorEastAsia" w:hAnsi="Calibri" w:cs="Calibri"/>
          <w:b/>
          <w:bCs/>
          <w:lang w:val="lt-LT"/>
        </w:rPr>
        <w:t>1.</w:t>
      </w:r>
      <w:r w:rsidRPr="005524C9">
        <w:rPr>
          <w:rStyle w:val="normaltextrun"/>
          <w:rFonts w:ascii="Calibri" w:eastAsiaTheme="majorEastAsia" w:hAnsi="Calibri" w:cs="Calibri"/>
          <w:lang w:val="lt-LT"/>
        </w:rPr>
        <w:t xml:space="preserve"> Pirkimo Nr. 1889445 sąlygų 13 punkte ir Pirkimo Nr. 1971743 sąlygų 14 punkte nurodytas pagrindimas dėl Pirkimų neskaidymo į atskiras dalis, t. y. „darbai nuo darbo projekto parengimo paslaugų neatskiriami vadovaujantis Statybos techninio reglamento STR 1.04.04:2017 „Statinio projektavimas, projekto ekspertizė“ 9.2 p. (galiojusio iki 2024-10-31)“.</w:t>
      </w:r>
    </w:p>
    <w:p w14:paraId="6A390220" w14:textId="77777777" w:rsidR="005524C9" w:rsidRPr="005524C9" w:rsidRDefault="005524C9" w:rsidP="005524C9">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5524C9">
        <w:rPr>
          <w:rStyle w:val="normaltextrun"/>
          <w:rFonts w:ascii="Calibri" w:eastAsiaTheme="majorEastAsia" w:hAnsi="Calibri" w:cs="Calibri"/>
          <w:lang w:val="lt-LT"/>
        </w:rPr>
        <w:t>Vadovaujantis iki 2024 m. spalio 31 d. galiojusios Statybos techninio reglamento STR 1.04.04:2017 „Statinio projektavimas, projekto ekspertizė“ (toliau – STR 1.04.04:2017) redakcijos 9.2 papunkčiu, kitas projektuotojas gali rengti darbo projektą, jei statybos darbai perkami kartu su projektavimo darbais (pagal statytojo parengtą techninį projektą) ir statybos rangovas atrenkamas konkurso būdu. Atkreiptinas dėmesys, kad STR 1.04.04:2017 nustatytos sąlygos, kada kitas projektuotojas gali rengti darbo projektą, nei projektuotojas, parengęs techninį projektą, tačiau ši sąlyga, Tarnybos nuomone, nepagrindžia Perkančiosios organizacijos priimto sprendimo dėl statinio statybos darbų ir statinio projektavimo paslaugų pirkimo objekto neskaidymo į dalis (Įstatymo 28 straipsnio 2 dalis), todėl toks pagrindimas nėra tinkamas.</w:t>
      </w:r>
    </w:p>
    <w:p w14:paraId="281386F4" w14:textId="77777777" w:rsidR="005524C9" w:rsidRPr="005524C9" w:rsidRDefault="005524C9" w:rsidP="005524C9">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5524C9">
        <w:rPr>
          <w:rStyle w:val="normaltextrun"/>
          <w:rFonts w:ascii="Calibri" w:eastAsiaTheme="majorEastAsia" w:hAnsi="Calibri" w:cs="Calibri"/>
          <w:lang w:val="lt-LT"/>
        </w:rPr>
        <w:t>Atsižvelgiant į nurodytą, Perkančioji organizacija turi patikslinti Pirkimų dokumentus, pateikiant argumentuotą pagrindimą, kodėl nagrinėjamais atvejais statybos darbai perkami kartu su darbo projekto parengimo paslaugomis.</w:t>
      </w:r>
    </w:p>
    <w:p w14:paraId="102D05C0" w14:textId="77777777" w:rsidR="005524C9" w:rsidRPr="005524C9" w:rsidRDefault="005524C9" w:rsidP="005524C9">
      <w:pPr>
        <w:pStyle w:val="paragraph"/>
        <w:spacing w:before="0" w:beforeAutospacing="0" w:after="0" w:afterAutospacing="0" w:line="276" w:lineRule="auto"/>
        <w:ind w:firstLine="720"/>
        <w:textAlignment w:val="baseline"/>
        <w:rPr>
          <w:rFonts w:ascii="Calibri" w:hAnsi="Calibri" w:cs="Calibri"/>
          <w:lang w:val="lt-LT" w:eastAsia="lt-LT"/>
        </w:rPr>
      </w:pPr>
      <w:r w:rsidRPr="005524C9">
        <w:rPr>
          <w:rFonts w:ascii="Calibri" w:hAnsi="Calibri" w:cs="Calibri"/>
          <w:b/>
          <w:bCs/>
          <w:lang w:val="lt-LT" w:eastAsia="lt-LT"/>
        </w:rPr>
        <w:t>2.</w:t>
      </w:r>
      <w:r w:rsidRPr="005524C9">
        <w:rPr>
          <w:rFonts w:ascii="Calibri" w:hAnsi="Calibri" w:cs="Calibri"/>
          <w:lang w:val="lt-LT" w:eastAsia="lt-LT"/>
        </w:rPr>
        <w:t xml:space="preserve"> Įvertinus Pirkimo Nr. 1971743 specialiųjų sąlygų 7 priedą „Rangos sutartis (projektas) su priedais“, Tarnyba daro išvadą, kad pateiktos Statybos rangos sutarties Bendrosios sąlygos (toliau – Sutarties BS) ir Specialiosios sąlygos (toliau – Sutarties SS) parengtos vadovaujantis Tarnybos internetiniame puslapyje paskelbta Statybos rangos sutarties 2022 m. vasario 4 d. redakcija. Atkreiptinas dėmesys, kad nurodytas dokumentas yra rekomendacinio pobūdžio ir dabar yra peržiūrimas ir tikslinamas, todėl Tarnyba rekomenduoja įsivertinti, ar tikrai, šiuo atveju, sutarties sąlygos yra tinkamos ir aktualios.</w:t>
      </w:r>
    </w:p>
    <w:p w14:paraId="2A4258B0" w14:textId="77777777" w:rsidR="005524C9" w:rsidRPr="005524C9" w:rsidRDefault="005524C9" w:rsidP="005524C9">
      <w:pPr>
        <w:pStyle w:val="paragraph"/>
        <w:spacing w:before="0" w:beforeAutospacing="0" w:after="0" w:afterAutospacing="0" w:line="276" w:lineRule="auto"/>
        <w:ind w:firstLine="720"/>
        <w:textAlignment w:val="baseline"/>
        <w:rPr>
          <w:rFonts w:ascii="Calibri" w:hAnsi="Calibri" w:cs="Calibri"/>
          <w:lang w:val="lt-LT" w:eastAsia="lt-LT"/>
        </w:rPr>
      </w:pPr>
      <w:r w:rsidRPr="005524C9">
        <w:rPr>
          <w:rFonts w:ascii="Calibri" w:hAnsi="Calibri" w:cs="Calibri"/>
          <w:lang w:val="lt-LT" w:eastAsia="lt-LT"/>
        </w:rPr>
        <w:t xml:space="preserve">Pastebėtina, kad Sutarties SS 7.5 papunktyje nurodyta, jog sutarties kainos peržiūra bus atliekama pagal Sutarties BS 15.5.8 papunktį, kuriame nustatyta, jog „15.5.8. Pirmoji Sutarties kainos peržiūra gali būti atliekama </w:t>
      </w:r>
      <w:r w:rsidRPr="005524C9">
        <w:rPr>
          <w:rFonts w:ascii="Calibri" w:hAnsi="Calibri" w:cs="Calibri"/>
          <w:b/>
          <w:bCs/>
          <w:lang w:val="lt-LT" w:eastAsia="lt-LT"/>
        </w:rPr>
        <w:t>ne anksčiau nei po 12 mėnesių</w:t>
      </w:r>
      <w:r w:rsidRPr="005524C9">
        <w:rPr>
          <w:rFonts w:ascii="Calibri" w:hAnsi="Calibri" w:cs="Calibri"/>
          <w:lang w:val="lt-LT" w:eastAsia="lt-LT"/>
        </w:rPr>
        <w:t xml:space="preserve"> po Sutarties įsigaliojimo ir po to Sutarties kaina gali būti peržiūrima ne dažniau negu kas 12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w:t>
      </w:r>
    </w:p>
    <w:p w14:paraId="4E512BC8" w14:textId="77777777" w:rsidR="005524C9" w:rsidRPr="005524C9" w:rsidRDefault="005524C9" w:rsidP="005524C9">
      <w:pPr>
        <w:pStyle w:val="paragraph"/>
        <w:spacing w:before="0" w:beforeAutospacing="0" w:after="0" w:afterAutospacing="0" w:line="276" w:lineRule="auto"/>
        <w:ind w:firstLine="720"/>
        <w:textAlignment w:val="baseline"/>
        <w:rPr>
          <w:rFonts w:ascii="Calibri" w:hAnsi="Calibri" w:cs="Calibri"/>
          <w:lang w:val="lt-LT" w:eastAsia="lt-LT"/>
        </w:rPr>
      </w:pPr>
      <w:r w:rsidRPr="005524C9">
        <w:rPr>
          <w:rFonts w:ascii="Calibri" w:hAnsi="Calibri" w:cs="Calibri"/>
          <w:lang w:val="lt-LT" w:eastAsia="lt-LT"/>
        </w:rPr>
        <w:t xml:space="preserve">Įvertinus, jog Sutarties terminas yra </w:t>
      </w:r>
      <w:r w:rsidRPr="005524C9">
        <w:rPr>
          <w:rFonts w:ascii="Calibri" w:hAnsi="Calibri" w:cs="Calibri"/>
          <w:b/>
          <w:bCs/>
          <w:lang w:val="lt-LT" w:eastAsia="lt-LT"/>
        </w:rPr>
        <w:t>12 mėnesių,</w:t>
      </w:r>
      <w:r w:rsidRPr="005524C9">
        <w:rPr>
          <w:rFonts w:ascii="Calibri" w:hAnsi="Calibri" w:cs="Calibri"/>
          <w:lang w:val="lt-LT" w:eastAsia="lt-LT"/>
        </w:rPr>
        <w:t xml:space="preserve"> visų darbų atlikimo galutinis terminas – </w:t>
      </w:r>
      <w:r w:rsidRPr="005524C9">
        <w:rPr>
          <w:rFonts w:ascii="Calibri" w:hAnsi="Calibri" w:cs="Calibri"/>
          <w:b/>
          <w:bCs/>
          <w:lang w:val="lt-LT" w:eastAsia="lt-LT"/>
        </w:rPr>
        <w:t>9 mėnesiai</w:t>
      </w:r>
      <w:r w:rsidRPr="005524C9">
        <w:rPr>
          <w:rFonts w:ascii="Calibri" w:hAnsi="Calibri" w:cs="Calibri"/>
          <w:lang w:val="lt-LT" w:eastAsia="lt-LT"/>
        </w:rPr>
        <w:t xml:space="preserve"> nuo sutarties įsigaliojimo (Sutarties SS 10.2 papunktis), statybos užbaigimo procedūrų </w:t>
      </w:r>
      <w:r w:rsidRPr="005524C9">
        <w:rPr>
          <w:rFonts w:ascii="Calibri" w:hAnsi="Calibri" w:cs="Calibri"/>
          <w:lang w:val="lt-LT" w:eastAsia="lt-LT"/>
        </w:rPr>
        <w:lastRenderedPageBreak/>
        <w:t>terminas – 2 mėnesiai</w:t>
      </w:r>
      <w:r w:rsidRPr="005524C9">
        <w:rPr>
          <w:rFonts w:ascii="Calibri" w:hAnsi="Calibri" w:cs="Calibri"/>
          <w:b/>
          <w:bCs/>
          <w:lang w:val="lt-LT" w:eastAsia="lt-LT"/>
        </w:rPr>
        <w:t xml:space="preserve"> </w:t>
      </w:r>
      <w:r w:rsidRPr="005524C9">
        <w:rPr>
          <w:rFonts w:ascii="Calibri" w:hAnsi="Calibri" w:cs="Calibri"/>
          <w:lang w:val="lt-LT" w:eastAsia="lt-LT"/>
        </w:rPr>
        <w:t>nuo darbų galutinio perdavimo užsakovui dienos (Sutarties SS 10.3 papunktis), užsakovo atsiskaitymo terminas rangovui – 30 dienų po to, kai įvyksta visos galutinio atsiskaitymo sąlygos (Sutarties BS 16.3.1 papunktis), Sutarties BS 15.5.8 papunkčio nuostata, jog „Pirmoji Sutarties kainos peržiūra gali būti atliekama ne anksčiau nei po 12 mėnesių“ yra neaktuali ir šios sutarties vykdymo metu neįgyvendinama, kadangi realiai pasinaudoti šia nuostata nebus galimybės.</w:t>
      </w:r>
    </w:p>
    <w:p w14:paraId="1B097B50" w14:textId="77777777" w:rsidR="005524C9" w:rsidRPr="005524C9" w:rsidRDefault="005524C9" w:rsidP="005524C9">
      <w:pPr>
        <w:pStyle w:val="paragraph"/>
        <w:spacing w:before="0" w:beforeAutospacing="0" w:after="0" w:afterAutospacing="0" w:line="276" w:lineRule="auto"/>
        <w:ind w:firstLine="720"/>
        <w:textAlignment w:val="baseline"/>
        <w:rPr>
          <w:rFonts w:ascii="Calibri" w:hAnsi="Calibri" w:cs="Calibri"/>
          <w:lang w:val="lt-LT" w:eastAsia="lt-LT"/>
        </w:rPr>
      </w:pPr>
      <w:r w:rsidRPr="005524C9">
        <w:rPr>
          <w:rFonts w:ascii="Calibri" w:hAnsi="Calibri" w:cs="Calibri"/>
          <w:lang w:val="lt-LT" w:eastAsia="lt-LT"/>
        </w:rPr>
        <w:t>Atsižvelgiant į išdėstytą, Tarnyba rekomenduoja pakartotinai įsivertinti Sutarties BS nustatytą kainos peržiūros tvarką, atsižvelgiant į sutarties galiojimo bei darbų atlikimo trukmę.</w:t>
      </w:r>
    </w:p>
    <w:p w14:paraId="55CC75DE" w14:textId="77777777" w:rsidR="005524C9" w:rsidRPr="005524C9" w:rsidRDefault="005524C9" w:rsidP="005524C9">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5524C9">
        <w:rPr>
          <w:rFonts w:ascii="Calibri" w:hAnsi="Calibri" w:cs="Calibri"/>
          <w:b/>
          <w:bCs/>
          <w:lang w:val="lt-LT" w:eastAsia="lt-LT"/>
        </w:rPr>
        <w:t>3</w:t>
      </w:r>
      <w:r w:rsidRPr="005524C9">
        <w:rPr>
          <w:rFonts w:ascii="Calibri" w:hAnsi="Calibri" w:cs="Calibri"/>
          <w:lang w:val="lt-LT" w:eastAsia="lt-LT"/>
        </w:rPr>
        <w:t>. Skelbimo apie</w:t>
      </w:r>
      <w:r w:rsidRPr="005524C9">
        <w:rPr>
          <w:rStyle w:val="normaltextrun"/>
          <w:rFonts w:ascii="Calibri" w:eastAsiaTheme="majorEastAsia" w:hAnsi="Calibri" w:cs="Calibri"/>
          <w:lang w:val="lt-LT"/>
        </w:rPr>
        <w:t xml:space="preserve"> Pirkimą Nr. 1971743 5.1.6 punkte nurodyta, kad „Pirkimo objektas, visiškai arba iš dalies finansuojamas iš ES fondų“ (</w:t>
      </w:r>
      <w:r w:rsidRPr="005524C9">
        <w:rPr>
          <w:rFonts w:ascii="Calibri" w:eastAsiaTheme="majorEastAsia" w:hAnsi="Calibri" w:cs="Calibri"/>
          <w:lang w:val="lt-LT"/>
        </w:rPr>
        <w:t>ES fondai: programa: Europos Sąjungos ekonomikos gaivinimo priemonė (EURI) finansavimo išlaidos(2021/2027))</w:t>
      </w:r>
      <w:r w:rsidRPr="005524C9">
        <w:rPr>
          <w:rStyle w:val="normaltextrun"/>
          <w:rFonts w:ascii="Calibri" w:eastAsiaTheme="majorEastAsia" w:hAnsi="Calibri" w:cs="Calibri"/>
          <w:lang w:val="lt-LT"/>
        </w:rPr>
        <w:t>.</w:t>
      </w:r>
    </w:p>
    <w:p w14:paraId="1FD29C45" w14:textId="77777777" w:rsidR="005524C9" w:rsidRPr="005524C9" w:rsidRDefault="005524C9" w:rsidP="005524C9">
      <w:pPr>
        <w:pStyle w:val="paragraph"/>
        <w:spacing w:before="0" w:beforeAutospacing="0" w:after="0" w:afterAutospacing="0" w:line="276" w:lineRule="auto"/>
        <w:ind w:firstLine="720"/>
        <w:textAlignment w:val="baseline"/>
        <w:rPr>
          <w:rFonts w:ascii="Calibri" w:hAnsi="Calibri" w:cs="Calibri"/>
          <w:lang w:val="lt-LT"/>
        </w:rPr>
      </w:pPr>
      <w:r w:rsidRPr="005524C9">
        <w:rPr>
          <w:rStyle w:val="normaltextrun"/>
          <w:rFonts w:ascii="Calibri" w:eastAsiaTheme="majorEastAsia" w:hAnsi="Calibri" w:cs="Calibri"/>
          <w:lang w:val="lt-LT"/>
        </w:rPr>
        <w:t>Atsižvelgiant į tai, prašome nurodyti įgyvendinančią instituciją bei informuoti, ar įgyvendinanti institucija atliko išankstinę Pirkimo Nr. 1971743 dokumentų patikrą. Jei taip, pateikite įgyvendinančios institucijos atliktos išankstinės pirkimo dokumentų patikros dokumentus (išvadą ar kt. dokumentus).</w:t>
      </w:r>
    </w:p>
    <w:p w14:paraId="6DC1B5A4" w14:textId="77777777" w:rsidR="005524C9" w:rsidRPr="005524C9" w:rsidRDefault="005524C9" w:rsidP="005524C9">
      <w:pPr>
        <w:pStyle w:val="paragraph"/>
        <w:spacing w:before="0" w:beforeAutospacing="0" w:after="0" w:afterAutospacing="0" w:line="276" w:lineRule="auto"/>
        <w:ind w:firstLine="720"/>
        <w:textAlignment w:val="baseline"/>
        <w:rPr>
          <w:rFonts w:ascii="Calibri" w:hAnsi="Calibri" w:cs="Calibri"/>
          <w:lang w:val="lt-LT" w:eastAsia="lt-LT"/>
        </w:rPr>
      </w:pPr>
      <w:r w:rsidRPr="005524C9">
        <w:rPr>
          <w:rFonts w:ascii="Calibri" w:hAnsi="Calibri" w:cs="Calibri"/>
          <w:b/>
          <w:bCs/>
          <w:lang w:val="lt-LT" w:eastAsia="lt-LT"/>
        </w:rPr>
        <w:t>4</w:t>
      </w:r>
      <w:r w:rsidRPr="005524C9">
        <w:rPr>
          <w:rFonts w:ascii="Calibri" w:hAnsi="Calibri" w:cs="Calibri"/>
          <w:lang w:val="lt-LT" w:eastAsia="lt-LT"/>
        </w:rPr>
        <w:t>. Tarnybai atliekant Pirkimų dokumentų prevencinę peržiūrą, aktuali yra numatoma Pirkimų vertė (be PVM), todėl Tarnyba prašo ją nurodyti. Ši informacija nebus skelbiama ir viešinama, nes ji yra reikalinga atliekamos Pirkimų prevencinės peržiūros ir statistikos tikslais.</w:t>
      </w:r>
    </w:p>
    <w:p w14:paraId="44198879" w14:textId="77777777" w:rsidR="005524C9" w:rsidRPr="005524C9" w:rsidRDefault="005524C9" w:rsidP="005524C9">
      <w:pPr>
        <w:pStyle w:val="paragraph"/>
        <w:spacing w:before="0" w:beforeAutospacing="0" w:after="0" w:afterAutospacing="0" w:line="276" w:lineRule="auto"/>
        <w:ind w:firstLine="720"/>
        <w:textAlignment w:val="baseline"/>
        <w:rPr>
          <w:rFonts w:ascii="Calibri" w:hAnsi="Calibri" w:cs="Calibri"/>
          <w:lang w:val="lt-LT" w:eastAsia="lt-LT"/>
        </w:rPr>
      </w:pPr>
      <w:r w:rsidRPr="005524C9">
        <w:rPr>
          <w:rFonts w:ascii="Calibri" w:hAnsi="Calibri" w:cs="Calibri"/>
          <w:lang w:val="lt-LT" w:eastAsia="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Pirkimų dokumentais.</w:t>
      </w:r>
    </w:p>
    <w:p w14:paraId="3F2530AC" w14:textId="5D989F95" w:rsidR="00A0134C" w:rsidRPr="005524C9" w:rsidRDefault="005524C9" w:rsidP="005524C9">
      <w:pPr>
        <w:pStyle w:val="paragraph"/>
        <w:spacing w:before="0" w:beforeAutospacing="0" w:after="0" w:afterAutospacing="0" w:line="276" w:lineRule="auto"/>
        <w:ind w:firstLine="720"/>
        <w:textAlignment w:val="baseline"/>
        <w:rPr>
          <w:rFonts w:ascii="Calibri" w:hAnsi="Calibri" w:cs="Calibri"/>
        </w:rPr>
      </w:pPr>
      <w:r w:rsidRPr="005524C9">
        <w:rPr>
          <w:rFonts w:ascii="Calibri" w:hAnsi="Calibri" w:cs="Calibri"/>
          <w:lang w:val="lt-LT" w:eastAsia="lt-LT"/>
        </w:rPr>
        <w:t>Pažymėtina, kad visais atvejais sprendimą dėl tolimesnio Pirkimų procedūrų vykdymo ar nutraukimo priima pati Perkančioji organizacija, vadovaudamasi Įstatymo 29 straipsnio 3 ir 4 dalių nuostatomis.</w:t>
      </w:r>
    </w:p>
    <w:sectPr w:rsidR="00A0134C" w:rsidRPr="005524C9" w:rsidSect="005524C9">
      <w:headerReference w:type="default" r:id="rId4"/>
      <w:pgSz w:w="11906" w:h="16838" w:code="9"/>
      <w:pgMar w:top="1134" w:right="567" w:bottom="567"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7559"/>
      <w:docPartObj>
        <w:docPartGallery w:val="Page Numbers (Top of Page)"/>
        <w:docPartUnique/>
      </w:docPartObj>
    </w:sdtPr>
    <w:sdtEndPr>
      <w:rPr>
        <w:noProof/>
      </w:rPr>
    </w:sdtEndPr>
    <w:sdtContent>
      <w:p w14:paraId="2A8E78B5" w14:textId="77777777" w:rsidR="005524C9" w:rsidRDefault="005524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B9768B" w14:textId="77777777" w:rsidR="005524C9" w:rsidRDefault="00552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9"/>
    <w:rsid w:val="001B36EE"/>
    <w:rsid w:val="005524C9"/>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86C4"/>
  <w15:chartTrackingRefBased/>
  <w15:docId w15:val="{AE365C62-4AA0-4D4E-899C-912A4F88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C9"/>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5524C9"/>
    <w:pPr>
      <w:keepNext/>
      <w:keepLines/>
      <w:pBdr>
        <w:top w:val="none" w:sz="0" w:space="0" w:color="auto"/>
        <w:left w:val="none" w:sz="0" w:space="0" w:color="auto"/>
        <w:bottom w:val="none" w:sz="0" w:space="0" w:color="auto"/>
        <w:right w:val="none" w:sz="0" w:space="0" w:color="auto"/>
      </w:pBdr>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524C9"/>
    <w:pPr>
      <w:keepNext/>
      <w:keepLines/>
      <w:pBdr>
        <w:top w:val="none" w:sz="0" w:space="0" w:color="auto"/>
        <w:left w:val="none" w:sz="0" w:space="0" w:color="auto"/>
        <w:bottom w:val="none" w:sz="0" w:space="0" w:color="auto"/>
        <w:right w:val="none" w:sz="0" w:space="0" w:color="auto"/>
      </w:pBdr>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524C9"/>
    <w:pPr>
      <w:keepNext/>
      <w:keepLines/>
      <w:pBdr>
        <w:top w:val="none" w:sz="0" w:space="0" w:color="auto"/>
        <w:left w:val="none" w:sz="0" w:space="0" w:color="auto"/>
        <w:bottom w:val="none" w:sz="0" w:space="0" w:color="auto"/>
        <w:right w:val="none" w:sz="0" w:space="0" w:color="auto"/>
      </w:pBdr>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524C9"/>
    <w:pPr>
      <w:keepNext/>
      <w:keepLines/>
      <w:pBdr>
        <w:top w:val="none" w:sz="0" w:space="0" w:color="auto"/>
        <w:left w:val="none" w:sz="0" w:space="0" w:color="auto"/>
        <w:bottom w:val="none" w:sz="0" w:space="0" w:color="auto"/>
        <w:right w:val="none" w:sz="0" w:space="0" w:color="auto"/>
      </w:pBdr>
      <w:spacing w:before="80" w:after="40" w:line="259" w:lineRule="auto"/>
      <w:jc w:val="left"/>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524C9"/>
    <w:pPr>
      <w:keepNext/>
      <w:keepLines/>
      <w:pBdr>
        <w:top w:val="none" w:sz="0" w:space="0" w:color="auto"/>
        <w:left w:val="none" w:sz="0" w:space="0" w:color="auto"/>
        <w:bottom w:val="none" w:sz="0" w:space="0" w:color="auto"/>
        <w:right w:val="none" w:sz="0" w:space="0" w:color="auto"/>
      </w:pBdr>
      <w:spacing w:before="80" w:after="40" w:line="259" w:lineRule="auto"/>
      <w:jc w:val="left"/>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524C9"/>
    <w:pPr>
      <w:keepNext/>
      <w:keepLines/>
      <w:pBdr>
        <w:top w:val="none" w:sz="0" w:space="0" w:color="auto"/>
        <w:left w:val="none" w:sz="0" w:space="0" w:color="auto"/>
        <w:bottom w:val="none" w:sz="0" w:space="0" w:color="auto"/>
        <w:right w:val="none" w:sz="0" w:space="0" w:color="auto"/>
      </w:pBdr>
      <w:spacing w:before="40" w:line="259" w:lineRule="auto"/>
      <w:jc w:val="left"/>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524C9"/>
    <w:pPr>
      <w:keepNext/>
      <w:keepLines/>
      <w:pBdr>
        <w:top w:val="none" w:sz="0" w:space="0" w:color="auto"/>
        <w:left w:val="none" w:sz="0" w:space="0" w:color="auto"/>
        <w:bottom w:val="none" w:sz="0" w:space="0" w:color="auto"/>
        <w:right w:val="none" w:sz="0" w:space="0" w:color="auto"/>
      </w:pBdr>
      <w:spacing w:before="40" w:line="259" w:lineRule="auto"/>
      <w:jc w:val="left"/>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524C9"/>
    <w:pPr>
      <w:keepNext/>
      <w:keepLines/>
      <w:pBdr>
        <w:top w:val="none" w:sz="0" w:space="0" w:color="auto"/>
        <w:left w:val="none" w:sz="0" w:space="0" w:color="auto"/>
        <w:bottom w:val="none" w:sz="0" w:space="0" w:color="auto"/>
        <w:right w:val="none" w:sz="0" w:space="0" w:color="auto"/>
      </w:pBdr>
      <w:spacing w:line="259" w:lineRule="auto"/>
      <w:jc w:val="left"/>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524C9"/>
    <w:pPr>
      <w:keepNext/>
      <w:keepLines/>
      <w:pBdr>
        <w:top w:val="none" w:sz="0" w:space="0" w:color="auto"/>
        <w:left w:val="none" w:sz="0" w:space="0" w:color="auto"/>
        <w:bottom w:val="none" w:sz="0" w:space="0" w:color="auto"/>
        <w:right w:val="none" w:sz="0" w:space="0" w:color="auto"/>
      </w:pBdr>
      <w:spacing w:line="259" w:lineRule="auto"/>
      <w:jc w:val="left"/>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C9"/>
    <w:rPr>
      <w:rFonts w:eastAsiaTheme="majorEastAsia" w:cstheme="majorBidi"/>
      <w:color w:val="272727" w:themeColor="text1" w:themeTint="D8"/>
    </w:rPr>
  </w:style>
  <w:style w:type="paragraph" w:styleId="Title">
    <w:name w:val="Title"/>
    <w:basedOn w:val="Normal"/>
    <w:next w:val="Normal"/>
    <w:link w:val="TitleChar"/>
    <w:uiPriority w:val="10"/>
    <w:qFormat/>
    <w:rsid w:val="005524C9"/>
    <w:pPr>
      <w:pBdr>
        <w:top w:val="none" w:sz="0" w:space="0" w:color="auto"/>
        <w:left w:val="none" w:sz="0" w:space="0" w:color="auto"/>
        <w:bottom w:val="none" w:sz="0" w:space="0" w:color="auto"/>
        <w:right w:val="none" w:sz="0" w:space="0" w:color="auto"/>
      </w:pBd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52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C9"/>
    <w:pPr>
      <w:numPr>
        <w:ilvl w:val="1"/>
      </w:numPr>
      <w:pBdr>
        <w:top w:val="none" w:sz="0" w:space="0" w:color="auto"/>
        <w:left w:val="none" w:sz="0" w:space="0" w:color="auto"/>
        <w:bottom w:val="none" w:sz="0" w:space="0" w:color="auto"/>
        <w:right w:val="none" w:sz="0" w:space="0" w:color="auto"/>
      </w:pBdr>
      <w:spacing w:after="160" w:line="259"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52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C9"/>
    <w:pPr>
      <w:pBdr>
        <w:top w:val="none" w:sz="0" w:space="0" w:color="auto"/>
        <w:left w:val="none" w:sz="0" w:space="0" w:color="auto"/>
        <w:bottom w:val="none" w:sz="0" w:space="0" w:color="auto"/>
        <w:right w:val="none" w:sz="0" w:space="0" w:color="auto"/>
      </w:pBd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524C9"/>
    <w:rPr>
      <w:i/>
      <w:iCs/>
      <w:color w:val="404040" w:themeColor="text1" w:themeTint="BF"/>
    </w:rPr>
  </w:style>
  <w:style w:type="paragraph" w:styleId="ListParagraph">
    <w:name w:val="List Paragraph"/>
    <w:basedOn w:val="Normal"/>
    <w:uiPriority w:val="34"/>
    <w:qFormat/>
    <w:rsid w:val="005524C9"/>
    <w:pPr>
      <w:pBdr>
        <w:top w:val="none" w:sz="0" w:space="0" w:color="auto"/>
        <w:left w:val="none" w:sz="0" w:space="0" w:color="auto"/>
        <w:bottom w:val="none" w:sz="0" w:space="0" w:color="auto"/>
        <w:right w:val="none" w:sz="0" w:space="0" w:color="auto"/>
      </w:pBdr>
      <w:spacing w:after="160" w:line="259" w:lineRule="auto"/>
      <w:ind w:left="720"/>
      <w:contextualSpacing/>
      <w:jc w:val="left"/>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5524C9"/>
    <w:rPr>
      <w:i/>
      <w:iCs/>
      <w:color w:val="0F4761" w:themeColor="accent1" w:themeShade="BF"/>
    </w:rPr>
  </w:style>
  <w:style w:type="paragraph" w:styleId="IntenseQuote">
    <w:name w:val="Intense Quote"/>
    <w:basedOn w:val="Normal"/>
    <w:next w:val="Normal"/>
    <w:link w:val="IntenseQuoteChar"/>
    <w:uiPriority w:val="30"/>
    <w:qFormat/>
    <w:rsid w:val="005524C9"/>
    <w:pPr>
      <w:pBdr>
        <w:top w:val="single" w:sz="4" w:space="10" w:color="0F4761" w:themeColor="accent1" w:themeShade="BF"/>
        <w:left w:val="none" w:sz="0" w:space="0" w:color="auto"/>
        <w:bottom w:val="single" w:sz="4" w:space="10" w:color="0F4761" w:themeColor="accent1" w:themeShade="BF"/>
        <w:right w:val="none" w:sz="0" w:space="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524C9"/>
    <w:rPr>
      <w:i/>
      <w:iCs/>
      <w:color w:val="0F4761" w:themeColor="accent1" w:themeShade="BF"/>
    </w:rPr>
  </w:style>
  <w:style w:type="character" w:styleId="IntenseReference">
    <w:name w:val="Intense Reference"/>
    <w:basedOn w:val="DefaultParagraphFont"/>
    <w:uiPriority w:val="32"/>
    <w:qFormat/>
    <w:rsid w:val="005524C9"/>
    <w:rPr>
      <w:b/>
      <w:bCs/>
      <w:smallCaps/>
      <w:color w:val="0F4761" w:themeColor="accent1" w:themeShade="BF"/>
      <w:spacing w:val="5"/>
    </w:rPr>
  </w:style>
  <w:style w:type="paragraph" w:customStyle="1" w:styleId="paragraph">
    <w:name w:val="paragraph"/>
    <w:basedOn w:val="Normal"/>
    <w:rsid w:val="005524C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5524C9"/>
  </w:style>
  <w:style w:type="character" w:styleId="Hyperlink">
    <w:name w:val="Hyperlink"/>
    <w:basedOn w:val="DefaultParagraphFont"/>
    <w:uiPriority w:val="99"/>
    <w:unhideWhenUsed/>
    <w:rsid w:val="005524C9"/>
    <w:rPr>
      <w:color w:val="467886" w:themeColor="hyperlink"/>
      <w:u w:val="single"/>
    </w:rPr>
  </w:style>
  <w:style w:type="paragraph" w:styleId="Header">
    <w:name w:val="header"/>
    <w:basedOn w:val="Normal"/>
    <w:link w:val="HeaderChar"/>
    <w:uiPriority w:val="99"/>
    <w:unhideWhenUsed/>
    <w:rsid w:val="005524C9"/>
    <w:pPr>
      <w:tabs>
        <w:tab w:val="center" w:pos="4513"/>
        <w:tab w:val="right" w:pos="9026"/>
      </w:tabs>
    </w:pPr>
  </w:style>
  <w:style w:type="character" w:customStyle="1" w:styleId="HeaderChar">
    <w:name w:val="Header Char"/>
    <w:basedOn w:val="DefaultParagraphFont"/>
    <w:link w:val="Header"/>
    <w:uiPriority w:val="99"/>
    <w:rsid w:val="005524C9"/>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2025-04-11T12:00:00Z</dcterms:created>
  <dcterms:modified xsi:type="dcterms:W3CDTF">2025-04-11T12:02:00Z</dcterms:modified>
</cp:coreProperties>
</file>