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59B1" w14:textId="77777777" w:rsidR="00490BF7" w:rsidRPr="00252454" w:rsidRDefault="00490BF7" w:rsidP="00490BF7">
      <w:pPr>
        <w:pStyle w:val="paragraph"/>
        <w:tabs>
          <w:tab w:val="left" w:pos="1134"/>
        </w:tabs>
        <w:spacing w:before="0" w:beforeAutospacing="0" w:after="0" w:afterAutospacing="0" w:line="276" w:lineRule="auto"/>
        <w:ind w:firstLine="720"/>
        <w:textAlignment w:val="baseline"/>
        <w:rPr>
          <w:rStyle w:val="normaltextrun"/>
          <w:rFonts w:ascii="Calibri" w:eastAsia="Calibri" w:hAnsi="Calibri" w:cs="Calibri"/>
          <w:lang w:val="lt-LT"/>
        </w:rPr>
      </w:pPr>
      <w:r w:rsidRPr="00252454">
        <w:rPr>
          <w:rStyle w:val="normaltextrun"/>
          <w:rFonts w:ascii="Calibri" w:eastAsia="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B65B6B7" w14:textId="77777777" w:rsidR="00490BF7" w:rsidRPr="00252454" w:rsidRDefault="00490BF7" w:rsidP="00490BF7">
      <w:pPr>
        <w:pStyle w:val="paragraph"/>
        <w:tabs>
          <w:tab w:val="left" w:pos="1134"/>
        </w:tabs>
        <w:spacing w:before="0" w:beforeAutospacing="0" w:after="0" w:afterAutospacing="0" w:line="276" w:lineRule="auto"/>
        <w:ind w:firstLine="720"/>
        <w:textAlignment w:val="baseline"/>
        <w:rPr>
          <w:rFonts w:ascii="Calibri" w:eastAsia="Calibri" w:hAnsi="Calibri" w:cs="Calibri"/>
          <w:lang w:val="lt-LT"/>
        </w:rPr>
      </w:pPr>
      <w:r w:rsidRPr="00252454">
        <w:rPr>
          <w:rStyle w:val="normaltextrun"/>
          <w:rFonts w:ascii="Calibri" w:eastAsia="Calibri" w:hAnsi="Calibri" w:cs="Calibri"/>
          <w:lang w:val="lt-LT"/>
        </w:rPr>
        <w:t xml:space="preserve">Vadovaujantis Tarnybai Įstatyme nustatyta pažeidimų prevencijos funkcija, šiuo metu atliekama </w:t>
      </w:r>
      <w:r w:rsidRPr="00252454">
        <w:rPr>
          <w:rStyle w:val="normaltextrun"/>
          <w:rFonts w:ascii="Calibri" w:eastAsia="Calibri" w:hAnsi="Calibri" w:cs="Calibri"/>
          <w:b/>
          <w:bCs/>
          <w:lang w:val="lt-LT"/>
        </w:rPr>
        <w:t>Uždarosios akcinės bendrovės „Vilniaus vystymo kompanija“</w:t>
      </w:r>
      <w:r w:rsidRPr="00252454">
        <w:rPr>
          <w:rStyle w:val="normaltextrun"/>
          <w:rFonts w:ascii="Calibri" w:eastAsia="Calibri" w:hAnsi="Calibri" w:cs="Calibri"/>
          <w:lang w:val="lt-LT"/>
        </w:rPr>
        <w:t xml:space="preserve"> </w:t>
      </w:r>
      <w:r w:rsidRPr="00252454">
        <w:rPr>
          <w:rFonts w:ascii="Calibri" w:eastAsia="Calibri" w:hAnsi="Calibri" w:cs="Calibri"/>
          <w:lang w:val="lt-LT"/>
        </w:rPr>
        <w:t xml:space="preserve">(toliau – Perkančioji organizacija) vykdomo pirkimo </w:t>
      </w:r>
      <w:r w:rsidRPr="00252454">
        <w:rPr>
          <w:rFonts w:ascii="Calibri" w:eastAsia="Calibri" w:hAnsi="Calibri" w:cs="Calibri"/>
          <w:b/>
          <w:bCs/>
          <w:lang w:val="lt-LT"/>
        </w:rPr>
        <w:t>Nr. 2044587 „Būsto (buto) paprastojo remonto darbų, pritaikant butą asmeniui su judėjimo negalia pirkimas (Medaus g. 9 ir Gabijos g. 23)“</w:t>
      </w:r>
      <w:r w:rsidRPr="00252454">
        <w:rPr>
          <w:rFonts w:ascii="Calibri" w:eastAsia="Calibri" w:hAnsi="Calibri" w:cs="Calibri"/>
          <w:lang w:val="lt-LT"/>
        </w:rPr>
        <w:t xml:space="preserve"> (toliau – Pirkimas) dokumentų atitikties Įstatymui ir jį įgyvendinantiems teisės aktams peržiūra (peržiūra prevenciniais tikslais atliekama tam tikra apimtimi).</w:t>
      </w:r>
    </w:p>
    <w:p w14:paraId="481F5509" w14:textId="77777777" w:rsidR="00490BF7" w:rsidRPr="00252454" w:rsidRDefault="00490BF7" w:rsidP="00490BF7">
      <w:pPr>
        <w:pStyle w:val="paragraph"/>
        <w:tabs>
          <w:tab w:val="left" w:pos="1134"/>
        </w:tabs>
        <w:spacing w:before="0" w:beforeAutospacing="0" w:after="0" w:afterAutospacing="0" w:line="276" w:lineRule="auto"/>
        <w:ind w:firstLine="720"/>
        <w:textAlignment w:val="baseline"/>
        <w:rPr>
          <w:rStyle w:val="normaltextrun"/>
          <w:rFonts w:ascii="Calibri" w:eastAsia="Calibri" w:hAnsi="Calibri" w:cs="Calibri"/>
          <w:lang w:val="lt-LT"/>
        </w:rPr>
      </w:pPr>
      <w:r w:rsidRPr="00252454">
        <w:rPr>
          <w:rStyle w:val="normaltextrun"/>
          <w:rFonts w:ascii="Calibri" w:eastAsia="Calibri" w:hAnsi="Calibri" w:cs="Calibri"/>
          <w:lang w:val="lt-LT"/>
        </w:rPr>
        <w:t>Tarnyba, prevencine tvarka peržiūrėjusi Pirkimo dokumentus, teikia rekomendaciją dėl Pirkimo dokumentų nuostatų.</w:t>
      </w:r>
    </w:p>
    <w:p w14:paraId="369C7990" w14:textId="77777777" w:rsidR="00490BF7" w:rsidRPr="00252454" w:rsidRDefault="00490BF7" w:rsidP="00490BF7">
      <w:pPr>
        <w:pStyle w:val="ListParagraph"/>
        <w:numPr>
          <w:ilvl w:val="0"/>
          <w:numId w:val="1"/>
        </w:numPr>
        <w:tabs>
          <w:tab w:val="left" w:pos="1134"/>
        </w:tabs>
        <w:spacing w:after="0" w:line="276" w:lineRule="auto"/>
        <w:ind w:left="0" w:firstLine="720"/>
        <w:rPr>
          <w:rFonts w:ascii="Calibri" w:hAnsi="Calibri" w:cs="Calibri"/>
          <w:b/>
          <w:bCs/>
          <w:sz w:val="24"/>
          <w:szCs w:val="24"/>
          <w:lang w:val="lt-LT"/>
        </w:rPr>
      </w:pPr>
      <w:r w:rsidRPr="00252454">
        <w:rPr>
          <w:rStyle w:val="normaltextrun"/>
          <w:rFonts w:ascii="Calibri" w:eastAsiaTheme="majorEastAsia" w:hAnsi="Calibri" w:cs="Calibri"/>
          <w:b/>
          <w:bCs/>
          <w:sz w:val="24"/>
          <w:szCs w:val="24"/>
          <w:lang w:val="lt-LT"/>
        </w:rPr>
        <w:t>Dėl Sutarties termino</w:t>
      </w:r>
    </w:p>
    <w:p w14:paraId="2BF057EA" w14:textId="77777777" w:rsidR="00490BF7" w:rsidRPr="00B90751" w:rsidRDefault="00490BF7" w:rsidP="00490BF7">
      <w:pPr>
        <w:pStyle w:val="paragraph"/>
        <w:spacing w:before="0" w:beforeAutospacing="0" w:after="0" w:afterAutospacing="0" w:line="276" w:lineRule="auto"/>
        <w:ind w:firstLine="720"/>
        <w:textAlignment w:val="baseline"/>
        <w:rPr>
          <w:rFonts w:ascii="Calibri" w:hAnsi="Calibri" w:cs="Calibri"/>
          <w:lang w:val="lt-LT"/>
        </w:rPr>
      </w:pPr>
      <w:r w:rsidRPr="00252454">
        <w:rPr>
          <w:rStyle w:val="normaltextrun"/>
          <w:rFonts w:ascii="Calibri" w:eastAsiaTheme="majorEastAsia" w:hAnsi="Calibri" w:cs="Calibri"/>
          <w:lang w:val="lt-LT"/>
        </w:rPr>
        <w:t>Skelbimo apie pirkimą 5.1.3 punkt</w:t>
      </w:r>
      <w:r>
        <w:rPr>
          <w:rStyle w:val="normaltextrun"/>
          <w:rFonts w:ascii="Calibri" w:eastAsiaTheme="majorEastAsia" w:hAnsi="Calibri" w:cs="Calibri"/>
          <w:lang w:val="lt-LT"/>
        </w:rPr>
        <w:t>uos</w:t>
      </w:r>
      <w:r w:rsidRPr="00252454">
        <w:rPr>
          <w:rStyle w:val="normaltextrun"/>
          <w:rFonts w:ascii="Calibri" w:eastAsiaTheme="majorEastAsia" w:hAnsi="Calibri" w:cs="Calibri"/>
          <w:lang w:val="lt-LT"/>
        </w:rPr>
        <w:t xml:space="preserve">e „Numatomas </w:t>
      </w:r>
      <w:r w:rsidRPr="00252454">
        <w:rPr>
          <w:rStyle w:val="findhit"/>
          <w:rFonts w:ascii="Calibri" w:eastAsiaTheme="majorEastAsia" w:hAnsi="Calibri" w:cs="Calibri"/>
          <w:lang w:val="lt-LT"/>
        </w:rPr>
        <w:t>galiojim</w:t>
      </w:r>
      <w:r w:rsidRPr="00252454">
        <w:rPr>
          <w:rStyle w:val="normaltextrun"/>
          <w:rFonts w:ascii="Calibri" w:eastAsiaTheme="majorEastAsia" w:hAnsi="Calibri" w:cs="Calibri"/>
          <w:lang w:val="lt-LT"/>
        </w:rPr>
        <w:t xml:space="preserve">as” nurodyta, jog </w:t>
      </w:r>
      <w:r w:rsidRPr="00252454">
        <w:rPr>
          <w:rStyle w:val="normaltextrun"/>
          <w:rFonts w:ascii="Calibri" w:eastAsiaTheme="majorEastAsia" w:hAnsi="Calibri" w:cs="Calibri"/>
          <w:b/>
          <w:bCs/>
          <w:lang w:val="lt-LT"/>
        </w:rPr>
        <w:t xml:space="preserve">sutarties trukmė – </w:t>
      </w:r>
      <w:r>
        <w:rPr>
          <w:rStyle w:val="normaltextrun"/>
          <w:rFonts w:ascii="Calibri" w:eastAsiaTheme="majorEastAsia" w:hAnsi="Calibri" w:cs="Calibri"/>
          <w:b/>
          <w:bCs/>
          <w:lang w:val="lt-LT"/>
        </w:rPr>
        <w:t>4</w:t>
      </w:r>
      <w:r w:rsidRPr="00252454">
        <w:rPr>
          <w:rStyle w:val="normaltextrun"/>
          <w:rFonts w:ascii="Calibri" w:eastAsiaTheme="majorEastAsia" w:hAnsi="Calibri" w:cs="Calibri"/>
          <w:b/>
          <w:bCs/>
          <w:lang w:val="lt-LT"/>
        </w:rPr>
        <w:t xml:space="preserve"> mėnesiai</w:t>
      </w:r>
      <w:r w:rsidRPr="00252454">
        <w:rPr>
          <w:rStyle w:val="normaltextrun"/>
          <w:rFonts w:ascii="Calibri" w:eastAsiaTheme="majorEastAsia" w:hAnsi="Calibri" w:cs="Calibri"/>
          <w:lang w:val="lt-LT"/>
        </w:rPr>
        <w:t>.</w:t>
      </w:r>
      <w:r w:rsidRPr="00B90751">
        <w:rPr>
          <w:rStyle w:val="eop"/>
          <w:rFonts w:ascii="Calibri" w:eastAsiaTheme="majorEastAsia" w:hAnsi="Calibri" w:cs="Calibri"/>
          <w:lang w:val="lt-LT"/>
        </w:rPr>
        <w:t> </w:t>
      </w:r>
    </w:p>
    <w:p w14:paraId="3E69743D" w14:textId="77777777" w:rsidR="00490BF7" w:rsidRPr="00192511" w:rsidRDefault="00490BF7" w:rsidP="00490BF7">
      <w:pPr>
        <w:pStyle w:val="paragraph"/>
        <w:spacing w:before="0" w:beforeAutospacing="0" w:after="0" w:afterAutospacing="0" w:line="276" w:lineRule="auto"/>
        <w:ind w:firstLine="720"/>
        <w:textAlignment w:val="baseline"/>
        <w:rPr>
          <w:rFonts w:ascii="Calibri" w:hAnsi="Calibri" w:cs="Calibri"/>
          <w:lang w:val="lt-LT"/>
        </w:rPr>
      </w:pPr>
      <w:r>
        <w:rPr>
          <w:rStyle w:val="normaltextrun"/>
          <w:rFonts w:ascii="Calibri" w:eastAsiaTheme="majorEastAsia" w:hAnsi="Calibri" w:cs="Calibri"/>
          <w:lang w:val="lt-LT"/>
        </w:rPr>
        <w:t>Sutarties projekto (Pirkimo Specialiųjų sąlygų 5 priedas) 4.1</w:t>
      </w:r>
      <w:r w:rsidRPr="00252454">
        <w:rPr>
          <w:rStyle w:val="normaltextrun"/>
          <w:rFonts w:ascii="Calibri" w:eastAsiaTheme="majorEastAsia" w:hAnsi="Calibri" w:cs="Calibri"/>
          <w:lang w:val="lt-LT"/>
        </w:rPr>
        <w:t xml:space="preserve"> punkte nurodyta, kad „</w:t>
      </w:r>
      <w:r w:rsidRPr="0044259D">
        <w:rPr>
          <w:rStyle w:val="normaltextrun"/>
          <w:rFonts w:ascii="Calibri" w:eastAsiaTheme="majorEastAsia" w:hAnsi="Calibri" w:cs="Calibri"/>
          <w:b/>
          <w:bCs/>
          <w:lang w:val="lt-LT"/>
        </w:rPr>
        <w:t>Darbų atlikimo terminas</w:t>
      </w:r>
      <w:r>
        <w:rPr>
          <w:rStyle w:val="normaltextrun"/>
          <w:rFonts w:ascii="Calibri" w:eastAsiaTheme="majorEastAsia" w:hAnsi="Calibri" w:cs="Calibri"/>
          <w:lang w:val="lt-LT"/>
        </w:rPr>
        <w:t xml:space="preserve"> yra ne daugiau kaip </w:t>
      </w:r>
      <w:r w:rsidRPr="002725B2">
        <w:rPr>
          <w:rStyle w:val="normaltextrun"/>
          <w:rFonts w:ascii="Calibri" w:eastAsiaTheme="majorEastAsia" w:hAnsi="Calibri" w:cs="Calibri"/>
          <w:b/>
          <w:bCs/>
          <w:lang w:val="lt-LT"/>
        </w:rPr>
        <w:t>150 (vienas šimtas penkiasdešimt) kalendorinių dienų</w:t>
      </w:r>
      <w:r>
        <w:rPr>
          <w:rStyle w:val="normaltextrun"/>
          <w:rFonts w:ascii="Calibri" w:eastAsiaTheme="majorEastAsia" w:hAnsi="Calibri" w:cs="Calibri"/>
          <w:lang w:val="lt-LT"/>
        </w:rPr>
        <w:t xml:space="preserve"> nuo Sutarties įsigaliojimo dienos. &lt;...&gt;“, 4.3 punkte – „Darbų atlikimo termino pratęsimas nėra numatytas“. </w:t>
      </w:r>
      <w:r w:rsidRPr="00252454">
        <w:rPr>
          <w:rStyle w:val="normaltextrun"/>
          <w:rFonts w:ascii="Calibri" w:eastAsiaTheme="majorEastAsia" w:hAnsi="Calibri" w:cs="Calibri"/>
          <w:lang w:val="lt-LT"/>
        </w:rPr>
        <w:t xml:space="preserve">Sutarties projekto </w:t>
      </w:r>
      <w:r>
        <w:rPr>
          <w:rStyle w:val="normaltextrun"/>
          <w:rFonts w:ascii="Calibri" w:eastAsiaTheme="majorEastAsia" w:hAnsi="Calibri" w:cs="Calibri"/>
          <w:lang w:val="lt-LT"/>
        </w:rPr>
        <w:t>10.3 punkte nustatyta, kad „</w:t>
      </w:r>
      <w:r w:rsidRPr="00957C7C">
        <w:rPr>
          <w:rFonts w:ascii="Calibri" w:hAnsi="Calibri" w:cs="Calibri"/>
          <w:lang w:val="lt-LT"/>
        </w:rPr>
        <w:t xml:space="preserve">Užsakovas už faktiškai atliktus Darbus ar jų dalį </w:t>
      </w:r>
      <w:r w:rsidRPr="00AA1074">
        <w:rPr>
          <w:rFonts w:ascii="Calibri" w:hAnsi="Calibri" w:cs="Calibri"/>
          <w:b/>
          <w:bCs/>
          <w:lang w:val="lt-LT"/>
        </w:rPr>
        <w:t>atsiskaito</w:t>
      </w:r>
      <w:r w:rsidRPr="00957C7C">
        <w:rPr>
          <w:rFonts w:ascii="Calibri" w:hAnsi="Calibri" w:cs="Calibri"/>
          <w:lang w:val="lt-LT"/>
        </w:rPr>
        <w:t xml:space="preserve"> su Rangovu </w:t>
      </w:r>
      <w:r w:rsidRPr="00957C7C">
        <w:rPr>
          <w:rFonts w:ascii="Calibri" w:hAnsi="Calibri" w:cs="Calibri"/>
          <w:b/>
          <w:bCs/>
          <w:lang w:val="lt-LT"/>
        </w:rPr>
        <w:t>per 30 (trisdešimt) dienų</w:t>
      </w:r>
      <w:r w:rsidRPr="00957C7C">
        <w:rPr>
          <w:rFonts w:ascii="Calibri" w:hAnsi="Calibri" w:cs="Calibri"/>
          <w:lang w:val="lt-LT"/>
        </w:rPr>
        <w:t xml:space="preserve"> nuo Sutarties nustatyta tvarka patvirtinto Atliktų </w:t>
      </w:r>
      <w:r w:rsidRPr="00192511">
        <w:rPr>
          <w:rFonts w:ascii="Calibri" w:hAnsi="Calibri" w:cs="Calibri"/>
          <w:lang w:val="lt-LT"/>
        </w:rPr>
        <w:t>darbų akto ir atliktų Darbų ir išlaidų apmokėjimo pažymos pagrindu išrašytos sąskaitos faktūros gavimo dienos. &lt;...&gt;“</w:t>
      </w:r>
      <w:bookmarkStart w:id="0" w:name="_Hlk501707089"/>
      <w:r w:rsidRPr="00192511">
        <w:rPr>
          <w:rFonts w:ascii="Calibri" w:hAnsi="Calibri" w:cs="Calibri"/>
          <w:lang w:val="lt-LT"/>
        </w:rPr>
        <w:t xml:space="preserve">, 10.5 punkte – </w:t>
      </w:r>
      <w:r>
        <w:rPr>
          <w:rFonts w:ascii="Calibri" w:hAnsi="Calibri" w:cs="Calibri"/>
          <w:lang w:val="lt-LT"/>
        </w:rPr>
        <w:t>„</w:t>
      </w:r>
      <w:r w:rsidRPr="00192511">
        <w:rPr>
          <w:rFonts w:ascii="Calibri" w:hAnsi="Calibri" w:cs="Calibri"/>
          <w:lang w:val="lt-LT"/>
        </w:rPr>
        <w:t xml:space="preserve">Tais atvejais, kai yra objektyviai pagrįsta, sąskaitos faktūros apmokėjimas gali būti atidedamas, bet </w:t>
      </w:r>
      <w:r w:rsidRPr="00192511">
        <w:rPr>
          <w:rFonts w:ascii="Calibri" w:hAnsi="Calibri" w:cs="Calibri"/>
          <w:b/>
          <w:bCs/>
          <w:lang w:val="lt-LT"/>
        </w:rPr>
        <w:t xml:space="preserve">ne ilgiau kaip 60 </w:t>
      </w:r>
      <w:r w:rsidRPr="00192511">
        <w:rPr>
          <w:rFonts w:ascii="Calibri" w:eastAsia="Cambria" w:hAnsi="Calibri" w:cs="Calibri"/>
          <w:b/>
          <w:bCs/>
          <w:lang w:val="lt-LT"/>
        </w:rPr>
        <w:t>(šešiasdešimt)</w:t>
      </w:r>
      <w:r w:rsidRPr="00192511">
        <w:rPr>
          <w:rFonts w:ascii="Calibri" w:hAnsi="Calibri" w:cs="Calibri"/>
          <w:b/>
          <w:bCs/>
          <w:lang w:val="lt-LT"/>
        </w:rPr>
        <w:t xml:space="preserve"> dienų</w:t>
      </w:r>
      <w:r w:rsidRPr="00192511">
        <w:rPr>
          <w:rFonts w:ascii="Calibri" w:hAnsi="Calibri" w:cs="Calibri"/>
          <w:lang w:val="lt-LT"/>
        </w:rPr>
        <w:t xml:space="preserve">, </w:t>
      </w:r>
      <w:r w:rsidRPr="00192511">
        <w:rPr>
          <w:rFonts w:ascii="Calibri" w:eastAsia="Cambria" w:hAnsi="Calibri" w:cs="Calibri"/>
          <w:lang w:val="lt-LT"/>
        </w:rPr>
        <w:t>skaičiuojant nuo</w:t>
      </w:r>
      <w:r w:rsidRPr="00192511">
        <w:rPr>
          <w:rFonts w:ascii="Calibri" w:hAnsi="Calibri" w:cs="Calibri"/>
          <w:lang w:val="lt-LT"/>
        </w:rPr>
        <w:t xml:space="preserve"> atitinkamo </w:t>
      </w:r>
      <w:r w:rsidRPr="00192511">
        <w:rPr>
          <w:rFonts w:ascii="Calibri" w:eastAsia="Cambria" w:hAnsi="Calibri" w:cs="Calibri"/>
          <w:lang w:val="lt-LT"/>
        </w:rPr>
        <w:t>Atliktų darbų akto ir atliktų Darbų ir išlaidų apmokėjimo pažymos patvirtinimo dienos</w:t>
      </w:r>
      <w:r>
        <w:rPr>
          <w:rFonts w:ascii="Calibri" w:eastAsia="Cambria" w:hAnsi="Calibri" w:cs="Calibri"/>
          <w:lang w:val="lt-LT"/>
        </w:rPr>
        <w:t>“</w:t>
      </w:r>
      <w:r w:rsidRPr="00192511">
        <w:rPr>
          <w:rFonts w:ascii="Calibri" w:hAnsi="Calibri" w:cs="Calibri"/>
          <w:lang w:val="lt-LT"/>
        </w:rPr>
        <w:t>.</w:t>
      </w:r>
    </w:p>
    <w:bookmarkEnd w:id="0"/>
    <w:p w14:paraId="6E9D25E5" w14:textId="77777777" w:rsidR="00490BF7" w:rsidRPr="00252454" w:rsidRDefault="00490BF7" w:rsidP="00490BF7">
      <w:pPr>
        <w:pStyle w:val="paragraph"/>
        <w:spacing w:before="0" w:beforeAutospacing="0" w:after="0" w:afterAutospacing="0" w:line="276" w:lineRule="auto"/>
        <w:ind w:firstLine="720"/>
        <w:textAlignment w:val="baseline"/>
        <w:rPr>
          <w:rFonts w:ascii="Calibri" w:hAnsi="Calibri" w:cs="Calibri"/>
          <w:lang w:val="lt-LT"/>
        </w:rPr>
      </w:pPr>
      <w:r w:rsidRPr="00252454">
        <w:rPr>
          <w:rStyle w:val="normaltextrun"/>
          <w:rFonts w:ascii="Calibri" w:eastAsiaTheme="majorEastAsia" w:hAnsi="Calibri" w:cs="Calibri"/>
          <w:lang w:val="lt-LT"/>
        </w:rPr>
        <w:t xml:space="preserve">Šiuo atveju, pildant skelbimo apie pirkimą </w:t>
      </w:r>
      <w:r>
        <w:rPr>
          <w:rStyle w:val="normaltextrun"/>
          <w:rFonts w:ascii="Calibri" w:eastAsiaTheme="majorEastAsia" w:hAnsi="Calibri" w:cs="Calibri"/>
          <w:lang w:val="lt-LT"/>
        </w:rPr>
        <w:t xml:space="preserve">5.1.3 punktus </w:t>
      </w:r>
      <w:r w:rsidRPr="00252454">
        <w:rPr>
          <w:rStyle w:val="normaltextrun"/>
          <w:rFonts w:ascii="Calibri" w:eastAsiaTheme="majorEastAsia" w:hAnsi="Calibri" w:cs="Calibri"/>
          <w:lang w:val="lt-LT"/>
        </w:rPr>
        <w:t xml:space="preserve">„Numatomas </w:t>
      </w:r>
      <w:r w:rsidRPr="00252454">
        <w:rPr>
          <w:rStyle w:val="findhit"/>
          <w:rFonts w:ascii="Calibri" w:eastAsiaTheme="majorEastAsia" w:hAnsi="Calibri" w:cs="Calibri"/>
          <w:lang w:val="lt-LT"/>
        </w:rPr>
        <w:t>galiojim</w:t>
      </w:r>
      <w:r w:rsidRPr="00252454">
        <w:rPr>
          <w:rStyle w:val="normaltextrun"/>
          <w:rFonts w:ascii="Calibri" w:eastAsiaTheme="majorEastAsia" w:hAnsi="Calibri" w:cs="Calibri"/>
          <w:lang w:val="lt-LT"/>
        </w:rPr>
        <w:t>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r w:rsidRPr="00252454">
        <w:rPr>
          <w:rStyle w:val="eop"/>
          <w:rFonts w:ascii="Calibri" w:eastAsiaTheme="majorEastAsia" w:hAnsi="Calibri" w:cs="Calibri"/>
          <w:lang w:val="lt-LT"/>
        </w:rPr>
        <w:t> </w:t>
      </w:r>
    </w:p>
    <w:p w14:paraId="1DC3A4F3" w14:textId="77777777" w:rsidR="00490BF7" w:rsidRPr="00826373" w:rsidRDefault="00490BF7" w:rsidP="00490BF7">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252454">
        <w:rPr>
          <w:rStyle w:val="normaltextrun"/>
          <w:rFonts w:ascii="Calibri" w:eastAsiaTheme="majorEastAsia" w:hAnsi="Calibri" w:cs="Calibri"/>
          <w:lang w:val="lt-LT"/>
        </w:rPr>
        <w:t>Atsižvelgiant į tai, Tarnyba rekomenduoja tikslinti skelbimo apie pirkimą 5.1.3 punkt</w:t>
      </w:r>
      <w:r>
        <w:rPr>
          <w:rStyle w:val="normaltextrun"/>
          <w:rFonts w:ascii="Calibri" w:eastAsiaTheme="majorEastAsia" w:hAnsi="Calibri" w:cs="Calibri"/>
          <w:lang w:val="lt-LT"/>
        </w:rPr>
        <w:t>us</w:t>
      </w:r>
      <w:r w:rsidRPr="00252454">
        <w:rPr>
          <w:rStyle w:val="normaltextrun"/>
          <w:rFonts w:ascii="Calibri" w:eastAsiaTheme="majorEastAsia" w:hAnsi="Calibri" w:cs="Calibri"/>
          <w:lang w:val="lt-LT"/>
        </w:rPr>
        <w:t xml:space="preserve">, į sutarties trukmę įskaičiuojant darbų atlikimo terminą ir apmokėjimo terminą bei kitų </w:t>
      </w:r>
      <w:r w:rsidRPr="00826373">
        <w:rPr>
          <w:rStyle w:val="normaltextrun"/>
          <w:rFonts w:ascii="Calibri" w:eastAsiaTheme="majorEastAsia" w:hAnsi="Calibri" w:cs="Calibri"/>
          <w:lang w:val="lt-LT"/>
        </w:rPr>
        <w:t>įsipareigojimų, jei jie nustatyti, terminus.</w:t>
      </w:r>
    </w:p>
    <w:p w14:paraId="759BC156" w14:textId="77777777" w:rsidR="00490BF7" w:rsidRPr="00252454" w:rsidRDefault="00490BF7" w:rsidP="00490BF7">
      <w:pPr>
        <w:pStyle w:val="paragraph"/>
        <w:spacing w:before="0" w:beforeAutospacing="0" w:after="0" w:afterAutospacing="0" w:line="276" w:lineRule="auto"/>
        <w:ind w:firstLine="720"/>
        <w:textAlignment w:val="baseline"/>
        <w:rPr>
          <w:rFonts w:ascii="Calibri" w:hAnsi="Calibri" w:cs="Calibri"/>
          <w:lang w:val="lt-LT"/>
        </w:rPr>
      </w:pPr>
      <w:r w:rsidRPr="00826373">
        <w:rPr>
          <w:rFonts w:ascii="Calibri" w:hAnsi="Calibri" w:cs="Calibri"/>
          <w:lang w:val="lt-LT"/>
        </w:rPr>
        <w:t xml:space="preserve">Taip pat atkreiptinas dėmesys į Sutarties projekto 10.5 punkte nustatytą 60 dienų atsiskaitymo už atliktus darbus terminą. Pažymėtina, kad mokėjimo laikotarpiai (atsiskaitymo terminai) turi atitikti </w:t>
      </w:r>
      <w:hyperlink r:id="rId7" w:tgtFrame="_blank" w:history="1">
        <w:r w:rsidRPr="00826373">
          <w:rPr>
            <w:rStyle w:val="Hyperlink"/>
            <w:rFonts w:ascii="Calibri" w:hAnsi="Calibri" w:cs="Calibri"/>
            <w:lang w:val="lt-LT"/>
          </w:rPr>
          <w:t>Lietuvos Respublikos mokėjimų, atliekamų pagal komercines sutartis, vėlavimo prevencijos įstatymo</w:t>
        </w:r>
      </w:hyperlink>
      <w:r w:rsidRPr="00826373">
        <w:rPr>
          <w:rFonts w:ascii="Calibri" w:hAnsi="Calibri" w:cs="Calibri"/>
          <w:lang w:val="lt-LT"/>
        </w:rPr>
        <w:t xml:space="preserve"> 5 straipsnyje nustatytus reikalavimus. Mokėjimai už perduotas prekes, suteiktas paslaugas ir atliktus darbus turi būti atlikti ne vėliau kaip per 30 kalendorinių dienų nuo dienos, kai prekių pirkėjas, paslaugų gavėjas ar darbų užsakovas gauna sąskaitą faktūrą </w:t>
      </w:r>
      <w:r w:rsidRPr="00826373">
        <w:rPr>
          <w:rFonts w:ascii="Calibri" w:hAnsi="Calibri" w:cs="Calibri"/>
          <w:lang w:val="lt-LT"/>
        </w:rPr>
        <w:lastRenderedPageBreak/>
        <w:t>arba lygiavertį dokumentą, išskyrus atvejus, kai dėl to sutartyje aiškiai susitariama kitaip, jeigu tai yra objektyviai pagrįsta, atsižvelgiant į konkretų sutarties pobūdį ar ypatumus. Šiuo atveju, kai pirkimas nėra susijęs su projektu ir (arba) programa, finansuojama Europos Sąjungos lėšomis, rekomenduotina įsivertinti nustatytą atsiskaitymo terminą ir jį patikslinti, arba Sutarties projekto nuostatas papildyti paaiškinimu, kodėl atsiskaitymo terminas šiuo atveju yra ilgesnis nei 30 kalendorinių dienų.</w:t>
      </w:r>
    </w:p>
    <w:p w14:paraId="7354EFE2" w14:textId="77777777" w:rsidR="00490BF7" w:rsidRPr="00252454" w:rsidRDefault="00490BF7" w:rsidP="00490BF7">
      <w:pPr>
        <w:pStyle w:val="ListParagraph"/>
        <w:numPr>
          <w:ilvl w:val="0"/>
          <w:numId w:val="1"/>
        </w:numPr>
        <w:tabs>
          <w:tab w:val="left" w:pos="993"/>
          <w:tab w:val="left" w:pos="1276"/>
        </w:tabs>
        <w:spacing w:after="0" w:line="276" w:lineRule="auto"/>
        <w:ind w:left="0" w:firstLine="720"/>
        <w:rPr>
          <w:rFonts w:ascii="Calibri" w:hAnsi="Calibri" w:cs="Calibri"/>
          <w:sz w:val="24"/>
          <w:szCs w:val="24"/>
          <w:lang w:val="lt-LT"/>
        </w:rPr>
      </w:pPr>
      <w:r w:rsidRPr="00252454">
        <w:rPr>
          <w:rFonts w:ascii="Calibri" w:hAnsi="Calibri" w:cs="Calibri"/>
          <w:b/>
          <w:bCs/>
          <w:sz w:val="24"/>
          <w:szCs w:val="24"/>
          <w:lang w:val="lt-LT"/>
        </w:rPr>
        <w:t>Dėl numatomos Pirkimo vertės</w:t>
      </w:r>
      <w:r w:rsidRPr="00252454">
        <w:rPr>
          <w:rFonts w:ascii="Calibri" w:hAnsi="Calibri" w:cs="Calibri"/>
          <w:sz w:val="24"/>
          <w:szCs w:val="24"/>
          <w:lang w:val="lt-LT"/>
        </w:rPr>
        <w:t> </w:t>
      </w:r>
    </w:p>
    <w:p w14:paraId="1C83A3D2" w14:textId="77777777" w:rsidR="00490BF7" w:rsidRPr="007E4814" w:rsidRDefault="00490BF7" w:rsidP="00490BF7">
      <w:pPr>
        <w:tabs>
          <w:tab w:val="left" w:pos="993"/>
          <w:tab w:val="left" w:pos="1276"/>
        </w:tabs>
        <w:spacing w:after="0" w:line="276" w:lineRule="auto"/>
        <w:ind w:firstLine="720"/>
        <w:rPr>
          <w:rFonts w:ascii="Calibri" w:hAnsi="Calibri" w:cs="Calibri"/>
          <w:sz w:val="24"/>
          <w:szCs w:val="24"/>
          <w:lang w:val="lt-LT"/>
        </w:rPr>
      </w:pPr>
      <w:r w:rsidRPr="00252454">
        <w:rPr>
          <w:rFonts w:ascii="Calibri" w:hAnsi="Calibri" w:cs="Calibri"/>
          <w:sz w:val="24"/>
          <w:szCs w:val="24"/>
          <w:lang w:val="lt-LT"/>
        </w:rPr>
        <w:t xml:space="preserve">Tarnybai atliekant Pirkimo dokumentų prevencinę peržiūrą, aktuali yra numatoma Pirkimo vertė (be PVM), todėl Tarnyba prašo ją nurodyti. Ši informacija nebus skelbiama ir viešinama, nes ji yra </w:t>
      </w:r>
      <w:r w:rsidRPr="007E4814">
        <w:rPr>
          <w:rFonts w:ascii="Calibri" w:hAnsi="Calibri" w:cs="Calibri"/>
          <w:sz w:val="24"/>
          <w:szCs w:val="24"/>
          <w:lang w:val="lt-LT"/>
        </w:rPr>
        <w:t>reikalinga atliekamos Pirkimo prevencinės peržiūros ir statistikos tikslais.</w:t>
      </w:r>
    </w:p>
    <w:p w14:paraId="0130665E" w14:textId="77777777" w:rsidR="00490BF7" w:rsidRPr="007E4814" w:rsidRDefault="00490BF7" w:rsidP="00490BF7">
      <w:pPr>
        <w:pStyle w:val="ListParagraph"/>
        <w:numPr>
          <w:ilvl w:val="0"/>
          <w:numId w:val="1"/>
        </w:numPr>
        <w:tabs>
          <w:tab w:val="left" w:pos="993"/>
        </w:tabs>
        <w:spacing w:after="0" w:line="276" w:lineRule="auto"/>
        <w:ind w:left="0" w:firstLine="709"/>
        <w:rPr>
          <w:rFonts w:ascii="Calibri" w:hAnsi="Calibri" w:cs="Calibri"/>
          <w:b/>
          <w:bCs/>
          <w:sz w:val="24"/>
          <w:szCs w:val="24"/>
          <w:lang w:val="lt-LT"/>
        </w:rPr>
      </w:pPr>
      <w:r w:rsidRPr="007E4814">
        <w:rPr>
          <w:rFonts w:ascii="Calibri" w:hAnsi="Calibri" w:cs="Calibri"/>
          <w:b/>
          <w:bCs/>
          <w:sz w:val="24"/>
          <w:szCs w:val="24"/>
          <w:lang w:val="lt-LT"/>
        </w:rPr>
        <w:t>Dėl pašalinimo pagrindų</w:t>
      </w:r>
    </w:p>
    <w:p w14:paraId="38D3C4AB" w14:textId="77777777" w:rsidR="00490BF7" w:rsidRPr="00077EB8" w:rsidRDefault="00490BF7" w:rsidP="00490BF7">
      <w:pPr>
        <w:tabs>
          <w:tab w:val="left" w:pos="993"/>
        </w:tabs>
        <w:spacing w:after="0" w:line="276" w:lineRule="auto"/>
        <w:ind w:firstLine="709"/>
        <w:rPr>
          <w:rFonts w:ascii="Calibri" w:hAnsi="Calibri" w:cs="Calibri"/>
          <w:b/>
          <w:bCs/>
          <w:sz w:val="24"/>
          <w:szCs w:val="24"/>
          <w:lang w:val="lt-LT"/>
        </w:rPr>
      </w:pPr>
      <w:r w:rsidRPr="007E4814">
        <w:rPr>
          <w:rFonts w:ascii="Calibri" w:hAnsi="Calibri" w:cs="Calibri"/>
          <w:sz w:val="24"/>
          <w:szCs w:val="24"/>
          <w:lang w:val="lt-LT"/>
        </w:rPr>
        <w:t>Pirkimo Specialiųjų sąlygų 3 priedo „Tiekėjams keliami reikalavimai: Pašalinimo pagrindai“</w:t>
      </w:r>
      <w:r>
        <w:rPr>
          <w:rFonts w:ascii="Calibri" w:hAnsi="Calibri" w:cs="Calibri"/>
          <w:sz w:val="24"/>
          <w:szCs w:val="24"/>
          <w:lang w:val="lt-LT"/>
        </w:rPr>
        <w:t xml:space="preserve"> lentelėje Nr. 1 „Pašalinimo pagrindai“ (toliau – Pašalinimo pagrindai) nėra nurodyto privalomojo pašalinimo pagrindo, nustatyto Įstatymo 46 straipsnio 4 dalies 7 punkto c papunktyje: „P</w:t>
      </w:r>
      <w:r w:rsidRPr="00141106">
        <w:rPr>
          <w:rFonts w:ascii="Calibri" w:hAnsi="Calibri" w:cs="Calibri"/>
          <w:sz w:val="24"/>
          <w:szCs w:val="24"/>
          <w:lang w:val="lt-LT"/>
        </w:rPr>
        <w:t>erkančioji organizacija pašalina tiekėją iš pirkimo procedūros, jeigu:</w:t>
      </w:r>
      <w:r>
        <w:rPr>
          <w:rFonts w:ascii="Calibri" w:hAnsi="Calibri" w:cs="Calibri"/>
          <w:sz w:val="24"/>
          <w:szCs w:val="24"/>
          <w:lang w:val="lt-LT"/>
        </w:rPr>
        <w:t xml:space="preserve"> &lt;...&gt; 7) </w:t>
      </w:r>
      <w:r w:rsidRPr="000A73AB">
        <w:rPr>
          <w:rFonts w:ascii="Calibri" w:hAnsi="Calibri" w:cs="Calibri"/>
          <w:sz w:val="24"/>
          <w:szCs w:val="24"/>
          <w:lang w:val="lt-LT"/>
        </w:rPr>
        <w:t>perkančioji organizacija bet kokiomis tinkamomis priemonėmis gali įrodyti, kad tiekėjas yra padaręs rimtą profesinį pažeidimą, dėl kurio perkančioji organizacija abejoja tiekėjo sąžiningumu, kai jis:</w:t>
      </w:r>
      <w:r>
        <w:rPr>
          <w:rFonts w:ascii="Calibri" w:hAnsi="Calibri" w:cs="Calibri"/>
          <w:sz w:val="24"/>
          <w:szCs w:val="24"/>
          <w:lang w:val="lt-LT"/>
        </w:rPr>
        <w:t xml:space="preserve"> &lt;...&gt; c) </w:t>
      </w:r>
      <w:r w:rsidRPr="00077EB8">
        <w:rPr>
          <w:rFonts w:ascii="Calibri" w:hAnsi="Calibri" w:cs="Calibri"/>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r>
        <w:rPr>
          <w:rFonts w:ascii="Calibri" w:hAnsi="Calibri" w:cs="Calibri"/>
          <w:sz w:val="24"/>
          <w:szCs w:val="24"/>
          <w:lang w:val="lt-LT"/>
        </w:rPr>
        <w:t>“</w:t>
      </w:r>
      <w:r w:rsidRPr="00077EB8">
        <w:rPr>
          <w:rFonts w:ascii="Calibri" w:hAnsi="Calibri" w:cs="Calibri"/>
          <w:sz w:val="24"/>
          <w:szCs w:val="24"/>
          <w:lang w:val="lt-LT"/>
        </w:rPr>
        <w:t>.</w:t>
      </w:r>
      <w:r>
        <w:rPr>
          <w:rFonts w:ascii="Calibri" w:hAnsi="Calibri" w:cs="Calibri"/>
          <w:sz w:val="24"/>
          <w:szCs w:val="24"/>
          <w:lang w:val="lt-LT"/>
        </w:rPr>
        <w:t xml:space="preserve"> Atsižvelgiant į tai, Tarnyba rekomenduoja papildyti Pašalinimo pagrindų lentelę privalomu pašalinimo pagrindu.</w:t>
      </w:r>
    </w:p>
    <w:p w14:paraId="2F2CA785" w14:textId="77777777" w:rsidR="00490BF7" w:rsidRPr="007E4814" w:rsidRDefault="00490BF7" w:rsidP="00490BF7">
      <w:pPr>
        <w:tabs>
          <w:tab w:val="left" w:pos="993"/>
        </w:tabs>
        <w:spacing w:after="0" w:line="276" w:lineRule="auto"/>
        <w:ind w:firstLine="709"/>
        <w:rPr>
          <w:rFonts w:ascii="Calibri" w:hAnsi="Calibri" w:cs="Calibri"/>
          <w:sz w:val="24"/>
          <w:szCs w:val="24"/>
          <w:lang w:val="lt-LT"/>
        </w:rPr>
      </w:pPr>
      <w:r w:rsidRPr="007E4814">
        <w:rPr>
          <w:rFonts w:ascii="Calibri" w:hAnsi="Calibri" w:cs="Calibri"/>
          <w:sz w:val="24"/>
          <w:szCs w:val="24"/>
          <w:lang w:val="lt-LT"/>
        </w:rPr>
        <w:t xml:space="preserve">Atkreiptinas dėmesys, kad siekiant padėti tinkamai suformuluoti pašalinimo pagrindų reikalavimus, Tarnyba yra parengusi ir paskelbusi atnaujintą pavyzdinę </w:t>
      </w:r>
      <w:hyperlink r:id="rId8" w:tgtFrame="_blank" w:history="1">
        <w:r w:rsidRPr="007E4814">
          <w:rPr>
            <w:rStyle w:val="Hyperlink"/>
            <w:rFonts w:ascii="Calibri" w:hAnsi="Calibri" w:cs="Calibri"/>
            <w:sz w:val="24"/>
            <w:szCs w:val="24"/>
            <w:lang w:val="lt-LT"/>
          </w:rPr>
          <w:t>pašalinimo pagrindų lentelę</w:t>
        </w:r>
      </w:hyperlink>
      <w:r w:rsidRPr="007E4814">
        <w:rPr>
          <w:rFonts w:ascii="Calibri" w:hAnsi="Calibri" w:cs="Calibri"/>
          <w:sz w:val="24"/>
          <w:szCs w:val="24"/>
          <w:lang w:val="lt-LT"/>
        </w:rPr>
        <w:t xml:space="preserve"> todėl rengiant Pirkimo dokumentus rekomenduotina vadovautis šiuo dokumentu. </w:t>
      </w:r>
    </w:p>
    <w:p w14:paraId="5F235EA0" w14:textId="77777777" w:rsidR="00490BF7" w:rsidRPr="00A4649D" w:rsidRDefault="00490BF7" w:rsidP="00490BF7">
      <w:pPr>
        <w:pStyle w:val="ListParagraph"/>
        <w:numPr>
          <w:ilvl w:val="0"/>
          <w:numId w:val="1"/>
        </w:numPr>
        <w:tabs>
          <w:tab w:val="left" w:pos="993"/>
        </w:tabs>
        <w:spacing w:after="0" w:line="276" w:lineRule="auto"/>
        <w:ind w:left="0" w:firstLine="709"/>
        <w:rPr>
          <w:rFonts w:ascii="Calibri" w:hAnsi="Calibri" w:cs="Calibri"/>
          <w:b/>
          <w:bCs/>
          <w:sz w:val="24"/>
          <w:szCs w:val="24"/>
          <w:lang w:val="lt-LT"/>
        </w:rPr>
      </w:pPr>
      <w:r w:rsidRPr="00A4649D">
        <w:rPr>
          <w:rFonts w:ascii="Calibri" w:hAnsi="Calibri" w:cs="Calibri"/>
          <w:b/>
          <w:bCs/>
          <w:sz w:val="24"/>
          <w:szCs w:val="24"/>
          <w:lang w:val="lt-LT"/>
        </w:rPr>
        <w:t>Dėl Sutarties projekto nuostatų</w:t>
      </w:r>
    </w:p>
    <w:p w14:paraId="6AF1FAA3" w14:textId="77777777" w:rsidR="00490BF7" w:rsidRPr="00A4649D" w:rsidRDefault="00490BF7" w:rsidP="00490BF7">
      <w:pPr>
        <w:pStyle w:val="ListParagraph"/>
        <w:tabs>
          <w:tab w:val="left" w:pos="1276"/>
        </w:tabs>
        <w:spacing w:after="0" w:line="276" w:lineRule="auto"/>
        <w:ind w:left="0" w:firstLine="709"/>
        <w:rPr>
          <w:rFonts w:ascii="Calibri" w:hAnsi="Calibri" w:cs="Calibri"/>
          <w:sz w:val="24"/>
          <w:szCs w:val="24"/>
          <w:lang w:val="lt-LT"/>
        </w:rPr>
      </w:pPr>
      <w:r w:rsidRPr="00A4649D">
        <w:rPr>
          <w:rFonts w:ascii="Calibri" w:hAnsi="Calibri" w:cs="Calibri"/>
          <w:sz w:val="24"/>
          <w:szCs w:val="24"/>
          <w:lang w:val="lt-LT"/>
        </w:rPr>
        <w:t>Techninių specifikacijų (1 ir 2 Pirkimo dalių) (Pirkimo Specialiųjų sąlygų 1 priedas) 6.2 punktuose nustatyta, kad „</w:t>
      </w:r>
      <w:r w:rsidRPr="00A4649D">
        <w:rPr>
          <w:rStyle w:val="ui-provider"/>
          <w:rFonts w:ascii="Calibri" w:hAnsi="Calibri" w:cs="Calibri"/>
          <w:sz w:val="24"/>
          <w:szCs w:val="24"/>
          <w:lang w:val="lt-LT"/>
        </w:rPr>
        <w:t xml:space="preserve">Darbų vykdymui taikomas Lietuvos Respublikos aplinkos ministro 2011 m. birželio 28 d. įsakymu Nr. D1-508 (aktuali redakcija) patvirtinto Aplinkos apsaugos kriterijų taikymo, vykdant žaliuosius pirkimus, tvarkos aprašo </w:t>
      </w:r>
      <w:r w:rsidRPr="00A4649D">
        <w:rPr>
          <w:rStyle w:val="ui-provider"/>
          <w:rFonts w:ascii="Calibri" w:hAnsi="Calibri" w:cs="Calibri"/>
          <w:b/>
          <w:bCs/>
          <w:sz w:val="24"/>
          <w:szCs w:val="24"/>
          <w:lang w:val="lt-LT"/>
        </w:rPr>
        <w:t xml:space="preserve">4.4.4.3 </w:t>
      </w:r>
      <w:r w:rsidRPr="00A4649D">
        <w:rPr>
          <w:rFonts w:ascii="Calibri" w:hAnsi="Calibri" w:cs="Calibri"/>
          <w:b/>
          <w:bCs/>
          <w:sz w:val="24"/>
          <w:szCs w:val="24"/>
          <w:lang w:val="lt-LT"/>
        </w:rPr>
        <w:t>punkte</w:t>
      </w:r>
      <w:r w:rsidRPr="00A4649D">
        <w:rPr>
          <w:rFonts w:ascii="Calibri" w:hAnsi="Calibri" w:cs="Calibri"/>
          <w:sz w:val="24"/>
          <w:szCs w:val="24"/>
          <w:lang w:val="lt-LT"/>
        </w:rPr>
        <w:t xml:space="preserve"> numatytas aplinkosauginis principas – prekei pagaminti, paslaugai teikti ar darbams atlikti naudojama mažiau ar nenaudojama pavojingųjų cheminių medžiagų, neteršiama aplinka ir nekeliamas pavojus sveikatai, t. y. tiekėjas (rangovas) remonto darbų metu:</w:t>
      </w:r>
      <w:r>
        <w:rPr>
          <w:rFonts w:ascii="Calibri" w:hAnsi="Calibri" w:cs="Calibri"/>
          <w:sz w:val="24"/>
          <w:szCs w:val="24"/>
          <w:lang w:val="lt-LT"/>
        </w:rPr>
        <w:t xml:space="preserve"> 6.2.1. </w:t>
      </w:r>
      <w:r w:rsidRPr="00A4649D">
        <w:rPr>
          <w:rFonts w:ascii="Calibri" w:hAnsi="Calibri" w:cs="Calibri"/>
          <w:sz w:val="24"/>
          <w:szCs w:val="24"/>
          <w:lang w:val="lt-LT"/>
        </w:rPr>
        <w:t>transportuojant visas darbų vietoje susidarančias statybines atliekas iš darbų vietos naudoja daugkartinius konteinerius, išskyrus kai susidarančios atliekos turi būti perdirbimui vežamos į mechaninio biologinio apdorojimo įrenginius (MBA);</w:t>
      </w:r>
      <w:r>
        <w:rPr>
          <w:rFonts w:ascii="Calibri" w:hAnsi="Calibri" w:cs="Calibri"/>
          <w:sz w:val="24"/>
          <w:szCs w:val="24"/>
          <w:lang w:val="lt-LT"/>
        </w:rPr>
        <w:t xml:space="preserve"> 6.2.2. </w:t>
      </w:r>
      <w:r w:rsidRPr="00A4649D">
        <w:rPr>
          <w:rFonts w:ascii="Calibri" w:hAnsi="Calibri" w:cs="Calibri"/>
          <w:sz w:val="24"/>
          <w:szCs w:val="24"/>
          <w:lang w:val="lt-LT"/>
        </w:rPr>
        <w:t>mažina statybinių medžiagų ir gaminių pakuočių atliekas (visos pakuotės grąžinamos tiekėjui pakartotiniam naudojimui, perdirbimui ar kitokiam naudojimui);</w:t>
      </w:r>
      <w:r>
        <w:rPr>
          <w:rFonts w:ascii="Calibri" w:hAnsi="Calibri" w:cs="Calibri"/>
          <w:sz w:val="24"/>
          <w:szCs w:val="24"/>
          <w:lang w:val="lt-LT"/>
        </w:rPr>
        <w:t xml:space="preserve"> 6.2.3. </w:t>
      </w:r>
      <w:r w:rsidRPr="00A4649D">
        <w:rPr>
          <w:rFonts w:ascii="Calibri" w:hAnsi="Calibri" w:cs="Calibri"/>
          <w:sz w:val="24"/>
          <w:szCs w:val="24"/>
          <w:lang w:val="lt-LT"/>
        </w:rPr>
        <w:t>pakartotinai naudoja, perdirba ar kitaip naudoja darbų atlikimo procese susidariusias atliekas”.</w:t>
      </w:r>
    </w:p>
    <w:p w14:paraId="6029293D" w14:textId="77777777" w:rsidR="00490BF7" w:rsidRPr="00C04F14" w:rsidRDefault="00490BF7" w:rsidP="00490BF7">
      <w:pPr>
        <w:spacing w:after="0" w:line="276" w:lineRule="auto"/>
        <w:ind w:firstLine="720"/>
        <w:rPr>
          <w:rFonts w:ascii="Calibri" w:hAnsi="Calibri" w:cs="Calibri"/>
          <w:sz w:val="24"/>
          <w:szCs w:val="24"/>
          <w:lang w:val="lt-LT"/>
        </w:rPr>
      </w:pPr>
      <w:r w:rsidRPr="00C04F14">
        <w:rPr>
          <w:rFonts w:ascii="Calibri" w:hAnsi="Calibri" w:cs="Calibri"/>
          <w:sz w:val="24"/>
          <w:szCs w:val="24"/>
          <w:lang w:val="lt-LT"/>
        </w:rPr>
        <w:t xml:space="preserve">Tarnyba </w:t>
      </w:r>
      <w:r>
        <w:rPr>
          <w:rFonts w:ascii="Calibri" w:hAnsi="Calibri" w:cs="Calibri"/>
          <w:sz w:val="24"/>
          <w:szCs w:val="24"/>
          <w:lang w:val="lt-LT"/>
        </w:rPr>
        <w:t>atkreipia dėmesį į tai, kad</w:t>
      </w:r>
      <w:r w:rsidRPr="00C04F14">
        <w:rPr>
          <w:rFonts w:ascii="Calibri" w:hAnsi="Calibri" w:cs="Calibri"/>
          <w:sz w:val="24"/>
          <w:szCs w:val="24"/>
          <w:lang w:val="lt-LT"/>
        </w:rPr>
        <w:t xml:space="preserve"> tiekėjo pareiga bei </w:t>
      </w:r>
      <w:r>
        <w:rPr>
          <w:rFonts w:ascii="Calibri" w:hAnsi="Calibri" w:cs="Calibri"/>
          <w:sz w:val="24"/>
          <w:szCs w:val="24"/>
          <w:lang w:val="lt-LT"/>
        </w:rPr>
        <w:t xml:space="preserve">pasiūlymo pateikimo metu </w:t>
      </w:r>
      <w:r w:rsidRPr="00C04F14">
        <w:rPr>
          <w:rFonts w:ascii="Calibri" w:hAnsi="Calibri" w:cs="Calibri"/>
          <w:sz w:val="24"/>
          <w:szCs w:val="24"/>
          <w:lang w:val="lt-LT"/>
        </w:rPr>
        <w:t>deklaruoti įsipareigojimai turi būti aiškiai įtvirtint</w:t>
      </w:r>
      <w:r>
        <w:rPr>
          <w:rFonts w:ascii="Calibri" w:hAnsi="Calibri" w:cs="Calibri"/>
          <w:sz w:val="24"/>
          <w:szCs w:val="24"/>
          <w:lang w:val="lt-LT"/>
        </w:rPr>
        <w:t>i</w:t>
      </w:r>
      <w:r w:rsidRPr="00C04F14">
        <w:rPr>
          <w:rFonts w:ascii="Calibri" w:hAnsi="Calibri" w:cs="Calibri"/>
          <w:sz w:val="24"/>
          <w:szCs w:val="24"/>
          <w:lang w:val="lt-LT"/>
        </w:rPr>
        <w:t xml:space="preserve"> Sutarties projekte, t. y. Perkančioji organizacija, siekdama pirkimą vykdyti kaip žaliąjį pirkimą, neturi nustatyti tik deklaratyvių reikalavimų, o pirkimo </w:t>
      </w:r>
      <w:r w:rsidRPr="00C04F14">
        <w:rPr>
          <w:rFonts w:ascii="Calibri" w:hAnsi="Calibri" w:cs="Calibri"/>
          <w:sz w:val="24"/>
          <w:szCs w:val="24"/>
          <w:lang w:val="lt-LT"/>
        </w:rPr>
        <w:lastRenderedPageBreak/>
        <w:t xml:space="preserve">dokumentuose </w:t>
      </w:r>
      <w:r w:rsidRPr="008D7511">
        <w:rPr>
          <w:rFonts w:ascii="Calibri" w:hAnsi="Calibri" w:cs="Calibri"/>
          <w:sz w:val="24"/>
          <w:szCs w:val="24"/>
          <w:lang w:val="lt-LT"/>
        </w:rPr>
        <w:t>turi tiksliai ir aiškiai nustatyti žaliojo pirkimo sąlygas ir</w:t>
      </w:r>
      <w:r w:rsidRPr="00997A54">
        <w:rPr>
          <w:rFonts w:ascii="Calibri" w:hAnsi="Calibri" w:cs="Calibri"/>
          <w:b/>
          <w:bCs/>
          <w:sz w:val="24"/>
          <w:szCs w:val="24"/>
          <w:lang w:val="lt-LT"/>
        </w:rPr>
        <w:t xml:space="preserve"> </w:t>
      </w:r>
      <w:r w:rsidRPr="00C04F14">
        <w:rPr>
          <w:rFonts w:ascii="Calibri" w:hAnsi="Calibri" w:cs="Calibri"/>
          <w:b/>
          <w:bCs/>
          <w:sz w:val="24"/>
          <w:szCs w:val="24"/>
          <w:lang w:val="lt-LT"/>
        </w:rPr>
        <w:t>užtikrinti jų laikymosi priežiūrą bei kontrolę sutarties vykdymo metu</w:t>
      </w:r>
      <w:r w:rsidRPr="00C04F14">
        <w:rPr>
          <w:rFonts w:ascii="Calibri" w:hAnsi="Calibri" w:cs="Calibri"/>
          <w:sz w:val="24"/>
          <w:szCs w:val="24"/>
          <w:lang w:val="lt-LT"/>
        </w:rPr>
        <w:t>. Sutarties projekte taip pat turi būti nustatytas kontrolės mechanizmas, t. y. nustatyta, kaip 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73963937" w14:textId="617C531E" w:rsidR="00A0134C" w:rsidRPr="00490BF7" w:rsidRDefault="00490BF7" w:rsidP="00A73481">
      <w:pPr>
        <w:spacing w:after="0" w:line="276" w:lineRule="auto"/>
        <w:ind w:firstLine="720"/>
        <w:rPr>
          <w:lang w:val="lt-LT"/>
        </w:rPr>
      </w:pPr>
      <w:r w:rsidRPr="00252454">
        <w:rPr>
          <w:rFonts w:ascii="Calibri" w:eastAsia="Calibri" w:hAnsi="Calibri" w:cs="Calibri"/>
          <w:sz w:val="24"/>
          <w:szCs w:val="24"/>
          <w:lang w:val="lt-LT"/>
        </w:rPr>
        <w:t xml:space="preserve">Atsižvelgdama į tai, kas nurodyta, Tarnyba rekomenduoja peržiūrėti ir patikslinti Pirkimo dokumentus pagal šioje </w:t>
      </w:r>
      <w:r>
        <w:rPr>
          <w:rFonts w:ascii="Calibri" w:eastAsia="Calibri" w:hAnsi="Calibri" w:cs="Calibri"/>
          <w:sz w:val="24"/>
          <w:szCs w:val="24"/>
          <w:lang w:val="lt-LT"/>
        </w:rPr>
        <w:t>r</w:t>
      </w:r>
      <w:r w:rsidRPr="00252454">
        <w:rPr>
          <w:rFonts w:ascii="Calibri" w:eastAsia="Calibri" w:hAnsi="Calibri" w:cs="Calibri"/>
          <w:sz w:val="24"/>
          <w:szCs w:val="24"/>
          <w:lang w:val="lt-LT"/>
        </w:rPr>
        <w:t>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Pirkimo dokumentais. Pažymėtina, kad visais atvejais sprendimą dėl tolimesnio Pirkimo procedūrų vykdymo ar nutraukimo priima pati Perkančioji organizacija, vadovaudamasi Įstatymo 29 straipsnio 3</w:t>
      </w:r>
      <w:r w:rsidRPr="00252454">
        <w:rPr>
          <w:rFonts w:ascii="Calibri" w:eastAsia="Calibri" w:hAnsi="Calibri" w:cs="Calibri"/>
          <w:sz w:val="24"/>
          <w:szCs w:val="24"/>
          <w:vertAlign w:val="superscript"/>
        </w:rPr>
        <w:footnoteReference w:id="1"/>
      </w:r>
      <w:r w:rsidRPr="00252454">
        <w:rPr>
          <w:rFonts w:ascii="Calibri" w:eastAsia="Calibri" w:hAnsi="Calibri" w:cs="Calibri"/>
          <w:sz w:val="24"/>
          <w:szCs w:val="24"/>
          <w:lang w:val="lt-LT"/>
        </w:rPr>
        <w:t xml:space="preserve"> ir 4</w:t>
      </w:r>
      <w:r w:rsidRPr="00252454">
        <w:rPr>
          <w:rFonts w:ascii="Calibri" w:eastAsia="Calibri" w:hAnsi="Calibri" w:cs="Calibri"/>
          <w:sz w:val="24"/>
          <w:szCs w:val="24"/>
          <w:vertAlign w:val="superscript"/>
        </w:rPr>
        <w:footnoteReference w:id="2"/>
      </w:r>
      <w:r w:rsidRPr="00252454">
        <w:rPr>
          <w:rFonts w:ascii="Calibri" w:eastAsia="Calibri" w:hAnsi="Calibri" w:cs="Calibri"/>
          <w:sz w:val="24"/>
          <w:szCs w:val="24"/>
          <w:lang w:val="lt-LT"/>
        </w:rPr>
        <w:t xml:space="preserve"> dalių nuostatomis.</w:t>
      </w:r>
    </w:p>
    <w:sectPr w:rsidR="00A0134C" w:rsidRPr="00490BF7" w:rsidSect="00490BF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538F" w14:textId="77777777" w:rsidR="00490BF7" w:rsidRDefault="00490BF7" w:rsidP="00490BF7">
      <w:pPr>
        <w:spacing w:after="0" w:line="240" w:lineRule="auto"/>
      </w:pPr>
      <w:r>
        <w:separator/>
      </w:r>
    </w:p>
  </w:endnote>
  <w:endnote w:type="continuationSeparator" w:id="0">
    <w:p w14:paraId="1BF7BC13" w14:textId="77777777" w:rsidR="00490BF7" w:rsidRDefault="00490BF7" w:rsidP="0049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BBAF" w14:textId="77777777" w:rsidR="00490BF7" w:rsidRDefault="00490BF7" w:rsidP="00490BF7">
      <w:pPr>
        <w:spacing w:after="0" w:line="240" w:lineRule="auto"/>
      </w:pPr>
      <w:r>
        <w:separator/>
      </w:r>
    </w:p>
  </w:footnote>
  <w:footnote w:type="continuationSeparator" w:id="0">
    <w:p w14:paraId="6F4CED91" w14:textId="77777777" w:rsidR="00490BF7" w:rsidRDefault="00490BF7" w:rsidP="00490BF7">
      <w:pPr>
        <w:spacing w:after="0" w:line="240" w:lineRule="auto"/>
      </w:pPr>
      <w:r>
        <w:continuationSeparator/>
      </w:r>
    </w:p>
  </w:footnote>
  <w:footnote w:id="1">
    <w:p w14:paraId="443BBA20" w14:textId="77777777" w:rsidR="00490BF7" w:rsidRPr="00437C1D" w:rsidRDefault="00490BF7" w:rsidP="00490BF7">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w:t>
      </w:r>
      <w:r w:rsidRPr="00437C1D">
        <w:rPr>
          <w:rFonts w:ascii="Calibri" w:hAnsi="Calibri" w:cs="Calibri"/>
          <w:color w:val="000000"/>
        </w:rPr>
        <w:t xml:space="preserve"> organizacija privalo </w:t>
      </w:r>
      <w:r w:rsidRPr="00437C1D">
        <w:rPr>
          <w:rFonts w:ascii="Calibri" w:hAnsi="Calibri" w:cs="Calibri"/>
          <w:bCs/>
          <w:color w:val="000000"/>
        </w:rPr>
        <w:t>nutraukti pradėtas pirkimo ar projekto konkurso procedūras</w:t>
      </w:r>
      <w:r w:rsidRPr="00437C1D">
        <w:rPr>
          <w:rFonts w:ascii="Calibri" w:hAnsi="Calibri" w:cs="Calibri"/>
          <w:color w:val="000000"/>
        </w:rPr>
        <w:t>, jeigu buvo pažeisti šio įstatymo 17 straipsnio 1 dalyje nustatyti principai ir atitinkamos padėties negalima ištaisyti.“</w:t>
      </w:r>
    </w:p>
  </w:footnote>
  <w:footnote w:id="2">
    <w:p w14:paraId="42603EE2" w14:textId="77777777" w:rsidR="00490BF7" w:rsidRPr="00437C1D" w:rsidRDefault="00490BF7" w:rsidP="00490BF7">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3B98"/>
    <w:multiLevelType w:val="multilevel"/>
    <w:tmpl w:val="A84CEFE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Theme="majorEastAsia"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num w:numId="1" w16cid:durableId="87341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F7"/>
    <w:rsid w:val="00490BF7"/>
    <w:rsid w:val="00833F42"/>
    <w:rsid w:val="00A0134C"/>
    <w:rsid w:val="00A7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6FCB"/>
  <w15:chartTrackingRefBased/>
  <w15:docId w15:val="{5785FAEF-A87E-4D76-B806-1305C9D4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BF7"/>
  </w:style>
  <w:style w:type="paragraph" w:styleId="Heading1">
    <w:name w:val="heading 1"/>
    <w:basedOn w:val="Normal"/>
    <w:next w:val="Normal"/>
    <w:link w:val="Heading1Char"/>
    <w:uiPriority w:val="9"/>
    <w:qFormat/>
    <w:rsid w:val="00490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BF7"/>
    <w:rPr>
      <w:rFonts w:eastAsiaTheme="majorEastAsia" w:cstheme="majorBidi"/>
      <w:color w:val="272727" w:themeColor="text1" w:themeTint="D8"/>
    </w:rPr>
  </w:style>
  <w:style w:type="paragraph" w:styleId="Title">
    <w:name w:val="Title"/>
    <w:basedOn w:val="Normal"/>
    <w:next w:val="Normal"/>
    <w:link w:val="TitleChar"/>
    <w:uiPriority w:val="10"/>
    <w:qFormat/>
    <w:rsid w:val="00490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BF7"/>
    <w:pPr>
      <w:spacing w:before="160"/>
      <w:jc w:val="center"/>
    </w:pPr>
    <w:rPr>
      <w:i/>
      <w:iCs/>
      <w:color w:val="404040" w:themeColor="text1" w:themeTint="BF"/>
    </w:rPr>
  </w:style>
  <w:style w:type="character" w:customStyle="1" w:styleId="QuoteChar">
    <w:name w:val="Quote Char"/>
    <w:basedOn w:val="DefaultParagraphFont"/>
    <w:link w:val="Quote"/>
    <w:uiPriority w:val="29"/>
    <w:rsid w:val="00490BF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490BF7"/>
    <w:pPr>
      <w:ind w:left="720"/>
      <w:contextualSpacing/>
    </w:pPr>
  </w:style>
  <w:style w:type="character" w:styleId="IntenseEmphasis">
    <w:name w:val="Intense Emphasis"/>
    <w:basedOn w:val="DefaultParagraphFont"/>
    <w:uiPriority w:val="21"/>
    <w:qFormat/>
    <w:rsid w:val="00490BF7"/>
    <w:rPr>
      <w:i/>
      <w:iCs/>
      <w:color w:val="0F4761" w:themeColor="accent1" w:themeShade="BF"/>
    </w:rPr>
  </w:style>
  <w:style w:type="paragraph" w:styleId="IntenseQuote">
    <w:name w:val="Intense Quote"/>
    <w:basedOn w:val="Normal"/>
    <w:next w:val="Normal"/>
    <w:link w:val="IntenseQuoteChar"/>
    <w:uiPriority w:val="30"/>
    <w:qFormat/>
    <w:rsid w:val="00490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BF7"/>
    <w:rPr>
      <w:i/>
      <w:iCs/>
      <w:color w:val="0F4761" w:themeColor="accent1" w:themeShade="BF"/>
    </w:rPr>
  </w:style>
  <w:style w:type="character" w:styleId="IntenseReference">
    <w:name w:val="Intense Reference"/>
    <w:basedOn w:val="DefaultParagraphFont"/>
    <w:uiPriority w:val="32"/>
    <w:qFormat/>
    <w:rsid w:val="00490BF7"/>
    <w:rPr>
      <w:b/>
      <w:bCs/>
      <w:smallCaps/>
      <w:color w:val="0F4761" w:themeColor="accent1" w:themeShade="BF"/>
      <w:spacing w:val="5"/>
    </w:rPr>
  </w:style>
  <w:style w:type="paragraph" w:customStyle="1" w:styleId="paragraph">
    <w:name w:val="paragraph"/>
    <w:basedOn w:val="Normal"/>
    <w:rsid w:val="00490B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90BF7"/>
  </w:style>
  <w:style w:type="character" w:customStyle="1" w:styleId="findhit">
    <w:name w:val="findhit"/>
    <w:basedOn w:val="DefaultParagraphFont"/>
    <w:rsid w:val="00490BF7"/>
  </w:style>
  <w:style w:type="character" w:customStyle="1" w:styleId="eop">
    <w:name w:val="eop"/>
    <w:basedOn w:val="DefaultParagraphFont"/>
    <w:rsid w:val="00490BF7"/>
  </w:style>
  <w:style w:type="character" w:styleId="Hyperlink">
    <w:name w:val="Hyperlink"/>
    <w:basedOn w:val="DefaultParagraphFont"/>
    <w:uiPriority w:val="99"/>
    <w:unhideWhenUsed/>
    <w:rsid w:val="00490BF7"/>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490BF7"/>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490BF7"/>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90BF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90BF7"/>
  </w:style>
  <w:style w:type="character" w:customStyle="1" w:styleId="ui-provider">
    <w:name w:val="ui-provider"/>
    <w:basedOn w:val="DefaultParagraphFont"/>
    <w:rsid w:val="0049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metodine-pagalba/pavyzdiniai-dokumentai-3/pasalinimo-pagrindu-lentele/" TargetMode="External"/><Relationship Id="rId3" Type="http://schemas.openxmlformats.org/officeDocument/2006/relationships/settings" Target="settings.xml"/><Relationship Id="rId7" Type="http://schemas.openxmlformats.org/officeDocument/2006/relationships/hyperlink" Target="https://e-seimas.lrs.lt/portal/legalAct/lt/TAD/TAIS.224224/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2025-04-09T13:11:00Z</dcterms:created>
  <dcterms:modified xsi:type="dcterms:W3CDTF">2025-04-09T13:12:00Z</dcterms:modified>
</cp:coreProperties>
</file>