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6618" w14:textId="77777777" w:rsidR="00DF11EF" w:rsidRPr="00DF11EF" w:rsidRDefault="00DF11EF" w:rsidP="00505158">
      <w:pPr>
        <w:ind w:firstLine="709"/>
        <w:rPr>
          <w:sz w:val="24"/>
          <w:szCs w:val="24"/>
          <w:lang w:val="lt-LT"/>
        </w:rPr>
      </w:pPr>
      <w:r w:rsidRPr="00DF11EF">
        <w:rPr>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58C7519" w14:textId="56DA8FB8" w:rsidR="00DF11EF" w:rsidRPr="00DF11EF" w:rsidRDefault="00DF11EF" w:rsidP="001E6E47">
      <w:pPr>
        <w:ind w:firstLine="709"/>
        <w:rPr>
          <w:sz w:val="24"/>
          <w:szCs w:val="24"/>
          <w:lang w:val="lt-LT"/>
        </w:rPr>
      </w:pPr>
      <w:r w:rsidRPr="00DF11EF">
        <w:rPr>
          <w:sz w:val="24"/>
          <w:szCs w:val="24"/>
          <w:lang w:val="lt-LT"/>
        </w:rPr>
        <w:t xml:space="preserve">Vadovaujantis Tarnybai Įstatyme nustatyta pažeidimų prevencijos funkcija, šiuo metu atliekama </w:t>
      </w:r>
      <w:r w:rsidR="00831F4F" w:rsidRPr="001E6E47">
        <w:rPr>
          <w:sz w:val="24"/>
          <w:szCs w:val="24"/>
          <w:lang w:val="lt-LT"/>
        </w:rPr>
        <w:t>Šalčininkų</w:t>
      </w:r>
      <w:r w:rsidRPr="00DF11EF">
        <w:rPr>
          <w:sz w:val="24"/>
          <w:szCs w:val="24"/>
          <w:lang w:val="lt-LT"/>
        </w:rPr>
        <w:t xml:space="preserve"> rajono savivaldybės administracijos (toliau – Perkančioji organizacija) vykdomo pirkimo </w:t>
      </w:r>
      <w:r w:rsidR="00831F4F" w:rsidRPr="001E6E47">
        <w:rPr>
          <w:b/>
          <w:bCs/>
          <w:sz w:val="24"/>
          <w:szCs w:val="24"/>
          <w:lang w:val="lt-LT"/>
        </w:rPr>
        <w:t>ID</w:t>
      </w:r>
      <w:r w:rsidRPr="00DF11EF">
        <w:rPr>
          <w:b/>
          <w:bCs/>
          <w:sz w:val="24"/>
          <w:szCs w:val="24"/>
          <w:lang w:val="lt-LT"/>
        </w:rPr>
        <w:t xml:space="preserve"> </w:t>
      </w:r>
      <w:r w:rsidR="00831F4F" w:rsidRPr="001E6E47">
        <w:rPr>
          <w:b/>
          <w:bCs/>
          <w:sz w:val="24"/>
          <w:szCs w:val="24"/>
          <w:lang w:val="lt-LT"/>
        </w:rPr>
        <w:t>1755250</w:t>
      </w:r>
      <w:r w:rsidRPr="00DF11EF">
        <w:rPr>
          <w:b/>
          <w:bCs/>
          <w:sz w:val="24"/>
          <w:szCs w:val="24"/>
          <w:lang w:val="lt-LT"/>
        </w:rPr>
        <w:t xml:space="preserve"> „</w:t>
      </w:r>
      <w:r w:rsidR="00831F4F" w:rsidRPr="001E6E47">
        <w:rPr>
          <w:b/>
          <w:bCs/>
          <w:sz w:val="24"/>
          <w:szCs w:val="24"/>
          <w:lang w:val="lt-LT"/>
        </w:rPr>
        <w:t>MOKSLO PASKIRTIES PASTATO, VYTAUTO G. 36 ŠALČININKAI, REKONSTRAVIMO DARBAI (atviras konkursas)</w:t>
      </w:r>
      <w:r w:rsidRPr="00DF11EF">
        <w:rPr>
          <w:b/>
          <w:bCs/>
          <w:sz w:val="24"/>
          <w:szCs w:val="24"/>
          <w:lang w:val="lt-LT"/>
        </w:rPr>
        <w:t>“</w:t>
      </w:r>
      <w:r w:rsidRPr="00DF11EF">
        <w:rPr>
          <w:sz w:val="24"/>
          <w:szCs w:val="24"/>
          <w:lang w:val="lt-LT"/>
        </w:rPr>
        <w:t xml:space="preserve"> (toliau – Pirkimas) dokumentų atitikties Įstatymui ir jį įgyvendinantiems teisės aktams peržiūra (peržiūra prevenciniais tikslais atliekama tam tikra apimtimi).</w:t>
      </w:r>
    </w:p>
    <w:p w14:paraId="4874F368" w14:textId="77777777" w:rsidR="00DF11EF" w:rsidRPr="00DF11EF" w:rsidRDefault="00DF11EF" w:rsidP="001E6E47">
      <w:pPr>
        <w:ind w:firstLine="709"/>
        <w:rPr>
          <w:sz w:val="24"/>
          <w:szCs w:val="24"/>
          <w:lang w:val="lt-LT"/>
        </w:rPr>
      </w:pPr>
      <w:r w:rsidRPr="00DF11EF">
        <w:rPr>
          <w:sz w:val="24"/>
          <w:szCs w:val="24"/>
          <w:lang w:val="lt-LT"/>
        </w:rPr>
        <w:t>Tarnyba, prevencine tvarka peržiūrėjusi Pirkimo dokumentus, teikia rekomendaciją dėl Pirkimo dokumentų nuostatų.</w:t>
      </w:r>
    </w:p>
    <w:p w14:paraId="20B201AD" w14:textId="6D2D9B86" w:rsidR="00831A79" w:rsidRPr="001E6E47" w:rsidRDefault="00831F4F">
      <w:pPr>
        <w:rPr>
          <w:b/>
          <w:bCs/>
          <w:sz w:val="24"/>
          <w:szCs w:val="24"/>
          <w:lang w:val="lt-LT"/>
        </w:rPr>
      </w:pPr>
      <w:r w:rsidRPr="001E6E47">
        <w:rPr>
          <w:b/>
          <w:bCs/>
          <w:sz w:val="24"/>
          <w:szCs w:val="24"/>
          <w:lang w:val="lt-LT"/>
        </w:rPr>
        <w:t>Dėl kvalifikacijos reikalavimo</w:t>
      </w:r>
    </w:p>
    <w:p w14:paraId="78CA5EF1" w14:textId="1F250C2C" w:rsidR="00040F31" w:rsidRPr="001E6E47" w:rsidRDefault="00831F4F" w:rsidP="00286456">
      <w:pPr>
        <w:spacing w:after="0"/>
        <w:ind w:firstLine="709"/>
        <w:rPr>
          <w:bCs/>
          <w:sz w:val="24"/>
          <w:szCs w:val="24"/>
          <w:lang w:val="lt-LT"/>
        </w:rPr>
      </w:pPr>
      <w:r w:rsidRPr="001E6E47">
        <w:rPr>
          <w:sz w:val="24"/>
          <w:szCs w:val="24"/>
          <w:lang w:val="lt-LT"/>
        </w:rPr>
        <w:t xml:space="preserve">Pirkimo sąlygų priedo „Kvalifikacijos reikalavimai tiekėjui“ 1.1 papunktyje nurodyta, kad „Tiekėjas privalo turėti specialistus, galinčius vadovauti statybos darbams. Bent 1 (vieną) statinio statybos vadovą, turintį teisę eiti ypatingojo statinio, statybos vadovo pareigas negyvenamųjų pastatų grupės mokslo paskirties statinių pogrupyje. Statybos darbų sritis: </w:t>
      </w:r>
      <w:r w:rsidRPr="00286456">
        <w:rPr>
          <w:b/>
          <w:bCs/>
          <w:sz w:val="24"/>
          <w:szCs w:val="24"/>
          <w:lang w:val="lt-LT"/>
        </w:rPr>
        <w:t>bendrieji statybos darbai - žemės darbai (statybos sklypo reljefo tvarkymas, pamatų duobių, tranšėjų kasimas ir užpylimas; statybinių konstrukcijų (gelžbetonio, betono, metalo, mūro) statyba ir montavimas; hidroizoliacija; stogų įrengimas; apdailos darbai).</w:t>
      </w:r>
      <w:r w:rsidRPr="001E6E47">
        <w:rPr>
          <w:sz w:val="24"/>
          <w:szCs w:val="24"/>
          <w:lang w:val="lt-LT"/>
        </w:rPr>
        <w:t>“</w:t>
      </w:r>
      <w:r w:rsidR="00040F31" w:rsidRPr="001E6E47">
        <w:rPr>
          <w:sz w:val="24"/>
          <w:szCs w:val="24"/>
          <w:lang w:val="lt-LT"/>
        </w:rPr>
        <w:t xml:space="preserve"> Pažymėtina, kad </w:t>
      </w:r>
      <w:hyperlink r:id="rId10" w:history="1">
        <w:r w:rsidR="00040F31" w:rsidRPr="001E6E47">
          <w:rPr>
            <w:rStyle w:val="Hipersaitas"/>
            <w:sz w:val="24"/>
            <w:szCs w:val="24"/>
            <w:lang w:val="lt-LT"/>
          </w:rPr>
          <w:t>Statybos įstatymo</w:t>
        </w:r>
      </w:hyperlink>
      <w:r w:rsidR="00040F31" w:rsidRPr="001E6E47">
        <w:rPr>
          <w:sz w:val="24"/>
          <w:szCs w:val="24"/>
          <w:lang w:val="lt-LT"/>
        </w:rPr>
        <w:t xml:space="preserve"> 2 punkto 79 dalyje apibrėžta, kas yra </w:t>
      </w:r>
      <w:r w:rsidR="00040F31" w:rsidRPr="001E6E47">
        <w:rPr>
          <w:b/>
          <w:bCs/>
          <w:sz w:val="24"/>
          <w:szCs w:val="24"/>
          <w:lang w:val="lt-LT"/>
        </w:rPr>
        <w:t>statinio statybos vadovas</w:t>
      </w:r>
      <w:r w:rsidR="00040F31" w:rsidRPr="001E6E47">
        <w:rPr>
          <w:sz w:val="24"/>
          <w:szCs w:val="24"/>
          <w:vertAlign w:val="superscript"/>
          <w:lang w:val="lt-LT"/>
        </w:rPr>
        <w:footnoteReference w:id="2"/>
      </w:r>
      <w:r w:rsidR="00040F31" w:rsidRPr="001E6E47">
        <w:rPr>
          <w:sz w:val="24"/>
          <w:szCs w:val="24"/>
          <w:lang w:val="lt-LT"/>
        </w:rPr>
        <w:t xml:space="preserve"> bei </w:t>
      </w:r>
      <w:r w:rsidR="00040F31" w:rsidRPr="001E6E47">
        <w:rPr>
          <w:bCs/>
          <w:sz w:val="24"/>
          <w:szCs w:val="24"/>
          <w:lang w:val="lt-LT"/>
        </w:rPr>
        <w:t xml:space="preserve">vadovaujantis </w:t>
      </w:r>
      <w:hyperlink r:id="rId11" w:history="1">
        <w:r w:rsidR="00040F31" w:rsidRPr="001E6E47">
          <w:rPr>
            <w:rStyle w:val="Hipersaitas"/>
            <w:bCs/>
            <w:sz w:val="24"/>
            <w:szCs w:val="24"/>
            <w:lang w:val="lt-LT"/>
          </w:rPr>
          <w:t>STR 1.02.01:2017 „Statybos dalyvių atestavimo ir teisės pripažinimo tvarkos aprašo</w:t>
        </w:r>
      </w:hyperlink>
      <w:r w:rsidR="00040F31" w:rsidRPr="001E6E47">
        <w:rPr>
          <w:bCs/>
          <w:sz w:val="24"/>
          <w:szCs w:val="24"/>
          <w:lang w:val="lt-LT"/>
        </w:rPr>
        <w:t>“ 24.6.4</w:t>
      </w:r>
      <w:r w:rsidR="00040F31" w:rsidRPr="001E6E47">
        <w:rPr>
          <w:bCs/>
          <w:sz w:val="24"/>
          <w:szCs w:val="24"/>
          <w:vertAlign w:val="superscript"/>
          <w:lang w:val="lt-LT"/>
        </w:rPr>
        <w:footnoteReference w:id="3"/>
      </w:r>
      <w:r w:rsidR="00040F31" w:rsidRPr="001E6E47">
        <w:rPr>
          <w:bCs/>
          <w:sz w:val="24"/>
          <w:szCs w:val="24"/>
          <w:lang w:val="lt-LT"/>
        </w:rPr>
        <w:t xml:space="preserve"> ir 53.5.4</w:t>
      </w:r>
      <w:r w:rsidR="00040F31" w:rsidRPr="001E6E47">
        <w:rPr>
          <w:bCs/>
          <w:sz w:val="24"/>
          <w:szCs w:val="24"/>
          <w:vertAlign w:val="superscript"/>
          <w:lang w:val="lt-LT"/>
        </w:rPr>
        <w:footnoteReference w:id="4"/>
      </w:r>
      <w:r w:rsidR="00040F31" w:rsidRPr="001E6E47">
        <w:rPr>
          <w:bCs/>
          <w:sz w:val="24"/>
          <w:szCs w:val="24"/>
          <w:lang w:val="lt-LT"/>
        </w:rPr>
        <w:t xml:space="preserve"> punktų nuostatomis, ypatingojo ir neypatingojo </w:t>
      </w:r>
      <w:r w:rsidR="00040F31" w:rsidRPr="001E6E47">
        <w:rPr>
          <w:b/>
          <w:sz w:val="24"/>
          <w:szCs w:val="24"/>
          <w:lang w:val="lt-LT"/>
        </w:rPr>
        <w:t>statinio statybos vadovams</w:t>
      </w:r>
      <w:r w:rsidR="00040F31" w:rsidRPr="001E6E47">
        <w:rPr>
          <w:bCs/>
          <w:sz w:val="24"/>
          <w:szCs w:val="24"/>
          <w:lang w:val="lt-LT"/>
        </w:rPr>
        <w:t xml:space="preserve"> kvalifikacijos dokumentuose </w:t>
      </w:r>
      <w:r w:rsidR="00040F31" w:rsidRPr="001E6E47">
        <w:rPr>
          <w:b/>
          <w:sz w:val="24"/>
          <w:szCs w:val="24"/>
          <w:lang w:val="lt-LT"/>
        </w:rPr>
        <w:t>nėra nurodomos darbų sritys</w:t>
      </w:r>
      <w:r w:rsidR="00040F31" w:rsidRPr="001E6E47">
        <w:rPr>
          <w:bCs/>
          <w:sz w:val="24"/>
          <w:szCs w:val="24"/>
          <w:lang w:val="lt-LT"/>
        </w:rPr>
        <w:t xml:space="preserve"> (nei bendrųjų darbų sritys, nei specialiųjų darbų sritys). </w:t>
      </w:r>
      <w:r w:rsidR="00040F31" w:rsidRPr="00040F31">
        <w:rPr>
          <w:bCs/>
          <w:sz w:val="24"/>
          <w:szCs w:val="24"/>
          <w:lang w:val="lt-LT"/>
        </w:rPr>
        <w:t>Atsižvelgiant į aukščiau išdėstytą, Tarnyba rekomenduoja tikslinti Kvalifikacijos reikalavim</w:t>
      </w:r>
      <w:r w:rsidR="00286456">
        <w:rPr>
          <w:bCs/>
          <w:sz w:val="24"/>
          <w:szCs w:val="24"/>
          <w:lang w:val="lt-LT"/>
        </w:rPr>
        <w:t>ą</w:t>
      </w:r>
      <w:r w:rsidR="00682615" w:rsidRPr="001E6E47">
        <w:rPr>
          <w:bCs/>
          <w:sz w:val="24"/>
          <w:szCs w:val="24"/>
          <w:lang w:val="lt-LT"/>
        </w:rPr>
        <w:t>.</w:t>
      </w:r>
    </w:p>
    <w:p w14:paraId="24B6CA29" w14:textId="30FC35D8" w:rsidR="00AD3F83" w:rsidRPr="00040F31" w:rsidRDefault="00A050F1" w:rsidP="00286456">
      <w:pPr>
        <w:spacing w:after="0"/>
        <w:ind w:firstLine="709"/>
        <w:rPr>
          <w:bCs/>
          <w:sz w:val="24"/>
          <w:szCs w:val="24"/>
          <w:lang w:val="lt-LT"/>
        </w:rPr>
      </w:pPr>
      <w:r w:rsidRPr="001E6E47">
        <w:rPr>
          <w:bCs/>
          <w:sz w:val="24"/>
          <w:szCs w:val="24"/>
          <w:lang w:val="lt-LT"/>
        </w:rPr>
        <w:t xml:space="preserve">Pastebėtina, kad pagal naują Statybos techninio reglamento STR 1.01.03:2017 „Statinių klasifikavimas“ (toliau – STR Statinių klasifikavimas) redakciją, negyvenamųjų pastatų grupė nebeskirstoma į atitinkamus pogrupius. Visgi, įvertinus tai, kad galimai yra tiekėjų ir specialistų, kurių atestatai buvo išduoti galiojant ankstesniam teisiniam reglamentavimui, t. y. išduoti atestatai, suteikiantys teisę atlikti darbus ar eiti atitinkamas pareigas atitinkamų negyvenamųjų pastatų pogrupyje, </w:t>
      </w:r>
      <w:r w:rsidR="00FB758B" w:rsidRPr="001E6E47">
        <w:rPr>
          <w:bCs/>
          <w:sz w:val="24"/>
          <w:szCs w:val="24"/>
          <w:lang w:val="lt-LT"/>
        </w:rPr>
        <w:t>tačiau yra ir naujai išduotų atestatų</w:t>
      </w:r>
      <w:r w:rsidR="005B6CB2" w:rsidRPr="001E6E47">
        <w:rPr>
          <w:bCs/>
          <w:sz w:val="24"/>
          <w:szCs w:val="24"/>
          <w:lang w:val="lt-LT"/>
        </w:rPr>
        <w:t xml:space="preserve">, Tarnyba rekomenduoja kvalifikacijos </w:t>
      </w:r>
      <w:r w:rsidR="005B6CB2" w:rsidRPr="001E6E47">
        <w:rPr>
          <w:bCs/>
          <w:sz w:val="24"/>
          <w:szCs w:val="24"/>
          <w:lang w:val="lt-LT"/>
        </w:rPr>
        <w:lastRenderedPageBreak/>
        <w:t xml:space="preserve">reikalavimus papildyti pastabomis </w:t>
      </w:r>
      <w:r w:rsidR="00AD3F83" w:rsidRPr="001E6E47">
        <w:rPr>
          <w:bCs/>
          <w:sz w:val="24"/>
          <w:szCs w:val="24"/>
          <w:lang w:val="lt-LT"/>
        </w:rPr>
        <w:t>„Jei kvalifikacijos dokumente yra nurodyta visa reikalaujama statinių grupė (neišskirti / nenurodyti pogrupiai) arba nurodytas konkretus pogrupis, atitinkantis nurodytą kvalifikacijos reikalavime, – tokie kvalifikacijos dokumentai yra tinkami“</w:t>
      </w:r>
      <w:r w:rsidR="002F7E1D" w:rsidRPr="001E6E47">
        <w:rPr>
          <w:bCs/>
          <w:sz w:val="24"/>
          <w:szCs w:val="24"/>
          <w:lang w:val="lt-LT"/>
        </w:rPr>
        <w:t xml:space="preserve"> bei „T</w:t>
      </w:r>
      <w:r w:rsidR="00AD3F83" w:rsidRPr="001E6E47">
        <w:rPr>
          <w:bCs/>
          <w:sz w:val="24"/>
          <w:szCs w:val="24"/>
          <w:lang w:val="lt-LT"/>
        </w:rPr>
        <w:t>aip pat bus tinkamu laikomas ir atestatas, kuriame nustatyta  „gyvenamieji ir negyvenamieji pastatai“</w:t>
      </w:r>
      <w:r w:rsidR="002F7E1D" w:rsidRPr="001E6E47">
        <w:rPr>
          <w:bCs/>
          <w:sz w:val="24"/>
          <w:szCs w:val="24"/>
          <w:lang w:val="lt-LT"/>
        </w:rPr>
        <w:t>.</w:t>
      </w:r>
    </w:p>
    <w:p w14:paraId="610D2F0F" w14:textId="49C1C66A" w:rsidR="00B257B3" w:rsidRPr="00B257B3" w:rsidRDefault="00B257B3" w:rsidP="00AE15BE">
      <w:pPr>
        <w:spacing w:before="160"/>
        <w:rPr>
          <w:b/>
          <w:bCs/>
          <w:sz w:val="24"/>
          <w:szCs w:val="24"/>
          <w:lang w:val="lt-LT"/>
        </w:rPr>
      </w:pPr>
      <w:r w:rsidRPr="00B257B3">
        <w:rPr>
          <w:b/>
          <w:bCs/>
          <w:sz w:val="24"/>
          <w:szCs w:val="24"/>
          <w:lang w:val="lt-LT"/>
        </w:rPr>
        <w:t xml:space="preserve">Dėl </w:t>
      </w:r>
      <w:r w:rsidR="000C1992">
        <w:rPr>
          <w:b/>
          <w:bCs/>
          <w:sz w:val="24"/>
          <w:szCs w:val="24"/>
          <w:lang w:val="lt-LT"/>
        </w:rPr>
        <w:t>Pirkimo</w:t>
      </w:r>
      <w:r w:rsidR="000C1992" w:rsidRPr="00B257B3">
        <w:rPr>
          <w:b/>
          <w:bCs/>
          <w:sz w:val="24"/>
          <w:szCs w:val="24"/>
          <w:lang w:val="lt-LT"/>
        </w:rPr>
        <w:t xml:space="preserve"> </w:t>
      </w:r>
      <w:r w:rsidRPr="00B257B3">
        <w:rPr>
          <w:b/>
          <w:bCs/>
          <w:sz w:val="24"/>
          <w:szCs w:val="24"/>
          <w:lang w:val="lt-LT"/>
        </w:rPr>
        <w:t>sąlygų nuostatų</w:t>
      </w:r>
    </w:p>
    <w:p w14:paraId="51D33B93" w14:textId="5E03C714" w:rsidR="00B257B3" w:rsidRPr="001E6E47" w:rsidRDefault="0069738C" w:rsidP="00AE15BE">
      <w:pPr>
        <w:ind w:firstLine="709"/>
        <w:rPr>
          <w:sz w:val="24"/>
          <w:szCs w:val="24"/>
          <w:lang w:val="lt-LT"/>
        </w:rPr>
      </w:pPr>
      <w:r w:rsidRPr="001E6E47">
        <w:rPr>
          <w:sz w:val="24"/>
          <w:szCs w:val="24"/>
          <w:lang w:val="lt-LT"/>
        </w:rPr>
        <w:t>Pirkimo</w:t>
      </w:r>
      <w:r w:rsidR="00B257B3" w:rsidRPr="00B257B3">
        <w:rPr>
          <w:sz w:val="24"/>
          <w:szCs w:val="24"/>
          <w:lang w:val="lt-LT"/>
        </w:rPr>
        <w:t xml:space="preserve"> sąlygų </w:t>
      </w:r>
      <w:r w:rsidRPr="001E6E47">
        <w:rPr>
          <w:sz w:val="24"/>
          <w:szCs w:val="24"/>
          <w:lang w:val="lt-LT"/>
        </w:rPr>
        <w:t>2.3</w:t>
      </w:r>
      <w:r w:rsidR="00B257B3" w:rsidRPr="00B257B3">
        <w:rPr>
          <w:sz w:val="24"/>
          <w:szCs w:val="24"/>
          <w:lang w:val="lt-LT"/>
        </w:rPr>
        <w:t xml:space="preserve"> punkte nurodyta, kad „</w:t>
      </w:r>
      <w:r w:rsidR="00765BFF" w:rsidRPr="001E6E47">
        <w:rPr>
          <w:sz w:val="24"/>
          <w:szCs w:val="24"/>
          <w:lang w:val="lt-LT"/>
        </w:rPr>
        <w:t>Šis pirkimas nėra skaidomas į pirkimo dalis.</w:t>
      </w:r>
      <w:r w:rsidR="00B257B3" w:rsidRPr="00B257B3">
        <w:rPr>
          <w:sz w:val="24"/>
          <w:szCs w:val="24"/>
          <w:lang w:val="lt-LT"/>
        </w:rPr>
        <w:t>“</w:t>
      </w:r>
      <w:r w:rsidR="00F53F51" w:rsidRPr="001E6E47">
        <w:rPr>
          <w:sz w:val="24"/>
          <w:szCs w:val="24"/>
          <w:lang w:val="lt-LT"/>
        </w:rPr>
        <w:t>, o 2.3.1 papunktyje nurodyta, kad „</w:t>
      </w:r>
      <w:r w:rsidR="00C03CB0" w:rsidRPr="001E6E47">
        <w:rPr>
          <w:sz w:val="24"/>
          <w:szCs w:val="24"/>
          <w:lang w:val="lt-LT"/>
        </w:rPr>
        <w:t xml:space="preserve">Tiekėjas turės parengti: </w:t>
      </w:r>
      <w:r w:rsidR="00C03CB0" w:rsidRPr="00D717CE">
        <w:rPr>
          <w:b/>
          <w:bCs/>
          <w:sz w:val="24"/>
          <w:szCs w:val="24"/>
          <w:lang w:val="lt-LT"/>
        </w:rPr>
        <w:t>darbo projektą</w:t>
      </w:r>
      <w:r w:rsidR="00C03CB0" w:rsidRPr="001E6E47">
        <w:rPr>
          <w:sz w:val="24"/>
          <w:szCs w:val="24"/>
          <w:lang w:val="lt-LT"/>
        </w:rPr>
        <w:t>; inžinerinių tinklų išpildomųjų nuotraukų bei kadastrinių matavimų bylas; statinio kadastrinių matavimų bylą, žemės sklypo patikslinimo planą; kitą išpildomąją dokumentaciją, reikalingą statybos užbaigimo aktui arba statybos užbaigimo deklaracijai gauti.“.</w:t>
      </w:r>
      <w:r w:rsidR="00B257B3" w:rsidRPr="00B257B3">
        <w:rPr>
          <w:sz w:val="24"/>
          <w:szCs w:val="24"/>
          <w:lang w:val="lt-LT"/>
        </w:rPr>
        <w:t xml:space="preserve"> Pažymėtina, kad vadovaujantis Įstatymo 28 straipsnio 2 dalies</w:t>
      </w:r>
      <w:r w:rsidR="00B257B3" w:rsidRPr="00B257B3">
        <w:rPr>
          <w:sz w:val="24"/>
          <w:szCs w:val="24"/>
          <w:vertAlign w:val="superscript"/>
          <w:lang w:val="lt-LT"/>
        </w:rPr>
        <w:footnoteReference w:id="5"/>
      </w:r>
      <w:r w:rsidR="00B257B3" w:rsidRPr="00B257B3">
        <w:rPr>
          <w:sz w:val="24"/>
          <w:szCs w:val="24"/>
          <w:lang w:val="lt-LT"/>
        </w:rPr>
        <w:t xml:space="preserve"> nuostatomis Perkančioji organizacija Pirkimo dokumentuose privalo pateikti sprendimo dėl statinio statybos darbų ir statinio projektavimo paslaugų objekto neskaidymo į dalis argumentus. </w:t>
      </w:r>
      <w:r w:rsidR="002805D4" w:rsidRPr="001E6E47">
        <w:rPr>
          <w:sz w:val="24"/>
          <w:szCs w:val="24"/>
          <w:lang w:val="lt-LT"/>
        </w:rPr>
        <w:t xml:space="preserve">Atsižvelgiant į tai, </w:t>
      </w:r>
      <w:r w:rsidR="000C1992">
        <w:rPr>
          <w:sz w:val="24"/>
          <w:szCs w:val="24"/>
          <w:lang w:val="lt-LT"/>
        </w:rPr>
        <w:t xml:space="preserve">Perkančioji organizacija turi papildyti </w:t>
      </w:r>
      <w:r w:rsidR="002805D4" w:rsidRPr="001E6E47">
        <w:rPr>
          <w:sz w:val="24"/>
          <w:szCs w:val="24"/>
          <w:lang w:val="lt-LT"/>
        </w:rPr>
        <w:t xml:space="preserve"> Pirkimo sąlygas, pateikiant pagrindimą dėl neskaidymo į dalis.</w:t>
      </w:r>
    </w:p>
    <w:p w14:paraId="5CBA841F" w14:textId="3D2EAD78" w:rsidR="00067776" w:rsidRPr="001E6E47" w:rsidRDefault="0078777E" w:rsidP="00B257B3">
      <w:pPr>
        <w:rPr>
          <w:b/>
          <w:bCs/>
          <w:sz w:val="24"/>
          <w:szCs w:val="24"/>
          <w:lang w:val="lt-LT"/>
        </w:rPr>
      </w:pPr>
      <w:r w:rsidRPr="001E6E47">
        <w:rPr>
          <w:b/>
          <w:bCs/>
          <w:sz w:val="24"/>
          <w:szCs w:val="24"/>
          <w:lang w:val="lt-LT"/>
        </w:rPr>
        <w:t xml:space="preserve">Dėl žaliųjų kriterijų </w:t>
      </w:r>
    </w:p>
    <w:p w14:paraId="3C4C71F5" w14:textId="51F94466" w:rsidR="003D4893" w:rsidRPr="001E6E47" w:rsidRDefault="0078777E" w:rsidP="00D717CE">
      <w:pPr>
        <w:spacing w:after="0"/>
        <w:ind w:firstLine="709"/>
        <w:rPr>
          <w:sz w:val="24"/>
          <w:szCs w:val="24"/>
          <w:lang w:val="lt-LT"/>
        </w:rPr>
      </w:pPr>
      <w:r w:rsidRPr="001E6E47">
        <w:rPr>
          <w:sz w:val="24"/>
          <w:szCs w:val="24"/>
          <w:lang w:val="lt-LT"/>
        </w:rPr>
        <w:t>Pirkimo sąlygų 1.7 papunktyje nurodyta, kad „</w:t>
      </w:r>
      <w:r w:rsidR="002B016E" w:rsidRPr="001E6E47">
        <w:rPr>
          <w:sz w:val="24"/>
          <w:szCs w:val="24"/>
          <w:lang w:val="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4.1 punktu ir nurodyti priede Nr. 5 „Kvalifikacijos ir kiti reikalavimai tiekėjui“ bei sutartyje.“</w:t>
      </w:r>
      <w:r w:rsidR="00C26E2B" w:rsidRPr="001E6E47">
        <w:rPr>
          <w:sz w:val="24"/>
          <w:szCs w:val="24"/>
          <w:lang w:val="lt-LT"/>
        </w:rPr>
        <w:t xml:space="preserve"> Pirkimo sąlygų priedo „</w:t>
      </w:r>
      <w:r w:rsidR="00864635" w:rsidRPr="001E6E47">
        <w:rPr>
          <w:sz w:val="24"/>
          <w:szCs w:val="24"/>
          <w:lang w:val="lt-LT"/>
        </w:rPr>
        <w:t>Vadybos sistemos standartai“ 1 punkte nustatyta, kad „</w:t>
      </w:r>
      <w:r w:rsidR="009C4735" w:rsidRPr="001E6E47">
        <w:rPr>
          <w:sz w:val="24"/>
          <w:szCs w:val="24"/>
          <w:lang w:val="lt-LT"/>
        </w:rPr>
        <w:t xml:space="preserve">Tiekėjas turi įrodyti, kad atliekant statybos darbus (statinių kategorija - ypatingi statiniai; statinių grupė – negyvenamieji pastatai; statinių paskirtys - </w:t>
      </w:r>
      <w:r w:rsidR="009C4735" w:rsidRPr="001E6E47">
        <w:rPr>
          <w:b/>
          <w:bCs/>
          <w:sz w:val="24"/>
          <w:szCs w:val="24"/>
          <w:lang w:val="lt-LT"/>
        </w:rPr>
        <w:t>mokslo.</w:t>
      </w:r>
      <w:r w:rsidR="009C4735" w:rsidRPr="001E6E47">
        <w:rPr>
          <w:sz w:val="24"/>
          <w:szCs w:val="24"/>
          <w:lang w:val="lt-LT"/>
        </w:rPr>
        <w:t xml:space="preserve"> Statybos darbų sritis:</w:t>
      </w:r>
      <w:r w:rsidR="003D4893" w:rsidRPr="001E6E47">
        <w:rPr>
          <w:sz w:val="24"/>
          <w:szCs w:val="24"/>
        </w:rPr>
        <w:t xml:space="preserve"> </w:t>
      </w:r>
      <w:r w:rsidR="003D4893" w:rsidRPr="001E6E47">
        <w:rPr>
          <w:sz w:val="24"/>
          <w:szCs w:val="24"/>
          <w:lang w:val="lt-LT"/>
        </w:rPr>
        <w:t>a.) bendrieji statybos darbai, būtini Pirkimo sutarčiai įvykdyti;</w:t>
      </w:r>
    </w:p>
    <w:p w14:paraId="014D215C" w14:textId="77777777" w:rsidR="00BF7F95" w:rsidRDefault="003D4893" w:rsidP="003D4893">
      <w:pPr>
        <w:spacing w:after="0"/>
        <w:rPr>
          <w:sz w:val="24"/>
          <w:szCs w:val="24"/>
          <w:lang w:val="lt-LT"/>
        </w:rPr>
      </w:pPr>
      <w:r w:rsidRPr="001E6E47">
        <w:rPr>
          <w:sz w:val="24"/>
          <w:szCs w:val="24"/>
          <w:lang w:val="lt-LT"/>
        </w:rPr>
        <w:t>b.) specialieji statybos darbai (statinio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(telekomunikacijų) inžinerinių sistemų įrengimas; statinio apsauginės signalizacijos, gaisrinės saugos inžinerinių sistemų įrengimas).“</w:t>
      </w:r>
      <w:r w:rsidR="00522666" w:rsidRPr="001E6E47">
        <w:rPr>
          <w:sz w:val="24"/>
          <w:szCs w:val="24"/>
          <w:lang w:val="lt-LT"/>
        </w:rPr>
        <w:t xml:space="preserve"> </w:t>
      </w:r>
    </w:p>
    <w:p w14:paraId="1C339FA7" w14:textId="3E19DD57" w:rsidR="0078777E" w:rsidRPr="001E6E47" w:rsidRDefault="00522666" w:rsidP="002B2C24">
      <w:pPr>
        <w:spacing w:after="0"/>
        <w:ind w:firstLine="709"/>
        <w:rPr>
          <w:sz w:val="24"/>
          <w:szCs w:val="24"/>
          <w:lang w:val="lt-LT"/>
        </w:rPr>
      </w:pPr>
      <w:r w:rsidRPr="001E6E47">
        <w:rPr>
          <w:sz w:val="24"/>
          <w:szCs w:val="24"/>
          <w:lang w:val="lt-LT"/>
        </w:rPr>
        <w:t>Atkreiptinas dėmesys, jog ISO</w:t>
      </w:r>
      <w:r w:rsidR="00CA5A27" w:rsidRPr="001E6E47">
        <w:rPr>
          <w:sz w:val="24"/>
          <w:szCs w:val="24"/>
          <w:lang w:val="lt-LT"/>
        </w:rPr>
        <w:t xml:space="preserve"> 14001 sertifikatuose nėra nurodomos statinių paskirtys, todėl rekomenduotina neužsiaurinti reikalavimo</w:t>
      </w:r>
      <w:r w:rsidR="0069666C" w:rsidRPr="001E6E47">
        <w:rPr>
          <w:sz w:val="24"/>
          <w:szCs w:val="24"/>
          <w:lang w:val="lt-LT"/>
        </w:rPr>
        <w:t xml:space="preserve"> ir atsisakyti nustatytos statinių paskirties – mokslo.</w:t>
      </w:r>
    </w:p>
    <w:p w14:paraId="7DF1D4C3" w14:textId="77777777" w:rsidR="001F2F0B" w:rsidRDefault="0026482F" w:rsidP="000E3F02">
      <w:pPr>
        <w:spacing w:after="0"/>
        <w:ind w:firstLine="709"/>
        <w:rPr>
          <w:sz w:val="24"/>
          <w:szCs w:val="24"/>
          <w:lang w:val="lt-LT"/>
        </w:rPr>
      </w:pPr>
      <w:r w:rsidRPr="001E6E47">
        <w:rPr>
          <w:sz w:val="24"/>
          <w:szCs w:val="24"/>
          <w:lang w:val="lt-LT"/>
        </w:rPr>
        <w:t>Prie atitiktį pagrindžiančių dokumentų nurodyta, kad „</w:t>
      </w:r>
      <w:r w:rsidR="002F0327" w:rsidRPr="001E6E47">
        <w:rPr>
          <w:sz w:val="24"/>
          <w:szCs w:val="24"/>
          <w:lang w:val="lt-LT"/>
        </w:rPr>
        <w:t xml:space="preserve">Pateikiamas:- nepriklausomos įstaigos išduotas sertifikatas, patvirtinantis, kad tiekėjas laikosi nurodytų aplinkos apsaugos sistemos reikalavimų [nurodyti Europos Sąjungos aplinkos apsaugos vadybos ir audito sistemą (angl. </w:t>
      </w:r>
      <w:proofErr w:type="spellStart"/>
      <w:r w:rsidR="002F0327" w:rsidRPr="001E6E47">
        <w:rPr>
          <w:sz w:val="24"/>
          <w:szCs w:val="24"/>
          <w:lang w:val="lt-LT"/>
        </w:rPr>
        <w:t>Eco</w:t>
      </w:r>
      <w:proofErr w:type="spellEnd"/>
      <w:r w:rsidR="002F0327" w:rsidRPr="001E6E47">
        <w:rPr>
          <w:sz w:val="24"/>
          <w:szCs w:val="24"/>
          <w:lang w:val="lt-LT"/>
        </w:rPr>
        <w:t>–</w:t>
      </w:r>
      <w:proofErr w:type="spellStart"/>
      <w:r w:rsidR="002F0327" w:rsidRPr="001E6E47">
        <w:rPr>
          <w:sz w:val="24"/>
          <w:szCs w:val="24"/>
          <w:lang w:val="lt-LT"/>
        </w:rPr>
        <w:t>Management</w:t>
      </w:r>
      <w:proofErr w:type="spellEnd"/>
      <w:r w:rsidR="002F0327" w:rsidRPr="001E6E47">
        <w:rPr>
          <w:sz w:val="24"/>
          <w:szCs w:val="24"/>
          <w:lang w:val="lt-LT"/>
        </w:rPr>
        <w:t xml:space="preserve"> </w:t>
      </w:r>
      <w:proofErr w:type="spellStart"/>
      <w:r w:rsidR="002F0327" w:rsidRPr="001E6E47">
        <w:rPr>
          <w:sz w:val="24"/>
          <w:szCs w:val="24"/>
          <w:lang w:val="lt-LT"/>
        </w:rPr>
        <w:t>and</w:t>
      </w:r>
      <w:proofErr w:type="spellEnd"/>
      <w:r w:rsidR="002F0327" w:rsidRPr="001E6E47">
        <w:rPr>
          <w:sz w:val="24"/>
          <w:szCs w:val="24"/>
          <w:lang w:val="lt-LT"/>
        </w:rPr>
        <w:t xml:space="preserve"> </w:t>
      </w:r>
      <w:proofErr w:type="spellStart"/>
      <w:r w:rsidR="002F0327" w:rsidRPr="001E6E47">
        <w:rPr>
          <w:sz w:val="24"/>
          <w:szCs w:val="24"/>
          <w:lang w:val="lt-LT"/>
        </w:rPr>
        <w:t>Audit</w:t>
      </w:r>
      <w:proofErr w:type="spellEnd"/>
      <w:r w:rsidR="002F0327" w:rsidRPr="001E6E47">
        <w:rPr>
          <w:sz w:val="24"/>
          <w:szCs w:val="24"/>
          <w:lang w:val="lt-LT"/>
        </w:rPr>
        <w:t xml:space="preserve"> </w:t>
      </w:r>
      <w:proofErr w:type="spellStart"/>
      <w:r w:rsidR="002F0327" w:rsidRPr="001E6E47">
        <w:rPr>
          <w:sz w:val="24"/>
          <w:szCs w:val="24"/>
          <w:lang w:val="lt-LT"/>
        </w:rPr>
        <w:t>Scheme</w:t>
      </w:r>
      <w:proofErr w:type="spellEnd"/>
      <w:r w:rsidR="002F0327" w:rsidRPr="001E6E47">
        <w:rPr>
          <w:sz w:val="24"/>
          <w:szCs w:val="24"/>
          <w:lang w:val="lt-LT"/>
        </w:rPr>
        <w:t xml:space="preserve">, EMAS) arba kitas aplinkos apsaugos vadybos </w:t>
      </w:r>
      <w:r w:rsidR="002F0327" w:rsidRPr="001E6E47">
        <w:rPr>
          <w:sz w:val="24"/>
          <w:szCs w:val="24"/>
          <w:lang w:val="lt-LT"/>
        </w:rPr>
        <w:lastRenderedPageBreak/>
        <w:t>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lygiaverčiai sertifikatai. Perkančiosios organizacijos pripažįsta lygiaverčius sertifikatus, išduotus kitose valstybėse narėse įsteigtų nepriklausomų įstaigų.“</w:t>
      </w:r>
      <w:r w:rsidR="00DB611A" w:rsidRPr="001E6E47">
        <w:rPr>
          <w:sz w:val="24"/>
          <w:szCs w:val="24"/>
          <w:lang w:val="lt-LT"/>
        </w:rPr>
        <w:t xml:space="preserve"> </w:t>
      </w:r>
    </w:p>
    <w:p w14:paraId="7C2F1B62" w14:textId="3706EAFE" w:rsidR="007E1B98" w:rsidRDefault="00DB611A" w:rsidP="000E3F02">
      <w:pPr>
        <w:spacing w:after="0"/>
        <w:ind w:firstLine="709"/>
        <w:rPr>
          <w:sz w:val="24"/>
          <w:szCs w:val="24"/>
          <w:lang w:val="lt-LT"/>
        </w:rPr>
      </w:pPr>
      <w:hyperlink r:id="rId12" w:history="1">
        <w:r w:rsidRPr="00B93547">
          <w:rPr>
            <w:rStyle w:val="Hipersaitas"/>
            <w:sz w:val="24"/>
            <w:szCs w:val="24"/>
            <w:lang w:val="lt-LT"/>
          </w:rPr>
          <w:t>Aplinkos apsaugos kriterijų taikymo, vykdant žaliuosius pirkimus, tvarkos aprašo</w:t>
        </w:r>
        <w:r w:rsidRPr="00B93547">
          <w:rPr>
            <w:rStyle w:val="Hipersaitas"/>
            <w:sz w:val="24"/>
            <w:szCs w:val="24"/>
            <w:vertAlign w:val="superscript"/>
            <w:lang w:val="lt-LT"/>
          </w:rPr>
          <w:footnoteReference w:id="6"/>
        </w:r>
      </w:hyperlink>
      <w:r w:rsidRPr="001E6E47">
        <w:rPr>
          <w:sz w:val="24"/>
          <w:szCs w:val="24"/>
          <w:lang w:val="lt-LT"/>
        </w:rPr>
        <w:t xml:space="preserve"> (toliau – Tvarkos aprašas) 2 priedo </w:t>
      </w:r>
      <w:r w:rsidR="00E944F6" w:rsidRPr="001E6E47">
        <w:rPr>
          <w:sz w:val="24"/>
          <w:szCs w:val="24"/>
          <w:lang w:val="lt-LT"/>
        </w:rPr>
        <w:t>15.4</w:t>
      </w:r>
      <w:r w:rsidRPr="001E6E47">
        <w:rPr>
          <w:sz w:val="24"/>
          <w:szCs w:val="24"/>
          <w:lang w:val="lt-LT"/>
        </w:rPr>
        <w:t xml:space="preserve"> punkte nurodyta, kad „</w:t>
      </w:r>
      <w:r w:rsidR="00E944F6" w:rsidRPr="001E6E47">
        <w:rPr>
          <w:sz w:val="24"/>
          <w:szCs w:val="24"/>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00E944F6" w:rsidRPr="001E6E47">
        <w:rPr>
          <w:b/>
          <w:bCs/>
          <w:sz w:val="24"/>
          <w:szCs w:val="24"/>
          <w:lang w:val="lt-LT"/>
        </w:rPr>
        <w:t>lygiaverčiai įrodymai gali būti priimami atliekant supaprastintus pirkimus</w:t>
      </w:r>
      <w:r w:rsidR="00E944F6" w:rsidRPr="001E6E47">
        <w:rPr>
          <w:sz w:val="24"/>
          <w:szCs w:val="24"/>
          <w:lang w:val="lt-LT"/>
        </w:rPr>
        <w:t>; atliekant kitus pirkimus lygiaverčiai įrodymai priimami, tik jeigu tiekėjas dėl nuo jo nepriklausančių objektyvių priežasčių negali pateikti sertifikatų per nustatytą laiką).</w:t>
      </w:r>
      <w:r w:rsidR="00B575B6" w:rsidRPr="001E6E47">
        <w:rPr>
          <w:sz w:val="24"/>
          <w:szCs w:val="24"/>
          <w:lang w:val="lt-LT"/>
        </w:rPr>
        <w:t xml:space="preserve"> </w:t>
      </w:r>
      <w:r w:rsidR="00E944F6" w:rsidRPr="001E6E47">
        <w:rPr>
          <w:sz w:val="24"/>
          <w:szCs w:val="24"/>
          <w:lang w:val="lt-LT"/>
        </w:rPr>
        <w:t xml:space="preserve">Atitiktį reikalavimui įrodantis dokumentas – nepriklausomos įstaigos išduotas sertifikatas. Pirkimo vykdytojas pripažįsta lygiaverčius sertifikatus, išduotus kitose valstybėse narėse įsteigtų nepriklausomų įstaigų. Pirkimo vykdytojas, </w:t>
      </w:r>
      <w:r w:rsidR="00E944F6" w:rsidRPr="001E6E47">
        <w:rPr>
          <w:b/>
          <w:bCs/>
          <w:sz w:val="24"/>
          <w:szCs w:val="24"/>
          <w:lang w:val="lt-LT"/>
        </w:rPr>
        <w:t>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E944F6" w:rsidRPr="001E6E47">
        <w:rPr>
          <w:sz w:val="24"/>
          <w:szCs w:val="24"/>
          <w:lang w:val="lt-LT"/>
        </w:rPr>
        <w:t>; atliekant kitus pirkimus lygiaverčiai įrodymai priimami, tik jeigu tiekėjas dėl nuo jo nepriklausančių objektyvių priežasčių negali pateikti sertifikatų per nustatytą laiką.</w:t>
      </w:r>
      <w:r w:rsidR="00B575B6" w:rsidRPr="001E6E47">
        <w:rPr>
          <w:sz w:val="24"/>
          <w:szCs w:val="24"/>
          <w:lang w:val="lt-LT"/>
        </w:rPr>
        <w:t>“.</w:t>
      </w:r>
    </w:p>
    <w:p w14:paraId="50B01B18" w14:textId="62C1D9BD" w:rsidR="00BB24AD" w:rsidRDefault="007E1B98" w:rsidP="000E3F02">
      <w:pPr>
        <w:spacing w:after="0"/>
        <w:ind w:firstLine="709"/>
        <w:rPr>
          <w:sz w:val="24"/>
          <w:szCs w:val="24"/>
          <w:lang w:val="lt-LT"/>
        </w:rPr>
      </w:pPr>
      <w:r>
        <w:rPr>
          <w:sz w:val="24"/>
          <w:szCs w:val="24"/>
          <w:lang w:val="lt-LT"/>
        </w:rPr>
        <w:t xml:space="preserve">Atsižvelgiant </w:t>
      </w:r>
      <w:r w:rsidR="003368B8">
        <w:rPr>
          <w:sz w:val="24"/>
          <w:szCs w:val="24"/>
          <w:lang w:val="lt-LT"/>
        </w:rPr>
        <w:t>į tai,</w:t>
      </w:r>
      <w:r w:rsidR="00B575B6" w:rsidRPr="001E6E47">
        <w:rPr>
          <w:sz w:val="24"/>
          <w:szCs w:val="24"/>
          <w:lang w:val="lt-LT"/>
        </w:rPr>
        <w:t xml:space="preserve"> Tarnyba rekomenduoja tikslint</w:t>
      </w:r>
      <w:r w:rsidR="000C1992">
        <w:rPr>
          <w:sz w:val="24"/>
          <w:szCs w:val="24"/>
          <w:lang w:val="lt-LT"/>
        </w:rPr>
        <w:t>i</w:t>
      </w:r>
      <w:r w:rsidR="00B575B6" w:rsidRPr="001E6E47">
        <w:rPr>
          <w:sz w:val="24"/>
          <w:szCs w:val="24"/>
          <w:lang w:val="lt-LT"/>
        </w:rPr>
        <w:t xml:space="preserve"> atitiktį pagrindžiančius dokumentus papildant dėl lygiaverčių </w:t>
      </w:r>
      <w:r w:rsidR="00251FAF" w:rsidRPr="001E6E47">
        <w:rPr>
          <w:sz w:val="24"/>
          <w:szCs w:val="24"/>
          <w:lang w:val="lt-LT"/>
        </w:rPr>
        <w:t>įrodymų.</w:t>
      </w:r>
    </w:p>
    <w:p w14:paraId="6EE77128" w14:textId="105F90B2" w:rsidR="002656CA" w:rsidRPr="001E6E47" w:rsidRDefault="00DD0C60" w:rsidP="000E3F02">
      <w:pPr>
        <w:spacing w:after="0"/>
        <w:ind w:firstLine="709"/>
        <w:rPr>
          <w:sz w:val="24"/>
          <w:szCs w:val="24"/>
          <w:lang w:val="lt-LT"/>
        </w:rPr>
      </w:pPr>
      <w:r>
        <w:rPr>
          <w:sz w:val="24"/>
          <w:szCs w:val="24"/>
          <w:lang w:val="lt-LT"/>
        </w:rPr>
        <w:t xml:space="preserve">Atkreiptinas dėmesys, jog patikslinus Pirkimo sąlygas rekomenduotina patikslinti </w:t>
      </w:r>
      <w:r w:rsidR="004C0860">
        <w:rPr>
          <w:sz w:val="24"/>
          <w:szCs w:val="24"/>
          <w:lang w:val="lt-LT"/>
        </w:rPr>
        <w:t>skelbime apie pirkimą nurodytą informaciją, jog neliktų prieštaravimų tarp skelbimo ir Pirkimo sąlygų.</w:t>
      </w:r>
    </w:p>
    <w:p w14:paraId="6466FAAE" w14:textId="6782E8EB" w:rsidR="00BB24AD" w:rsidRPr="001E6E47" w:rsidRDefault="00BB24AD" w:rsidP="006D5754">
      <w:pPr>
        <w:spacing w:before="160"/>
        <w:rPr>
          <w:b/>
          <w:bCs/>
          <w:sz w:val="24"/>
          <w:szCs w:val="24"/>
          <w:lang w:val="lt-LT"/>
        </w:rPr>
      </w:pPr>
      <w:r w:rsidRPr="001E6E47">
        <w:rPr>
          <w:b/>
          <w:bCs/>
          <w:sz w:val="24"/>
          <w:szCs w:val="24"/>
          <w:lang w:val="lt-LT"/>
        </w:rPr>
        <w:t>Dėl Sutarties projekto</w:t>
      </w:r>
    </w:p>
    <w:p w14:paraId="26A1BEEC" w14:textId="41CB1BF3" w:rsidR="00BB24AD" w:rsidRPr="001E6E47" w:rsidRDefault="0037539A" w:rsidP="003368B8">
      <w:pPr>
        <w:spacing w:after="0"/>
        <w:ind w:firstLine="709"/>
        <w:rPr>
          <w:sz w:val="24"/>
          <w:szCs w:val="24"/>
          <w:lang w:val="lt-LT"/>
        </w:rPr>
      </w:pPr>
      <w:r w:rsidRPr="001E6E47">
        <w:rPr>
          <w:sz w:val="24"/>
          <w:szCs w:val="24"/>
          <w:lang w:val="lt-LT"/>
        </w:rPr>
        <w:t xml:space="preserve">Perkančioji organizacija, siekdama pirkimą vykdyti kaip žaliąjį pirkimą, privalo užtikrinti žaliojo pirkimo sąlygų laikymosi priežiūrą bei kontrolę sutarties vykdymo metu. Sutarties projekte taip pat turi būti numatytas kontrolės mechanizmas, kaip Perkančioji organizacija kontroliuos tiekėjo pareigą sutarties vykdymo metu taikyti aplinkos apsaugos vadybos sistemos </w:t>
      </w:r>
      <w:r w:rsidRPr="001E6E47">
        <w:rPr>
          <w:sz w:val="24"/>
          <w:szCs w:val="24"/>
          <w:lang w:val="lt-LT"/>
        </w:rPr>
        <w:lastRenderedPageBreak/>
        <w:t xml:space="preserve">reikalavimus ir koks bus sankcijų mechanizmas, jeigu tiekėjas šios pareigos nevykdys. Atsižvelgiant į nurodytą, rekomenduotina </w:t>
      </w:r>
      <w:r w:rsidR="000C1992">
        <w:rPr>
          <w:sz w:val="24"/>
          <w:szCs w:val="24"/>
          <w:lang w:val="lt-LT"/>
        </w:rPr>
        <w:t xml:space="preserve">papildyti </w:t>
      </w:r>
      <w:r w:rsidRPr="001E6E47">
        <w:rPr>
          <w:sz w:val="24"/>
          <w:szCs w:val="24"/>
          <w:lang w:val="lt-LT"/>
        </w:rPr>
        <w:t xml:space="preserve"> Sutarties projektą.</w:t>
      </w:r>
    </w:p>
    <w:p w14:paraId="552BBC03" w14:textId="64E7E729" w:rsidR="002C1E3D" w:rsidRPr="001E6E47" w:rsidRDefault="002C1E3D" w:rsidP="003368B8">
      <w:pPr>
        <w:spacing w:after="0"/>
        <w:ind w:firstLine="709"/>
        <w:rPr>
          <w:sz w:val="24"/>
          <w:szCs w:val="24"/>
          <w:lang w:val="lt-LT"/>
        </w:rPr>
      </w:pPr>
      <w:r w:rsidRPr="001E6E47">
        <w:rPr>
          <w:sz w:val="24"/>
          <w:szCs w:val="24"/>
          <w:lang w:val="lt-LT"/>
        </w:rPr>
        <w:t xml:space="preserve">Sutarties projekto </w:t>
      </w:r>
      <w:r w:rsidR="003B29AB" w:rsidRPr="001E6E47">
        <w:rPr>
          <w:sz w:val="24"/>
          <w:szCs w:val="24"/>
          <w:lang w:val="lt-LT"/>
        </w:rPr>
        <w:t>3.4.3</w:t>
      </w:r>
      <w:r w:rsidRPr="001E6E47">
        <w:rPr>
          <w:sz w:val="24"/>
          <w:szCs w:val="24"/>
          <w:lang w:val="lt-LT"/>
        </w:rPr>
        <w:t xml:space="preserve"> papunktyje rekomenduotina patikslinti nuo 2023 m. sausio 1 d. Lietuvos Respublikos statistikos departamento (www.stat.gov.lt) pasikeitusį pavadinimą (Valstybės duomenų agentūra </w:t>
      </w:r>
      <w:hyperlink r:id="rId13" w:history="1">
        <w:r w:rsidR="00A156FD" w:rsidRPr="001E6E47">
          <w:rPr>
            <w:rStyle w:val="Hipersaitas"/>
            <w:sz w:val="24"/>
            <w:szCs w:val="24"/>
            <w:lang w:val="lt-LT"/>
          </w:rPr>
          <w:t>https://vda.lrv.lt/lt/</w:t>
        </w:r>
      </w:hyperlink>
      <w:r w:rsidRPr="001E6E47">
        <w:rPr>
          <w:sz w:val="24"/>
          <w:szCs w:val="24"/>
          <w:lang w:val="lt-LT"/>
        </w:rPr>
        <w:t>).</w:t>
      </w:r>
    </w:p>
    <w:p w14:paraId="3132ED29" w14:textId="5659A3FF" w:rsidR="00A156FD" w:rsidRPr="001E6E47" w:rsidRDefault="00A156FD" w:rsidP="003368B8">
      <w:pPr>
        <w:spacing w:before="160"/>
        <w:rPr>
          <w:b/>
          <w:bCs/>
          <w:sz w:val="24"/>
          <w:szCs w:val="24"/>
          <w:lang w:val="lt-LT"/>
        </w:rPr>
      </w:pPr>
      <w:r w:rsidRPr="001E6E47">
        <w:rPr>
          <w:b/>
          <w:bCs/>
          <w:sz w:val="24"/>
          <w:szCs w:val="24"/>
          <w:lang w:val="lt-LT"/>
        </w:rPr>
        <w:t>Dėl ekonomin</w:t>
      </w:r>
      <w:r w:rsidR="00DA7F59" w:rsidRPr="001E6E47">
        <w:rPr>
          <w:b/>
          <w:bCs/>
          <w:sz w:val="24"/>
          <w:szCs w:val="24"/>
          <w:lang w:val="lt-LT"/>
        </w:rPr>
        <w:t>io naudingumo</w:t>
      </w:r>
    </w:p>
    <w:p w14:paraId="5ED6CE33" w14:textId="748A428D" w:rsidR="00DA7F59" w:rsidRPr="001E6E47" w:rsidRDefault="00DA7F59" w:rsidP="003368B8">
      <w:pPr>
        <w:spacing w:after="0"/>
        <w:ind w:firstLine="709"/>
        <w:rPr>
          <w:sz w:val="24"/>
          <w:szCs w:val="24"/>
          <w:lang w:val="lt-LT"/>
        </w:rPr>
      </w:pPr>
      <w:r w:rsidRPr="001E6E47">
        <w:rPr>
          <w:sz w:val="24"/>
          <w:szCs w:val="24"/>
          <w:lang w:val="lt-LT"/>
        </w:rPr>
        <w:t>Pirkimo sąlygų priedo „Kokybės kriterijai ir jų vertinimas“</w:t>
      </w:r>
      <w:r w:rsidR="0095283C" w:rsidRPr="001E6E47">
        <w:rPr>
          <w:sz w:val="24"/>
          <w:szCs w:val="24"/>
          <w:lang w:val="lt-LT"/>
        </w:rPr>
        <w:t xml:space="preserve"> 2.1 papunktyje nurodyta formulė:</w:t>
      </w:r>
    </w:p>
    <w:p w14:paraId="6E3C4C4F" w14:textId="010ADAAE" w:rsidR="003F7D8F" w:rsidRPr="001E6E47" w:rsidRDefault="00D70A93" w:rsidP="00B575B6">
      <w:pPr>
        <w:spacing w:after="0"/>
        <w:rPr>
          <w:sz w:val="24"/>
          <w:szCs w:val="24"/>
          <w:lang w:val="lt-LT"/>
        </w:rPr>
      </w:pPr>
      <w:bookmarkStart w:id="0" w:name="_Hlk194315558"/>
      <w:r w:rsidRPr="001E6E47">
        <w:rPr>
          <w:sz w:val="24"/>
          <w:szCs w:val="24"/>
          <w:lang w:val="lt-LT"/>
        </w:rPr>
        <w:t>K1 = ( 1 - K1 Pasiūlyta kaina / 1122021,31) * Lyginamasis svoris.</w:t>
      </w:r>
      <w:bookmarkEnd w:id="0"/>
      <w:r w:rsidR="00852D9D" w:rsidRPr="001E6E47">
        <w:rPr>
          <w:sz w:val="24"/>
          <w:szCs w:val="24"/>
          <w:lang w:val="lt-LT"/>
        </w:rPr>
        <w:t xml:space="preserve"> </w:t>
      </w:r>
      <w:r w:rsidR="00E02B50" w:rsidRPr="001E6E47">
        <w:rPr>
          <w:sz w:val="24"/>
          <w:szCs w:val="24"/>
          <w:lang w:val="lt-LT"/>
        </w:rPr>
        <w:t>Nurodyta formulė yra dviprasmiška ir gali būti skirtingai interpretuojama</w:t>
      </w:r>
      <w:r w:rsidR="009C4D42" w:rsidRPr="001E6E47">
        <w:rPr>
          <w:sz w:val="24"/>
          <w:szCs w:val="24"/>
          <w:lang w:val="lt-LT"/>
        </w:rPr>
        <w:t xml:space="preserve">, todėl dėl aiškumo </w:t>
      </w:r>
      <w:r w:rsidR="00C55E9B" w:rsidRPr="001E6E47">
        <w:rPr>
          <w:sz w:val="24"/>
          <w:szCs w:val="24"/>
          <w:lang w:val="lt-LT"/>
        </w:rPr>
        <w:t>r</w:t>
      </w:r>
      <w:r w:rsidRPr="001E6E47">
        <w:rPr>
          <w:sz w:val="24"/>
          <w:szCs w:val="24"/>
          <w:lang w:val="lt-LT"/>
        </w:rPr>
        <w:t>ekomenduotina tikslinti formulę</w:t>
      </w:r>
      <w:r w:rsidR="00084236" w:rsidRPr="001E6E47">
        <w:rPr>
          <w:sz w:val="24"/>
          <w:szCs w:val="24"/>
          <w:lang w:val="lt-LT"/>
        </w:rPr>
        <w:t xml:space="preserve"> </w:t>
      </w:r>
      <w:r w:rsidR="00AC12D4" w:rsidRPr="001E6E47">
        <w:rPr>
          <w:sz w:val="24"/>
          <w:szCs w:val="24"/>
          <w:lang w:val="lt-LT"/>
        </w:rPr>
        <w:t xml:space="preserve">tinkamai </w:t>
      </w:r>
      <w:r w:rsidR="000C1992">
        <w:rPr>
          <w:sz w:val="24"/>
          <w:szCs w:val="24"/>
          <w:lang w:val="lt-LT"/>
        </w:rPr>
        <w:t>sudedant visus simbolius (</w:t>
      </w:r>
      <w:r w:rsidR="00806250">
        <w:rPr>
          <w:sz w:val="24"/>
          <w:szCs w:val="24"/>
          <w:lang w:val="lt-LT"/>
        </w:rPr>
        <w:t>skliau</w:t>
      </w:r>
      <w:r w:rsidR="000C1992">
        <w:rPr>
          <w:sz w:val="24"/>
          <w:szCs w:val="24"/>
          <w:lang w:val="lt-LT"/>
        </w:rPr>
        <w:t>stus)</w:t>
      </w:r>
      <w:r w:rsidR="00806250">
        <w:rPr>
          <w:sz w:val="24"/>
          <w:szCs w:val="24"/>
          <w:lang w:val="lt-LT"/>
        </w:rPr>
        <w:t>.</w:t>
      </w:r>
    </w:p>
    <w:p w14:paraId="7C30E00B" w14:textId="77777777" w:rsidR="003F7D8F" w:rsidRPr="003F7D8F" w:rsidRDefault="003F7D8F" w:rsidP="00806250">
      <w:pPr>
        <w:spacing w:before="160" w:after="0"/>
        <w:ind w:firstLine="709"/>
        <w:rPr>
          <w:sz w:val="24"/>
          <w:szCs w:val="24"/>
          <w:lang w:val="lt-LT"/>
        </w:rPr>
      </w:pPr>
      <w:r w:rsidRPr="003F7D8F">
        <w:rPr>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3F7D8F">
        <w:rPr>
          <w:sz w:val="24"/>
          <w:szCs w:val="24"/>
          <w:vertAlign w:val="superscript"/>
        </w:rPr>
        <w:footnoteReference w:id="7"/>
      </w:r>
      <w:r w:rsidRPr="003F7D8F">
        <w:rPr>
          <w:sz w:val="24"/>
          <w:szCs w:val="24"/>
          <w:lang w:val="lt-LT"/>
        </w:rPr>
        <w:t xml:space="preserve"> ir 4</w:t>
      </w:r>
      <w:r w:rsidRPr="003F7D8F">
        <w:rPr>
          <w:sz w:val="24"/>
          <w:szCs w:val="24"/>
          <w:vertAlign w:val="superscript"/>
        </w:rPr>
        <w:footnoteReference w:id="8"/>
      </w:r>
      <w:r w:rsidRPr="003F7D8F">
        <w:rPr>
          <w:sz w:val="24"/>
          <w:szCs w:val="24"/>
          <w:lang w:val="lt-LT"/>
        </w:rPr>
        <w:t xml:space="preserve"> dalių nuostatomis.</w:t>
      </w:r>
    </w:p>
    <w:p w14:paraId="65DD7726" w14:textId="77777777" w:rsidR="003F7D8F" w:rsidRPr="001E6E47" w:rsidRDefault="003F7D8F" w:rsidP="00B575B6">
      <w:pPr>
        <w:spacing w:after="0"/>
        <w:rPr>
          <w:sz w:val="24"/>
          <w:szCs w:val="24"/>
          <w:lang w:val="lt-LT"/>
        </w:rPr>
      </w:pPr>
    </w:p>
    <w:sectPr w:rsidR="003F7D8F" w:rsidRPr="001E6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43EB" w14:textId="77777777" w:rsidR="0019192F" w:rsidRDefault="0019192F" w:rsidP="00040F31">
      <w:pPr>
        <w:spacing w:after="0" w:line="240" w:lineRule="auto"/>
      </w:pPr>
      <w:r>
        <w:separator/>
      </w:r>
    </w:p>
  </w:endnote>
  <w:endnote w:type="continuationSeparator" w:id="0">
    <w:p w14:paraId="36817A58" w14:textId="77777777" w:rsidR="0019192F" w:rsidRDefault="0019192F" w:rsidP="00040F31">
      <w:pPr>
        <w:spacing w:after="0" w:line="240" w:lineRule="auto"/>
      </w:pPr>
      <w:r>
        <w:continuationSeparator/>
      </w:r>
    </w:p>
  </w:endnote>
  <w:endnote w:type="continuationNotice" w:id="1">
    <w:p w14:paraId="36DD8676" w14:textId="77777777" w:rsidR="0019192F" w:rsidRDefault="00191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50D1" w14:textId="77777777" w:rsidR="0019192F" w:rsidRDefault="0019192F" w:rsidP="00040F31">
      <w:pPr>
        <w:spacing w:after="0" w:line="240" w:lineRule="auto"/>
      </w:pPr>
      <w:r>
        <w:separator/>
      </w:r>
    </w:p>
  </w:footnote>
  <w:footnote w:type="continuationSeparator" w:id="0">
    <w:p w14:paraId="46A0E674" w14:textId="77777777" w:rsidR="0019192F" w:rsidRDefault="0019192F" w:rsidP="00040F31">
      <w:pPr>
        <w:spacing w:after="0" w:line="240" w:lineRule="auto"/>
      </w:pPr>
      <w:r>
        <w:continuationSeparator/>
      </w:r>
    </w:p>
  </w:footnote>
  <w:footnote w:type="continuationNotice" w:id="1">
    <w:p w14:paraId="4BC1A075" w14:textId="77777777" w:rsidR="0019192F" w:rsidRDefault="0019192F">
      <w:pPr>
        <w:spacing w:after="0" w:line="240" w:lineRule="auto"/>
      </w:pPr>
    </w:p>
  </w:footnote>
  <w:footnote w:id="2">
    <w:p w14:paraId="22C20117" w14:textId="77777777" w:rsidR="00040F31" w:rsidRDefault="00040F31" w:rsidP="00040F31">
      <w:pPr>
        <w:pStyle w:val="Puslapioinaostekstas"/>
      </w:pPr>
      <w:r>
        <w:rPr>
          <w:rStyle w:val="Puslapioinaosnuoroda"/>
        </w:rPr>
        <w:footnoteRef/>
      </w:r>
      <w:r>
        <w:t xml:space="preserve"> 79. </w:t>
      </w:r>
      <w:r w:rsidRPr="00265647">
        <w:rPr>
          <w:b/>
          <w:bCs/>
        </w:rPr>
        <w:t>Statinio statybos vadovas</w:t>
      </w:r>
      <w:r w:rsidRPr="00265647">
        <w:t> – statybos inžinierius, kuris, atstovaudamas rangovui (kai statyba vykdoma rangos būdu) ar statytojui (užsakovui) (kai statyba vykdoma ūkio būdu) ir įgyvendindamas statinio projektą nuo statybos pradžios iki užbaigimo</w:t>
      </w:r>
      <w:r w:rsidRPr="00265647">
        <w:rPr>
          <w:b/>
          <w:bCs/>
        </w:rPr>
        <w:t>, vadovauja statybos darbams, kartu gali būti</w:t>
      </w:r>
      <w:r w:rsidRPr="00265647">
        <w:rPr>
          <w:b/>
          <w:bCs/>
          <w:i/>
          <w:iCs/>
        </w:rPr>
        <w:t> </w:t>
      </w:r>
      <w:r w:rsidRPr="00265647">
        <w:rPr>
          <w:b/>
          <w:bCs/>
        </w:rPr>
        <w:t>bendrųjų statybos darbų vadovas</w:t>
      </w:r>
      <w:r w:rsidRPr="00265647">
        <w:t>, koordinuoja statinio statybos specialiųjų darbų vykdymą bei šių darbų vadovų veiklą ir pagal kompetenciją atsako už pastatyto statinio atitiktį statinio projektui ir</w:t>
      </w:r>
      <w:r w:rsidRPr="00265647">
        <w:rPr>
          <w:b/>
          <w:bCs/>
        </w:rPr>
        <w:t> </w:t>
      </w:r>
      <w:r w:rsidRPr="00265647">
        <w:t>statinio normatyvinę kokybę.</w:t>
      </w:r>
    </w:p>
  </w:footnote>
  <w:footnote w:id="3">
    <w:p w14:paraId="1F5F07B1" w14:textId="77777777" w:rsidR="00040F31" w:rsidRDefault="00040F31" w:rsidP="00040F31">
      <w:pPr>
        <w:pStyle w:val="Puslapioinaostekstas"/>
      </w:pPr>
      <w:r>
        <w:rPr>
          <w:rStyle w:val="Puslapioinaosnuoroda"/>
        </w:rPr>
        <w:footnoteRef/>
      </w:r>
      <w:r>
        <w:t xml:space="preserve"> </w:t>
      </w:r>
      <w:r w:rsidRPr="00472F4E">
        <w:t xml:space="preserve">24.6.4. </w:t>
      </w:r>
      <w:r w:rsidRPr="00DA1931">
        <w:rPr>
          <w:b/>
          <w:bCs/>
        </w:rPr>
        <w:t>darbo sritis nenurodoma</w:t>
      </w:r>
      <w:r w:rsidRPr="00472F4E">
        <w:t xml:space="preserve"> suteikiant teisę eiti Reglamento 2.1.1, 2.1.3, </w:t>
      </w:r>
      <w:r w:rsidRPr="00CA51E7">
        <w:rPr>
          <w:b/>
          <w:bCs/>
        </w:rPr>
        <w:t>2.1.5</w:t>
      </w:r>
      <w:r w:rsidRPr="00472F4E">
        <w:t xml:space="preserve">, 2.1.7, 2.1.9, 2.1.11, 2.1.13, 2.1.15, </w:t>
      </w:r>
      <w:r w:rsidRPr="00E34134">
        <w:rPr>
          <w:b/>
          <w:bCs/>
        </w:rPr>
        <w:t>2.1.17</w:t>
      </w:r>
      <w:r w:rsidRPr="00472F4E">
        <w:t>, 2.1.19 papunkčiuose nurodytas vadovų pareigas;</w:t>
      </w:r>
    </w:p>
  </w:footnote>
  <w:footnote w:id="4">
    <w:p w14:paraId="1BB6E6DF" w14:textId="77777777" w:rsidR="00040F31" w:rsidRDefault="00040F31" w:rsidP="00040F31">
      <w:pPr>
        <w:pStyle w:val="Puslapioinaostekstas"/>
      </w:pPr>
      <w:r>
        <w:rPr>
          <w:rStyle w:val="Puslapioinaosnuoroda"/>
        </w:rPr>
        <w:footnoteRef/>
      </w:r>
      <w:r>
        <w:t xml:space="preserve"> </w:t>
      </w:r>
      <w:r w:rsidRPr="00DA1931">
        <w:t xml:space="preserve">53.5.4. </w:t>
      </w:r>
      <w:r w:rsidRPr="00DA1931">
        <w:rPr>
          <w:b/>
          <w:bCs/>
        </w:rPr>
        <w:t>darbo sritis nenurodoma</w:t>
      </w:r>
      <w:r w:rsidRPr="00DA1931">
        <w:t xml:space="preserve"> pripažįstant teisę eiti Reglamento 2.1.1, 2.1.3, </w:t>
      </w:r>
      <w:r w:rsidRPr="00DA1931">
        <w:rPr>
          <w:b/>
          <w:bCs/>
        </w:rPr>
        <w:t>2.1.5</w:t>
      </w:r>
      <w:r w:rsidRPr="00DA1931">
        <w:t xml:space="preserve">, 2.1.7,2.1.9, 2.1.11, 2.1.13, 2.1.15, </w:t>
      </w:r>
      <w:r w:rsidRPr="00DA1931">
        <w:rPr>
          <w:b/>
          <w:bCs/>
        </w:rPr>
        <w:t>2.1.17</w:t>
      </w:r>
      <w:r w:rsidRPr="00DA1931">
        <w:t>, 2.1.19 papunkčiuose nurodytas vadovų pareigas;</w:t>
      </w:r>
    </w:p>
  </w:footnote>
  <w:footnote w:id="5">
    <w:p w14:paraId="2FA14A2C" w14:textId="77777777" w:rsidR="00B257B3" w:rsidRPr="00C03CB0" w:rsidRDefault="00B257B3" w:rsidP="00B257B3">
      <w:pPr>
        <w:pStyle w:val="Puslapioinaostekstas"/>
        <w:rPr>
          <w:b/>
          <w:bCs/>
        </w:rPr>
      </w:pPr>
      <w:r>
        <w:rPr>
          <w:rStyle w:val="Puslapioinaosnuoroda"/>
        </w:rPr>
        <w:footnoteRef/>
      </w:r>
      <w:r>
        <w:t xml:space="preserve"> </w:t>
      </w:r>
      <w:r>
        <w:t xml:space="preserve">Įstatymo 28 str. </w:t>
      </w:r>
      <w:r>
        <w:rPr>
          <w:color w:val="000000"/>
        </w:rPr>
        <w:t xml:space="preserve">2. Perkančioji organizacija, nusprendusi tarptautinio pirkimo </w:t>
      </w:r>
      <w:r w:rsidRPr="00C03CB0">
        <w:rPr>
          <w:b/>
          <w:bCs/>
          <w:color w:val="000000"/>
        </w:rPr>
        <w:t>ar statinio statybos darbų ir statinio projektavimo paslaugų pirkimo objekto neskaidyti į dalis, sprendimo pagrindimą nurodo pirkimo dokumentuose.</w:t>
      </w:r>
    </w:p>
  </w:footnote>
  <w:footnote w:id="6">
    <w:p w14:paraId="358E4861" w14:textId="77777777" w:rsidR="00DB611A" w:rsidRDefault="00DB611A" w:rsidP="00DB611A">
      <w:pPr>
        <w:pStyle w:val="Puslapioinaostekstas"/>
      </w:pPr>
      <w:r>
        <w:rPr>
          <w:rStyle w:val="Puslapioinaosnuoroda"/>
        </w:rPr>
        <w:footnoteRef/>
      </w:r>
      <w:r>
        <w:t xml:space="preserve"> </w:t>
      </w:r>
      <w:r>
        <w:t>P</w:t>
      </w:r>
      <w:r w:rsidRPr="00BE2935">
        <w:t>atvirtin</w:t>
      </w:r>
      <w:r>
        <w:t xml:space="preserve">tas </w:t>
      </w:r>
      <w:r w:rsidRPr="00BE2935">
        <w:t>Lietuvos Respublikos aplinkos ministro 2011 m. birželio 28 d. įsakym</w:t>
      </w:r>
      <w:r>
        <w:t>u</w:t>
      </w:r>
      <w:r w:rsidRPr="00BE2935">
        <w:t xml:space="preserve"> Nr. D1-508</w:t>
      </w:r>
      <w:r>
        <w:t>.</w:t>
      </w:r>
    </w:p>
  </w:footnote>
  <w:footnote w:id="7">
    <w:p w14:paraId="32621982" w14:textId="77777777" w:rsidR="003F7D8F" w:rsidRPr="00437C1D" w:rsidRDefault="003F7D8F" w:rsidP="003F7D8F">
      <w:pPr>
        <w:pStyle w:val="Puslapioinaostekstas"/>
        <w:jc w:val="both"/>
        <w:rPr>
          <w:rFonts w:ascii="Calibri" w:hAnsi="Calibri" w:cs="Calibri"/>
        </w:rPr>
      </w:pPr>
      <w:r w:rsidRPr="00437C1D">
        <w:rPr>
          <w:rStyle w:val="Puslapioinaosnuoroda"/>
          <w:rFonts w:ascii="Calibri" w:hAnsi="Calibri" w:cs="Calibri"/>
        </w:rPr>
        <w:footnoteRef/>
      </w:r>
      <w:r w:rsidRPr="00437C1D">
        <w:rPr>
          <w:rFonts w:ascii="Calibri" w:hAnsi="Calibri" w:cs="Calibri"/>
        </w:rPr>
        <w:t xml:space="preserve"> </w:t>
      </w:r>
      <w:r w:rsidRPr="00437C1D">
        <w:rPr>
          <w:rFonts w:ascii="Calibri" w:hAnsi="Calibri" w:cs="Calibri"/>
        </w:rPr>
        <w:t>„</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8">
    <w:p w14:paraId="78795A41" w14:textId="77777777" w:rsidR="003F7D8F" w:rsidRPr="00437C1D" w:rsidRDefault="003F7D8F" w:rsidP="003F7D8F">
      <w:pPr>
        <w:pStyle w:val="Puslapioinaostekstas"/>
        <w:jc w:val="both"/>
        <w:rPr>
          <w:rFonts w:ascii="Calibri" w:hAnsi="Calibri" w:cs="Calibri"/>
        </w:rPr>
      </w:pPr>
      <w:r w:rsidRPr="00437C1D">
        <w:rPr>
          <w:rStyle w:val="Puslapioinaosnuoroda"/>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EF"/>
    <w:rsid w:val="00040F31"/>
    <w:rsid w:val="00067776"/>
    <w:rsid w:val="00084236"/>
    <w:rsid w:val="000C1992"/>
    <w:rsid w:val="000E3F02"/>
    <w:rsid w:val="00152BB8"/>
    <w:rsid w:val="0019192F"/>
    <w:rsid w:val="001D7A0A"/>
    <w:rsid w:val="001E6E47"/>
    <w:rsid w:val="001F2F0B"/>
    <w:rsid w:val="00241DBD"/>
    <w:rsid w:val="00251FAF"/>
    <w:rsid w:val="0026482F"/>
    <w:rsid w:val="002656CA"/>
    <w:rsid w:val="002805D4"/>
    <w:rsid w:val="00286456"/>
    <w:rsid w:val="002B016E"/>
    <w:rsid w:val="002B2C24"/>
    <w:rsid w:val="002C1E3D"/>
    <w:rsid w:val="002D6609"/>
    <w:rsid w:val="002F0327"/>
    <w:rsid w:val="002F7E1D"/>
    <w:rsid w:val="003368B8"/>
    <w:rsid w:val="0036478D"/>
    <w:rsid w:val="0037539A"/>
    <w:rsid w:val="00384745"/>
    <w:rsid w:val="00390B86"/>
    <w:rsid w:val="003B29AB"/>
    <w:rsid w:val="003D4893"/>
    <w:rsid w:val="003F7D8F"/>
    <w:rsid w:val="004C0860"/>
    <w:rsid w:val="00504BEE"/>
    <w:rsid w:val="00505158"/>
    <w:rsid w:val="00522666"/>
    <w:rsid w:val="00564C1B"/>
    <w:rsid w:val="0056656B"/>
    <w:rsid w:val="00570451"/>
    <w:rsid w:val="00592463"/>
    <w:rsid w:val="005B6CB2"/>
    <w:rsid w:val="00682615"/>
    <w:rsid w:val="0069666C"/>
    <w:rsid w:val="0069738C"/>
    <w:rsid w:val="006D5754"/>
    <w:rsid w:val="00765BFF"/>
    <w:rsid w:val="0078777E"/>
    <w:rsid w:val="007E1B98"/>
    <w:rsid w:val="00806250"/>
    <w:rsid w:val="00831A79"/>
    <w:rsid w:val="00831F4F"/>
    <w:rsid w:val="00852D9D"/>
    <w:rsid w:val="00864635"/>
    <w:rsid w:val="0095283C"/>
    <w:rsid w:val="009C4735"/>
    <w:rsid w:val="009C4D42"/>
    <w:rsid w:val="00A050F1"/>
    <w:rsid w:val="00A156FD"/>
    <w:rsid w:val="00A50DB6"/>
    <w:rsid w:val="00AC12D4"/>
    <w:rsid w:val="00AD3F83"/>
    <w:rsid w:val="00AE15BE"/>
    <w:rsid w:val="00B03E7C"/>
    <w:rsid w:val="00B257B3"/>
    <w:rsid w:val="00B575B6"/>
    <w:rsid w:val="00B613C6"/>
    <w:rsid w:val="00B93547"/>
    <w:rsid w:val="00BB24AD"/>
    <w:rsid w:val="00BF7F95"/>
    <w:rsid w:val="00C03CB0"/>
    <w:rsid w:val="00C26E2B"/>
    <w:rsid w:val="00C55E9B"/>
    <w:rsid w:val="00C83A7E"/>
    <w:rsid w:val="00CA5A27"/>
    <w:rsid w:val="00D40875"/>
    <w:rsid w:val="00D70A93"/>
    <w:rsid w:val="00D717CE"/>
    <w:rsid w:val="00DA7F59"/>
    <w:rsid w:val="00DB611A"/>
    <w:rsid w:val="00DD0C60"/>
    <w:rsid w:val="00DF11EF"/>
    <w:rsid w:val="00E02ACC"/>
    <w:rsid w:val="00E02B50"/>
    <w:rsid w:val="00E944F6"/>
    <w:rsid w:val="00F152AA"/>
    <w:rsid w:val="00F53F51"/>
    <w:rsid w:val="00F80E59"/>
    <w:rsid w:val="00FB758B"/>
    <w:rsid w:val="00FD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4EED"/>
  <w15:chartTrackingRefBased/>
  <w15:docId w15:val="{56787F08-5B7D-4512-90E0-E0C1BC1F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F1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1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11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11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11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11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11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11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11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11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11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11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11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11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F11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11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11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11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1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11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11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11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11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11EF"/>
    <w:rPr>
      <w:i/>
      <w:iCs/>
      <w:color w:val="404040" w:themeColor="text1" w:themeTint="BF"/>
    </w:rPr>
  </w:style>
  <w:style w:type="paragraph" w:styleId="Sraopastraipa">
    <w:name w:val="List Paragraph"/>
    <w:basedOn w:val="prastasis"/>
    <w:uiPriority w:val="34"/>
    <w:qFormat/>
    <w:rsid w:val="00DF11EF"/>
    <w:pPr>
      <w:ind w:left="720"/>
      <w:contextualSpacing/>
    </w:pPr>
  </w:style>
  <w:style w:type="character" w:styleId="Rykuspabraukimas">
    <w:name w:val="Intense Emphasis"/>
    <w:basedOn w:val="Numatytasispastraiposriftas"/>
    <w:uiPriority w:val="21"/>
    <w:qFormat/>
    <w:rsid w:val="00DF11EF"/>
    <w:rPr>
      <w:i/>
      <w:iCs/>
      <w:color w:val="2F5496" w:themeColor="accent1" w:themeShade="BF"/>
    </w:rPr>
  </w:style>
  <w:style w:type="paragraph" w:styleId="Iskirtacitata">
    <w:name w:val="Intense Quote"/>
    <w:basedOn w:val="prastasis"/>
    <w:next w:val="prastasis"/>
    <w:link w:val="IskirtacitataDiagrama"/>
    <w:uiPriority w:val="30"/>
    <w:qFormat/>
    <w:rsid w:val="00DF1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11EF"/>
    <w:rPr>
      <w:i/>
      <w:iCs/>
      <w:color w:val="2F5496" w:themeColor="accent1" w:themeShade="BF"/>
    </w:rPr>
  </w:style>
  <w:style w:type="character" w:styleId="Rykinuoroda">
    <w:name w:val="Intense Reference"/>
    <w:basedOn w:val="Numatytasispastraiposriftas"/>
    <w:uiPriority w:val="32"/>
    <w:qFormat/>
    <w:rsid w:val="00DF11EF"/>
    <w:rPr>
      <w:b/>
      <w:bCs/>
      <w:smallCaps/>
      <w:color w:val="2F5496" w:themeColor="accent1" w:themeShade="BF"/>
      <w:spacing w:val="5"/>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40F31"/>
    <w:pPr>
      <w:spacing w:after="0" w:line="240" w:lineRule="auto"/>
    </w:pPr>
    <w:rPr>
      <w:kern w:val="0"/>
      <w:sz w:val="20"/>
      <w:szCs w:val="20"/>
      <w:lang w:val="lt-LT"/>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rsid w:val="00040F31"/>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40F31"/>
    <w:rPr>
      <w:vertAlign w:val="superscript"/>
    </w:rPr>
  </w:style>
  <w:style w:type="character" w:styleId="Hipersaitas">
    <w:name w:val="Hyperlink"/>
    <w:basedOn w:val="Numatytasispastraiposriftas"/>
    <w:uiPriority w:val="99"/>
    <w:unhideWhenUsed/>
    <w:rsid w:val="00040F31"/>
    <w:rPr>
      <w:color w:val="0563C1" w:themeColor="hyperlink"/>
      <w:u w:val="single"/>
    </w:rPr>
  </w:style>
  <w:style w:type="character" w:styleId="Neapdorotaspaminjimas">
    <w:name w:val="Unresolved Mention"/>
    <w:basedOn w:val="Numatytasispastraiposriftas"/>
    <w:uiPriority w:val="99"/>
    <w:semiHidden/>
    <w:unhideWhenUsed/>
    <w:rsid w:val="00040F31"/>
    <w:rPr>
      <w:color w:val="605E5C"/>
      <w:shd w:val="clear" w:color="auto" w:fill="E1DFDD"/>
    </w:rPr>
  </w:style>
  <w:style w:type="character" w:styleId="Perirtashipersaitas">
    <w:name w:val="FollowedHyperlink"/>
    <w:basedOn w:val="Numatytasispastraiposriftas"/>
    <w:uiPriority w:val="99"/>
    <w:semiHidden/>
    <w:unhideWhenUsed/>
    <w:rsid w:val="00241DBD"/>
    <w:rPr>
      <w:color w:val="954F72" w:themeColor="followedHyperlink"/>
      <w:u w:val="single"/>
    </w:rPr>
  </w:style>
  <w:style w:type="paragraph" w:styleId="Antrats">
    <w:name w:val="header"/>
    <w:basedOn w:val="prastasis"/>
    <w:link w:val="AntratsDiagrama"/>
    <w:uiPriority w:val="99"/>
    <w:semiHidden/>
    <w:unhideWhenUsed/>
    <w:rsid w:val="00504B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04BEE"/>
  </w:style>
  <w:style w:type="paragraph" w:styleId="Porat">
    <w:name w:val="footer"/>
    <w:basedOn w:val="prastasis"/>
    <w:link w:val="PoratDiagrama"/>
    <w:uiPriority w:val="99"/>
    <w:semiHidden/>
    <w:unhideWhenUsed/>
    <w:rsid w:val="00504B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04BEE"/>
  </w:style>
  <w:style w:type="paragraph" w:styleId="Pataisymai">
    <w:name w:val="Revision"/>
    <w:hidden/>
    <w:uiPriority w:val="99"/>
    <w:semiHidden/>
    <w:rsid w:val="000C1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da.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0b841ee0c05511e688d0ed775a2e782a/as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TAR.F31E79DEC55D/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90D295E5-BDAF-4185-A513-ED717F816EA4}">
  <ds:schemaRefs>
    <ds:schemaRef ds:uri="http://schemas.microsoft.com/sharepoint/v3/contenttype/forms"/>
  </ds:schemaRefs>
</ds:datastoreItem>
</file>

<file path=customXml/itemProps2.xml><?xml version="1.0" encoding="utf-8"?>
<ds:datastoreItem xmlns:ds="http://schemas.openxmlformats.org/officeDocument/2006/customXml" ds:itemID="{ADF9A3EC-983B-4B81-8C02-C5BC074EA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3E2AE-CC25-4857-821B-E61DB3E94F0A}">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1542</Words>
  <Characters>8796</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6</cp:revision>
  <dcterms:created xsi:type="dcterms:W3CDTF">2025-04-01T05:18:00Z</dcterms:created>
  <dcterms:modified xsi:type="dcterms:W3CDTF">2025-04-03T13:51:00Z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