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B905BF">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2EAC7A5D" w:rsidR="00665DBE" w:rsidRPr="00B905BF" w:rsidRDefault="00665DBE" w:rsidP="00B905BF">
      <w:pPr>
        <w:spacing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r w:rsidR="00F14700" w:rsidRPr="00B905BF">
        <w:rPr>
          <w:rFonts w:ascii="Calibri" w:hAnsi="Calibri" w:cs="Calibri"/>
          <w:lang w:val="lt-LT"/>
        </w:rPr>
        <w:t xml:space="preserve">Molėtų rajono savivaldybės administracijos </w:t>
      </w:r>
      <w:r w:rsidRPr="00B905BF">
        <w:rPr>
          <w:rFonts w:ascii="Calibri" w:hAnsi="Calibri" w:cs="Calibri"/>
          <w:lang w:val="lt-LT"/>
        </w:rPr>
        <w:t>(toliau – Perkančioji organizacija) vykdomo pirkimo Nr.</w:t>
      </w:r>
      <w:r w:rsidRPr="00B905BF">
        <w:rPr>
          <w:rFonts w:ascii="Calibri" w:hAnsi="Calibri" w:cs="Calibri"/>
          <w:b/>
          <w:bCs/>
          <w:lang w:val="lt-LT"/>
        </w:rPr>
        <w:t xml:space="preserve"> </w:t>
      </w:r>
      <w:r w:rsidR="008D22B4" w:rsidRPr="00B905BF">
        <w:rPr>
          <w:rFonts w:ascii="Calibri" w:hAnsi="Calibri" w:cs="Calibri"/>
          <w:b/>
          <w:bCs/>
          <w:lang w:val="lt-LT"/>
        </w:rPr>
        <w:t>1</w:t>
      </w:r>
      <w:r w:rsidR="00F14700" w:rsidRPr="00B905BF">
        <w:rPr>
          <w:rFonts w:ascii="Calibri" w:hAnsi="Calibri" w:cs="Calibri"/>
          <w:b/>
          <w:bCs/>
          <w:lang w:val="lt-LT"/>
        </w:rPr>
        <w:t>44</w:t>
      </w:r>
      <w:r w:rsidR="00667396" w:rsidRPr="00B905BF">
        <w:rPr>
          <w:rFonts w:ascii="Calibri" w:hAnsi="Calibri" w:cs="Calibri"/>
          <w:b/>
          <w:bCs/>
          <w:lang w:val="lt-LT"/>
        </w:rPr>
        <w:t>3434</w:t>
      </w:r>
      <w:r w:rsidRPr="00B905BF">
        <w:rPr>
          <w:rFonts w:ascii="Calibri" w:hAnsi="Calibri" w:cs="Calibri"/>
          <w:b/>
          <w:bCs/>
          <w:lang w:val="lt-LT"/>
        </w:rPr>
        <w:t xml:space="preserve"> „</w:t>
      </w:r>
      <w:r w:rsidR="00667396" w:rsidRPr="00B905BF">
        <w:rPr>
          <w:rFonts w:ascii="Calibri" w:hAnsi="Calibri" w:cs="Calibri"/>
          <w:b/>
          <w:bCs/>
          <w:lang w:val="lt-LT"/>
        </w:rPr>
        <w:t>Gydymo paskirties pastato dalies patalpų, pritaikant reabilitacinei veiklai kapitalinis remontas</w:t>
      </w:r>
      <w:r w:rsidRPr="00B905BF">
        <w:rPr>
          <w:rFonts w:ascii="Calibri" w:hAnsi="Calibri" w:cs="Calibri"/>
          <w:b/>
          <w:bCs/>
          <w:lang w:val="lt-LT"/>
        </w:rPr>
        <w:t>“</w:t>
      </w:r>
      <w:r w:rsidRPr="00B905BF">
        <w:rPr>
          <w:rFonts w:ascii="Calibri" w:hAnsi="Calibri" w:cs="Calibri"/>
          <w:lang w:val="lt-LT"/>
        </w:rPr>
        <w:t xml:space="preserve"> (toliau – Pirkimas) dokumentų atitikties Įstatymui ir jį įgyvendinantiems teisės aktams peržiūra (peržiūra prevenciniais tikslais atliekama tam tikra apimtimi).</w:t>
      </w:r>
    </w:p>
    <w:p w14:paraId="256A41BA" w14:textId="3647DC1E" w:rsidR="001F1335" w:rsidRPr="00B905BF" w:rsidRDefault="00665DBE" w:rsidP="00B905BF">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C22F89" w:rsidRPr="00B905BF">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4CFBA26C" w14:textId="2B2AC9E9" w:rsidR="00ED208F" w:rsidRPr="00B905BF" w:rsidRDefault="00974FF2" w:rsidP="00B905BF">
      <w:pPr>
        <w:spacing w:line="276" w:lineRule="auto"/>
        <w:rPr>
          <w:rFonts w:ascii="Calibri" w:eastAsia="Times New Roman" w:hAnsi="Calibri" w:cs="Calibri"/>
          <w:b/>
          <w:bCs/>
          <w:lang w:val="lt-LT"/>
        </w:rPr>
      </w:pPr>
      <w:r w:rsidRPr="00B905BF">
        <w:rPr>
          <w:rFonts w:ascii="Calibri" w:eastAsia="Times New Roman" w:hAnsi="Calibri" w:cs="Calibri"/>
          <w:b/>
          <w:bCs/>
          <w:lang w:val="lt-LT"/>
        </w:rPr>
        <w:t>1.</w:t>
      </w:r>
      <w:r w:rsidR="00EB2E90" w:rsidRPr="00B905BF">
        <w:rPr>
          <w:rFonts w:ascii="Calibri" w:eastAsia="Times New Roman" w:hAnsi="Calibri" w:cs="Calibri"/>
          <w:b/>
          <w:bCs/>
          <w:lang w:val="lt-LT"/>
        </w:rPr>
        <w:t xml:space="preserve"> </w:t>
      </w:r>
      <w:r w:rsidR="00B905BF" w:rsidRPr="00B905BF">
        <w:rPr>
          <w:rFonts w:ascii="Calibri" w:eastAsia="Times New Roman" w:hAnsi="Calibri" w:cs="Calibri"/>
          <w:b/>
          <w:bCs/>
          <w:lang w:val="lt-LT"/>
        </w:rPr>
        <w:t xml:space="preserve"> </w:t>
      </w:r>
      <w:r w:rsidR="009247C3" w:rsidRPr="00B905BF">
        <w:rPr>
          <w:rFonts w:ascii="Calibri" w:eastAsia="Times New Roman" w:hAnsi="Calibri" w:cs="Calibri"/>
          <w:b/>
          <w:bCs/>
          <w:lang w:val="lt-LT"/>
        </w:rPr>
        <w:t>Dėl aplinkosauginių reikalavimų</w:t>
      </w:r>
    </w:p>
    <w:p w14:paraId="411FF5E0" w14:textId="1F2F7C27" w:rsidR="00ED208F" w:rsidRPr="00B905BF" w:rsidRDefault="00F872C0"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b/>
          <w:bCs/>
          <w:lang w:val="lt-LT"/>
        </w:rPr>
        <w:t>1.1.</w:t>
      </w:r>
      <w:r w:rsidRPr="00B905BF">
        <w:rPr>
          <w:rFonts w:ascii="Calibri" w:eastAsia="Times New Roman" w:hAnsi="Calibri" w:cs="Calibri"/>
          <w:lang w:val="lt-LT"/>
        </w:rPr>
        <w:t xml:space="preserve"> </w:t>
      </w:r>
      <w:r w:rsidR="005B50A5" w:rsidRPr="00B905BF">
        <w:rPr>
          <w:rFonts w:ascii="Calibri" w:eastAsia="Times New Roman" w:hAnsi="Calibri" w:cs="Calibri"/>
          <w:lang w:val="lt-LT"/>
        </w:rPr>
        <w:t xml:space="preserve">Skelbimo apie pirkimą 5.1.7 </w:t>
      </w:r>
      <w:r w:rsidR="009549B3" w:rsidRPr="00B905BF">
        <w:rPr>
          <w:rFonts w:ascii="Calibri" w:eastAsia="Times New Roman" w:hAnsi="Calibri" w:cs="Calibri"/>
          <w:lang w:val="lt-LT"/>
        </w:rPr>
        <w:t>dalyje nustatyta, jog atliekamas žaliasis viešasis pirkimas</w:t>
      </w:r>
      <w:r w:rsidR="00443E20" w:rsidRPr="00B905BF">
        <w:rPr>
          <w:rFonts w:ascii="Calibri" w:eastAsia="Times New Roman" w:hAnsi="Calibri" w:cs="Calibri"/>
          <w:lang w:val="lt-LT"/>
        </w:rPr>
        <w:t>, kuriam taikomi Nacionaliniai žaliojo viešojo pirkimo kriterijai.</w:t>
      </w:r>
      <w:r w:rsidR="00DF1E87" w:rsidRPr="00B905BF">
        <w:rPr>
          <w:rFonts w:ascii="Calibri" w:eastAsia="Times New Roman" w:hAnsi="Calibri" w:cs="Calibri"/>
          <w:lang w:val="lt-LT"/>
        </w:rPr>
        <w:t xml:space="preserve"> </w:t>
      </w:r>
      <w:r w:rsidR="006D038E" w:rsidRPr="00B905BF">
        <w:rPr>
          <w:rFonts w:ascii="Calibri" w:eastAsia="Times New Roman" w:hAnsi="Calibri" w:cs="Calibri"/>
          <w:lang w:val="lt-LT"/>
        </w:rPr>
        <w:t xml:space="preserve">Pirkimo sąlygų </w:t>
      </w:r>
      <w:r w:rsidR="005C28A3" w:rsidRPr="00B905BF">
        <w:rPr>
          <w:rFonts w:ascii="Calibri" w:eastAsia="Times New Roman" w:hAnsi="Calibri" w:cs="Calibri"/>
          <w:lang w:val="lt-LT"/>
        </w:rPr>
        <w:t>priede Nr. 5 „</w:t>
      </w:r>
      <w:r w:rsidR="002C7551" w:rsidRPr="00B905BF">
        <w:rPr>
          <w:rFonts w:ascii="Calibri" w:eastAsia="Times New Roman" w:hAnsi="Calibri" w:cs="Calibri"/>
          <w:lang w:val="lt-LT"/>
        </w:rPr>
        <w:t>Reikalavimai tiekėjui“</w:t>
      </w:r>
      <w:r w:rsidR="00D058CD" w:rsidRPr="00B905BF">
        <w:rPr>
          <w:rFonts w:ascii="Calibri" w:eastAsia="Times New Roman" w:hAnsi="Calibri" w:cs="Calibri"/>
          <w:lang w:val="lt-LT"/>
        </w:rPr>
        <w:t xml:space="preserve"> nustatyta</w:t>
      </w:r>
      <w:r w:rsidR="00DB1E50" w:rsidRPr="00B905BF">
        <w:rPr>
          <w:rFonts w:ascii="Calibri" w:eastAsia="Times New Roman" w:hAnsi="Calibri" w:cs="Calibri"/>
          <w:lang w:val="lt-LT"/>
        </w:rPr>
        <w:t>s reikalavimas</w:t>
      </w:r>
      <w:r w:rsidR="00060D3C" w:rsidRPr="00B905BF">
        <w:rPr>
          <w:rFonts w:ascii="Calibri" w:eastAsia="Times New Roman" w:hAnsi="Calibri" w:cs="Calibri"/>
          <w:lang w:val="lt-LT"/>
        </w:rPr>
        <w:t>, jog</w:t>
      </w:r>
      <w:r w:rsidR="00DB1E50" w:rsidRPr="00B905BF">
        <w:rPr>
          <w:rFonts w:ascii="Calibri" w:eastAsia="Times New Roman" w:hAnsi="Calibri" w:cs="Calibri"/>
          <w:lang w:val="lt-LT"/>
        </w:rPr>
        <w:t xml:space="preserve"> „</w:t>
      </w:r>
      <w:r w:rsidR="00060D3C" w:rsidRPr="00B905BF">
        <w:rPr>
          <w:rFonts w:ascii="Calibri" w:eastAsia="Times New Roman" w:hAnsi="Calibri" w:cs="Calibri"/>
          <w:b/>
          <w:bCs/>
          <w:lang w:val="lt-LT"/>
        </w:rPr>
        <w:t>Tiekėjas atliekamiems statybos darbams</w:t>
      </w:r>
      <w:r w:rsidR="00060D3C" w:rsidRPr="00B905BF">
        <w:rPr>
          <w:rFonts w:ascii="Calibri" w:eastAsia="Times New Roman" w:hAnsi="Calibri" w:cs="Calibri"/>
          <w:lang w:val="lt-LT"/>
        </w:rPr>
        <w:t xml:space="preserve"> (bendrieji statybos darbai: statybinių konstrukcijų (gelžbetonio, betono, mūro) statyba; apdailos darbai) </w:t>
      </w:r>
      <w:r w:rsidR="00060D3C" w:rsidRPr="00B905BF">
        <w:rPr>
          <w:rFonts w:ascii="Calibri" w:eastAsia="Times New Roman" w:hAnsi="Calibri" w:cs="Calibri"/>
          <w:b/>
          <w:bCs/>
          <w:lang w:val="lt-LT"/>
        </w:rPr>
        <w:t>taiko aplinkos apsaugos vadybos sistemos reikalavimus</w:t>
      </w:r>
      <w:r w:rsidR="00060D3C" w:rsidRPr="00B905BF">
        <w:rPr>
          <w:rFonts w:ascii="Calibri" w:eastAsia="Times New Roman" w:hAnsi="Calibri" w:cs="Calibri"/>
          <w:lang w:val="lt-LT"/>
        </w:rPr>
        <w:t xml:space="preserve"> pagal standartą LST EN ISO 14001 arba EMAS ar kitus aplinkos apsaugos vadybos standartus, pagrįstus atitinkamais Europos arba tarptautinių standartizacijos organizacijų priimtais standartais ar kitais tiekėjo pateiktais lygiaverčiais įrodymais“.</w:t>
      </w:r>
    </w:p>
    <w:p w14:paraId="7ECEDC6F" w14:textId="77777777" w:rsidR="008B438E" w:rsidRPr="00B905BF" w:rsidRDefault="00870F78"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Atsižvelgiant į nurodytą, Tarnyba rekomenduoja</w:t>
      </w:r>
      <w:r w:rsidR="00C74F41" w:rsidRPr="00B905BF">
        <w:rPr>
          <w:rFonts w:ascii="Calibri" w:eastAsia="Times New Roman" w:hAnsi="Calibri" w:cs="Calibri"/>
          <w:lang w:val="lt-LT"/>
        </w:rPr>
        <w:t xml:space="preserve"> </w:t>
      </w:r>
      <w:r w:rsidR="00C74F41" w:rsidRPr="00B905BF">
        <w:rPr>
          <w:rFonts w:ascii="Calibri" w:eastAsia="Times New Roman" w:hAnsi="Calibri" w:cs="Calibri"/>
          <w:b/>
          <w:bCs/>
          <w:lang w:val="lt-LT"/>
        </w:rPr>
        <w:t>papildyti Pirkimo sąlygas</w:t>
      </w:r>
      <w:r w:rsidR="00C74F41" w:rsidRPr="00B905BF">
        <w:rPr>
          <w:rFonts w:ascii="Calibri" w:eastAsia="Times New Roman" w:hAnsi="Calibri" w:cs="Calibri"/>
          <w:lang w:val="lt-LT"/>
        </w:rPr>
        <w:t xml:space="preserve"> nuostata, jog </w:t>
      </w:r>
      <w:r w:rsidR="00831B76" w:rsidRPr="00B905BF">
        <w:rPr>
          <w:rFonts w:ascii="Calibri" w:eastAsia="Times New Roman" w:hAnsi="Calibri" w:cs="Calibri"/>
          <w:lang w:val="lt-LT"/>
        </w:rPr>
        <w:t>a</w:t>
      </w:r>
      <w:r w:rsidR="0002049C" w:rsidRPr="00B905BF">
        <w:rPr>
          <w:rFonts w:ascii="Calibri" w:eastAsia="Times New Roman" w:hAnsi="Calibri" w:cs="Calibri"/>
          <w:lang w:val="lt-LT"/>
        </w:rPr>
        <w:t>tliekamas žaliasis pirkimas</w:t>
      </w:r>
      <w:r w:rsidR="00831B76" w:rsidRPr="00B905BF">
        <w:rPr>
          <w:rFonts w:ascii="Calibri" w:eastAsia="Times New Roman" w:hAnsi="Calibri" w:cs="Calibri"/>
          <w:lang w:val="lt-LT"/>
        </w:rPr>
        <w:t>,</w:t>
      </w:r>
      <w:r w:rsidR="0002049C" w:rsidRPr="00B905BF">
        <w:rPr>
          <w:rFonts w:ascii="Calibri" w:eastAsia="Times New Roman" w:hAnsi="Calibri" w:cs="Calibri"/>
          <w:lang w:val="lt-LT"/>
        </w:rPr>
        <w:t xml:space="preserve"> </w:t>
      </w:r>
      <w:r w:rsidR="00B96405" w:rsidRPr="00B905BF">
        <w:rPr>
          <w:rFonts w:ascii="Calibri" w:eastAsia="Times New Roman" w:hAnsi="Calibri" w:cs="Calibri"/>
          <w:lang w:val="lt-LT"/>
        </w:rPr>
        <w:t xml:space="preserve">kuris </w:t>
      </w:r>
      <w:r w:rsidR="008D1E69" w:rsidRPr="00B905BF">
        <w:rPr>
          <w:rFonts w:ascii="Calibri" w:eastAsia="Times New Roman" w:hAnsi="Calibri" w:cs="Calibri"/>
          <w:lang w:val="lt-LT"/>
        </w:rPr>
        <w:t>vykdomas vadovaujantis Lietuvos Respublikos aplinkos ministro 2011 m. birželio 28 d. įsakymo Nr. D1-508 „</w:t>
      </w:r>
      <w:hyperlink r:id="rId7" w:history="1">
        <w:r w:rsidR="008D1E69" w:rsidRPr="00B905BF">
          <w:rPr>
            <w:rStyle w:val="Hyperlink"/>
            <w:rFonts w:ascii="Calibri" w:eastAsia="Times New Roman" w:hAnsi="Calibri" w:cs="Calibri"/>
            <w:lang w:val="lt-LT"/>
          </w:rPr>
          <w:t>Dėl Aplinkos apsaugos kriterijų taikymo, vykdant žaliuosius pirkimus, tvarkos aprašo patvirtinimo</w:t>
        </w:r>
      </w:hyperlink>
      <w:r w:rsidR="008D1E69" w:rsidRPr="00B905BF">
        <w:rPr>
          <w:rFonts w:ascii="Calibri" w:eastAsia="Times New Roman" w:hAnsi="Calibri" w:cs="Calibri"/>
          <w:lang w:val="lt-LT"/>
        </w:rPr>
        <w:t xml:space="preserve">“ </w:t>
      </w:r>
      <w:r w:rsidR="00371302" w:rsidRPr="00B905BF">
        <w:rPr>
          <w:rFonts w:ascii="Calibri" w:eastAsia="Times New Roman" w:hAnsi="Calibri" w:cs="Calibri"/>
          <w:lang w:val="lt-LT"/>
        </w:rPr>
        <w:t xml:space="preserve">(toliau – Tvarkos aprašas) </w:t>
      </w:r>
      <w:r w:rsidR="008D1E69" w:rsidRPr="00B905BF">
        <w:rPr>
          <w:rFonts w:ascii="Calibri" w:eastAsia="Times New Roman" w:hAnsi="Calibri" w:cs="Calibri"/>
          <w:b/>
          <w:bCs/>
          <w:lang w:val="lt-LT"/>
        </w:rPr>
        <w:t>4.3</w:t>
      </w:r>
      <w:r w:rsidR="006626A2" w:rsidRPr="00B905BF">
        <w:rPr>
          <w:rFonts w:ascii="Calibri" w:eastAsia="Times New Roman" w:hAnsi="Calibri" w:cs="Calibri"/>
          <w:b/>
          <w:bCs/>
          <w:lang w:val="lt-LT"/>
        </w:rPr>
        <w:t xml:space="preserve"> punktu</w:t>
      </w:r>
      <w:r w:rsidR="008F7064" w:rsidRPr="00B905BF">
        <w:rPr>
          <w:rFonts w:ascii="Calibri" w:eastAsia="Times New Roman" w:hAnsi="Calibri" w:cs="Calibri"/>
          <w:lang w:val="lt-LT"/>
        </w:rPr>
        <w:t xml:space="preserve"> (</w:t>
      </w:r>
      <w:r w:rsidR="008F7064" w:rsidRPr="00B905BF">
        <w:rPr>
          <w:rFonts w:ascii="Calibri" w:eastAsia="Times New Roman" w:hAnsi="Calibri" w:cs="Calibri"/>
        </w:rPr>
        <w:t> </w:t>
      </w:r>
      <w:r w:rsidR="008F7064" w:rsidRPr="00B905BF">
        <w:rPr>
          <w:rFonts w:ascii="Calibri" w:eastAsia="Times New Roman" w:hAnsi="Calibri" w:cs="Calibri"/>
          <w:b/>
          <w:bCs/>
          <w:lang w:val="lt-LT"/>
        </w:rPr>
        <w:t>nėra produktų sąraše</w:t>
      </w:r>
      <w:r w:rsidR="008F7064" w:rsidRPr="00B905BF">
        <w:rPr>
          <w:rFonts w:ascii="Calibri" w:eastAsia="Times New Roman" w:hAnsi="Calibri" w:cs="Calibri"/>
          <w:lang w:val="lt-LT"/>
        </w:rPr>
        <w:t xml:space="preserve">, </w:t>
      </w:r>
      <w:r w:rsidR="008F7064" w:rsidRPr="00B905BF">
        <w:rPr>
          <w:rFonts w:ascii="Calibri" w:eastAsia="Times New Roman" w:hAnsi="Calibri" w:cs="Calibri"/>
          <w:b/>
          <w:bCs/>
          <w:lang w:val="lt-LT"/>
        </w:rPr>
        <w:t>bet perkamai paslaugai ar darbui tiekėjas taiko</w:t>
      </w:r>
      <w:r w:rsidR="008F7064" w:rsidRPr="00B905BF">
        <w:rPr>
          <w:rFonts w:ascii="Calibri" w:eastAsia="Times New Roman" w:hAnsi="Calibri" w:cs="Calibri"/>
          <w:lang w:val="lt-LT"/>
        </w:rPr>
        <w:t xml:space="preserve"> </w:t>
      </w:r>
      <w:r w:rsidR="008F7064" w:rsidRPr="00B905BF">
        <w:rPr>
          <w:rFonts w:ascii="Calibri" w:eastAsia="Times New Roman" w:hAnsi="Calibri" w:cs="Calibri"/>
          <w:b/>
          <w:bCs/>
          <w:lang w:val="lt-LT"/>
        </w:rPr>
        <w:t>aplinkos apsaugos vadybos sistemos reikalavimus</w:t>
      </w:r>
      <w:r w:rsidR="008F7064" w:rsidRPr="00B905BF">
        <w:rPr>
          <w:rFonts w:ascii="Calibri" w:eastAsia="Times New Roman" w:hAnsi="Calibri" w:cs="Calibri"/>
          <w:lang w:val="lt-LT"/>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12108F" w:rsidRPr="00B905BF">
        <w:rPr>
          <w:rFonts w:ascii="Calibri" w:eastAsia="Times New Roman" w:hAnsi="Calibri" w:cs="Calibri"/>
          <w:lang w:val="lt-LT"/>
        </w:rPr>
        <w:t>&lt;...&gt;</w:t>
      </w:r>
      <w:r w:rsidR="008F7064" w:rsidRPr="00B905BF">
        <w:rPr>
          <w:rFonts w:ascii="Calibri" w:eastAsia="Times New Roman" w:hAnsi="Calibri" w:cs="Calibri"/>
          <w:lang w:val="lt-LT"/>
        </w:rPr>
        <w:t>)</w:t>
      </w:r>
      <w:r w:rsidR="00831B76" w:rsidRPr="00B905BF">
        <w:rPr>
          <w:rFonts w:ascii="Calibri" w:eastAsia="Times New Roman" w:hAnsi="Calibri" w:cs="Calibri"/>
          <w:lang w:val="lt-LT"/>
        </w:rPr>
        <w:t xml:space="preserve">, bei </w:t>
      </w:r>
      <w:r w:rsidR="001A4B1B" w:rsidRPr="00B905BF">
        <w:rPr>
          <w:rFonts w:ascii="Calibri" w:eastAsia="Times New Roman" w:hAnsi="Calibri" w:cs="Calibri"/>
          <w:lang w:val="lt-LT"/>
        </w:rPr>
        <w:t xml:space="preserve">tiksliai </w:t>
      </w:r>
      <w:r w:rsidR="00831B76" w:rsidRPr="00B905BF">
        <w:rPr>
          <w:rFonts w:ascii="Calibri" w:eastAsia="Times New Roman" w:hAnsi="Calibri" w:cs="Calibri"/>
          <w:lang w:val="lt-LT"/>
        </w:rPr>
        <w:t>nurodyti, kokiame dokumente</w:t>
      </w:r>
      <w:r w:rsidR="004C7BE6" w:rsidRPr="00B905BF">
        <w:rPr>
          <w:rFonts w:ascii="Calibri" w:eastAsia="Times New Roman" w:hAnsi="Calibri" w:cs="Calibri"/>
          <w:lang w:val="lt-LT"/>
        </w:rPr>
        <w:t xml:space="preserve"> yra nustatyti aplinkos apsaugos kriterijai</w:t>
      </w:r>
      <w:r w:rsidR="00153DAD" w:rsidRPr="00B905BF">
        <w:rPr>
          <w:rFonts w:ascii="Calibri" w:eastAsia="Times New Roman" w:hAnsi="Calibri" w:cs="Calibri"/>
          <w:lang w:val="lt-LT"/>
        </w:rPr>
        <w:t>.</w:t>
      </w:r>
      <w:r w:rsidR="00C47305" w:rsidRPr="00B905BF">
        <w:rPr>
          <w:rFonts w:ascii="Calibri" w:eastAsia="Times New Roman" w:hAnsi="Calibri" w:cs="Calibri"/>
          <w:lang w:val="lt-LT"/>
        </w:rPr>
        <w:t xml:space="preserve"> </w:t>
      </w:r>
    </w:p>
    <w:p w14:paraId="1164F693" w14:textId="666654C4" w:rsidR="004543D4" w:rsidRPr="00B905BF" w:rsidRDefault="00C47305" w:rsidP="00B905BF">
      <w:pPr>
        <w:tabs>
          <w:tab w:val="left" w:pos="993"/>
          <w:tab w:val="left" w:pos="1418"/>
        </w:tabs>
        <w:spacing w:after="0" w:line="276" w:lineRule="auto"/>
        <w:rPr>
          <w:rFonts w:ascii="Calibri" w:eastAsia="Times New Roman" w:hAnsi="Calibri" w:cs="Calibri"/>
          <w:lang w:val="lt"/>
        </w:rPr>
      </w:pPr>
      <w:r w:rsidRPr="00B905BF">
        <w:rPr>
          <w:rFonts w:ascii="Calibri" w:eastAsia="Times New Roman" w:hAnsi="Calibri" w:cs="Calibri"/>
          <w:lang w:val="lt-LT"/>
        </w:rPr>
        <w:t xml:space="preserve">Tarnyba primena, jog </w:t>
      </w:r>
      <w:r w:rsidR="001B3ADD" w:rsidRPr="00B905BF">
        <w:rPr>
          <w:rFonts w:ascii="Calibri" w:eastAsia="Times New Roman" w:hAnsi="Calibri" w:cs="Calibri"/>
          <w:lang w:val="lt-LT"/>
        </w:rPr>
        <w:t xml:space="preserve">Perkančioji organizacija </w:t>
      </w:r>
      <w:r w:rsidR="004543D4" w:rsidRPr="00B905BF">
        <w:rPr>
          <w:rFonts w:ascii="Calibri" w:eastAsia="Times New Roman" w:hAnsi="Calibri" w:cs="Calibri"/>
          <w:lang w:val="lt"/>
        </w:rPr>
        <w:t xml:space="preserve">siekdama pirkimą vykdyti kaip žaliąjį pirkimą, neturi nustatyti tik deklaratyvių reikalavimų, o pirkimo dokumentuose turi tiksliai ir aiškiai nustatyti žaliojo pirkimo sąlygas ir užtikrinti jų laikymosi priežiūrą bei kontrolę sutarties vykdymo metu. </w:t>
      </w:r>
      <w:r w:rsidR="004543D4" w:rsidRPr="00B905BF">
        <w:rPr>
          <w:rFonts w:ascii="Calibri" w:eastAsia="Times New Roman" w:hAnsi="Calibri" w:cs="Calibri"/>
          <w:b/>
          <w:bCs/>
          <w:lang w:val="lt"/>
        </w:rPr>
        <w:t xml:space="preserve">Sutarties projekte taip pat turi būti numatytas kontrolės mechanizmas, kaip Perkančioji organizacija kontroliuos tiekėjo pareigą sutarties vykdymo metu taikyti aplinkos apsaugos </w:t>
      </w:r>
      <w:r w:rsidR="004543D4" w:rsidRPr="00B905BF">
        <w:rPr>
          <w:rFonts w:ascii="Calibri" w:eastAsia="Times New Roman" w:hAnsi="Calibri" w:cs="Calibri"/>
          <w:b/>
          <w:bCs/>
          <w:lang w:val="lt"/>
        </w:rPr>
        <w:lastRenderedPageBreak/>
        <w:t>vadybos sistemos reikalavimus ir koks bus sankcijų mechanizmas, jeigu tiekėjas šios pareigos nevykdys</w:t>
      </w:r>
      <w:r w:rsidR="004543D4" w:rsidRPr="00B905BF">
        <w:rPr>
          <w:rFonts w:ascii="Calibri" w:eastAsia="Times New Roman" w:hAnsi="Calibri" w:cs="Calibri"/>
          <w:lang w:val="lt"/>
        </w:rPr>
        <w:t>. Atsižvelgiant į nurodytą, rekomenduotina tikslinti Sutarties projektą.</w:t>
      </w:r>
    </w:p>
    <w:p w14:paraId="472C69C6" w14:textId="77777777" w:rsidR="008B438E" w:rsidRPr="00B905BF" w:rsidRDefault="008B438E" w:rsidP="00B905BF">
      <w:pPr>
        <w:tabs>
          <w:tab w:val="left" w:pos="993"/>
          <w:tab w:val="left" w:pos="1418"/>
        </w:tabs>
        <w:spacing w:after="0" w:line="276" w:lineRule="auto"/>
        <w:rPr>
          <w:rFonts w:ascii="Calibri" w:eastAsia="Times New Roman" w:hAnsi="Calibri" w:cs="Calibri"/>
          <w:lang w:val="lt"/>
        </w:rPr>
      </w:pPr>
    </w:p>
    <w:p w14:paraId="6663018E" w14:textId="2CFB7A5B" w:rsidR="009F3746" w:rsidRPr="00B905BF" w:rsidRDefault="00F872C0"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b/>
          <w:bCs/>
          <w:lang w:val="lt"/>
        </w:rPr>
        <w:t>1.2.</w:t>
      </w:r>
      <w:r w:rsidRPr="00B905BF">
        <w:rPr>
          <w:rFonts w:ascii="Calibri" w:eastAsia="Times New Roman" w:hAnsi="Calibri" w:cs="Calibri"/>
          <w:lang w:val="lt"/>
        </w:rPr>
        <w:t xml:space="preserve"> </w:t>
      </w:r>
      <w:r w:rsidR="004C1A5C" w:rsidRPr="00B905BF">
        <w:rPr>
          <w:rFonts w:ascii="Calibri" w:eastAsia="Times New Roman" w:hAnsi="Calibri" w:cs="Calibri"/>
          <w:lang w:val="lt-LT"/>
        </w:rPr>
        <w:t xml:space="preserve">Tarnyba rekomenduoja pakartotinai peržiūrėti </w:t>
      </w:r>
      <w:r w:rsidR="004C1A5C" w:rsidRPr="00B905BF">
        <w:rPr>
          <w:rFonts w:ascii="Calibri" w:eastAsia="Times New Roman" w:hAnsi="Calibri" w:cs="Calibri"/>
          <w:lang w:val="lt"/>
        </w:rPr>
        <w:t>Pirkimo sąlygų priedo Nr. 3 „</w:t>
      </w:r>
      <w:r w:rsidR="004C1A5C" w:rsidRPr="00B905BF">
        <w:rPr>
          <w:rFonts w:ascii="Calibri" w:eastAsia="Times New Roman" w:hAnsi="Calibri" w:cs="Calibri"/>
          <w:lang w:val="lt-LT"/>
        </w:rPr>
        <w:t>Viešojo pirkimo sutarties projektas“ (toliau – Sutarties projektas) 5.13, 5.14, 6.50 ir 6.51 punktų nuostatas</w:t>
      </w:r>
      <w:r w:rsidR="00703AC3" w:rsidRPr="00B905BF">
        <w:rPr>
          <w:rFonts w:ascii="Calibri" w:eastAsia="Times New Roman" w:hAnsi="Calibri" w:cs="Calibri"/>
          <w:lang w:val="lt-LT"/>
        </w:rPr>
        <w:t xml:space="preserve"> dėl </w:t>
      </w:r>
      <w:r w:rsidR="00BD2313" w:rsidRPr="00B905BF">
        <w:rPr>
          <w:rFonts w:ascii="Calibri" w:eastAsia="Times New Roman" w:hAnsi="Calibri" w:cs="Calibri"/>
          <w:lang w:val="lt-LT"/>
        </w:rPr>
        <w:t>aplinkos apsaugos kriterijų taikymo</w:t>
      </w:r>
      <w:r w:rsidR="000F4B2D" w:rsidRPr="00B905BF">
        <w:rPr>
          <w:rFonts w:ascii="Calibri" w:eastAsia="Times New Roman" w:hAnsi="Calibri" w:cs="Calibri"/>
          <w:lang w:val="lt-LT"/>
        </w:rPr>
        <w:t xml:space="preserve"> ir jei jos yra aktualios vykdomam pirkimui atitinkamai patikslinti</w:t>
      </w:r>
      <w:r w:rsidR="00E53780" w:rsidRPr="00B905BF">
        <w:rPr>
          <w:rFonts w:ascii="Calibri" w:eastAsia="Times New Roman" w:hAnsi="Calibri" w:cs="Calibri"/>
          <w:lang w:val="lt-LT"/>
        </w:rPr>
        <w:t xml:space="preserve">, </w:t>
      </w:r>
      <w:r w:rsidR="00543AF2" w:rsidRPr="00B905BF">
        <w:rPr>
          <w:rFonts w:ascii="Calibri" w:eastAsia="Times New Roman" w:hAnsi="Calibri" w:cs="Calibri"/>
          <w:lang w:val="lt-LT"/>
        </w:rPr>
        <w:t xml:space="preserve">t. y. </w:t>
      </w:r>
      <w:r w:rsidR="00E53780" w:rsidRPr="00B905BF">
        <w:rPr>
          <w:rFonts w:ascii="Calibri" w:eastAsia="Times New Roman" w:hAnsi="Calibri" w:cs="Calibri"/>
          <w:lang w:val="lt-LT"/>
        </w:rPr>
        <w:t>aiškiai nurod</w:t>
      </w:r>
      <w:r w:rsidR="00543AF2" w:rsidRPr="00B905BF">
        <w:rPr>
          <w:rFonts w:ascii="Calibri" w:eastAsia="Times New Roman" w:hAnsi="Calibri" w:cs="Calibri"/>
          <w:lang w:val="lt-LT"/>
        </w:rPr>
        <w:t>yti</w:t>
      </w:r>
      <w:r w:rsidR="00E53780" w:rsidRPr="00B905BF">
        <w:rPr>
          <w:rFonts w:ascii="Calibri" w:eastAsia="Times New Roman" w:hAnsi="Calibri" w:cs="Calibri"/>
          <w:lang w:val="lt-LT"/>
        </w:rPr>
        <w:t xml:space="preserve"> </w:t>
      </w:r>
      <w:r w:rsidR="006C1293" w:rsidRPr="00B905BF">
        <w:rPr>
          <w:rFonts w:ascii="Calibri" w:eastAsia="Times New Roman" w:hAnsi="Calibri" w:cs="Calibri"/>
          <w:lang w:val="lt-LT"/>
        </w:rPr>
        <w:t>kokiu</w:t>
      </w:r>
      <w:r w:rsidR="009D7A80" w:rsidRPr="00B905BF">
        <w:rPr>
          <w:rFonts w:ascii="Calibri" w:eastAsia="Times New Roman" w:hAnsi="Calibri" w:cs="Calibri"/>
          <w:lang w:val="lt-LT"/>
        </w:rPr>
        <w:t xml:space="preserve"> (-</w:t>
      </w:r>
      <w:proofErr w:type="spellStart"/>
      <w:r w:rsidR="009D7A80" w:rsidRPr="00B905BF">
        <w:rPr>
          <w:rFonts w:ascii="Calibri" w:eastAsia="Times New Roman" w:hAnsi="Calibri" w:cs="Calibri"/>
          <w:lang w:val="lt-LT"/>
        </w:rPr>
        <w:t>iais</w:t>
      </w:r>
      <w:proofErr w:type="spellEnd"/>
      <w:r w:rsidR="009D7A80" w:rsidRPr="00B905BF">
        <w:rPr>
          <w:rFonts w:ascii="Calibri" w:eastAsia="Times New Roman" w:hAnsi="Calibri" w:cs="Calibri"/>
          <w:lang w:val="lt-LT"/>
        </w:rPr>
        <w:t>)</w:t>
      </w:r>
      <w:r w:rsidR="006C1293" w:rsidRPr="00B905BF">
        <w:rPr>
          <w:rFonts w:ascii="Calibri" w:eastAsia="Times New Roman" w:hAnsi="Calibri" w:cs="Calibri"/>
          <w:lang w:val="lt-LT"/>
        </w:rPr>
        <w:t xml:space="preserve"> Tvarkos aprašo punktu (-</w:t>
      </w:r>
      <w:proofErr w:type="spellStart"/>
      <w:r w:rsidR="006C1293" w:rsidRPr="00B905BF">
        <w:rPr>
          <w:rFonts w:ascii="Calibri" w:eastAsia="Times New Roman" w:hAnsi="Calibri" w:cs="Calibri"/>
          <w:lang w:val="lt-LT"/>
        </w:rPr>
        <w:t>ais</w:t>
      </w:r>
      <w:proofErr w:type="spellEnd"/>
      <w:r w:rsidR="006C1293" w:rsidRPr="00B905BF">
        <w:rPr>
          <w:rFonts w:ascii="Calibri" w:eastAsia="Times New Roman" w:hAnsi="Calibri" w:cs="Calibri"/>
          <w:lang w:val="lt-LT"/>
        </w:rPr>
        <w:t>)</w:t>
      </w:r>
      <w:r w:rsidR="007F2CED" w:rsidRPr="00B905BF">
        <w:rPr>
          <w:rFonts w:ascii="Calibri" w:eastAsia="Times New Roman" w:hAnsi="Calibri" w:cs="Calibri"/>
          <w:lang w:val="lt-LT"/>
        </w:rPr>
        <w:t xml:space="preserve"> vadovaujantis yra nustatyt</w:t>
      </w:r>
      <w:r w:rsidR="007A0D8C" w:rsidRPr="00B905BF">
        <w:rPr>
          <w:rFonts w:ascii="Calibri" w:eastAsia="Times New Roman" w:hAnsi="Calibri" w:cs="Calibri"/>
          <w:lang w:val="lt-LT"/>
        </w:rPr>
        <w:t>i</w:t>
      </w:r>
      <w:r w:rsidR="00921C93" w:rsidRPr="00B905BF">
        <w:rPr>
          <w:rFonts w:ascii="Calibri" w:eastAsia="Times New Roman" w:hAnsi="Calibri" w:cs="Calibri"/>
          <w:lang w:val="lt-LT"/>
        </w:rPr>
        <w:t xml:space="preserve">, </w:t>
      </w:r>
      <w:r w:rsidR="00325EBC" w:rsidRPr="00B905BF">
        <w:rPr>
          <w:rFonts w:ascii="Calibri" w:eastAsia="Times New Roman" w:hAnsi="Calibri" w:cs="Calibri"/>
          <w:lang w:val="lt-LT"/>
        </w:rPr>
        <w:t xml:space="preserve">kokios sankcijos bus taikomos, jei </w:t>
      </w:r>
      <w:r w:rsidR="00FF1BA1" w:rsidRPr="00B905BF">
        <w:rPr>
          <w:rFonts w:ascii="Calibri" w:eastAsia="Times New Roman" w:hAnsi="Calibri" w:cs="Calibri"/>
          <w:lang w:val="lt-LT"/>
        </w:rPr>
        <w:t>Užsakovas ar Rangovas</w:t>
      </w:r>
      <w:r w:rsidR="00325EBC" w:rsidRPr="00B905BF">
        <w:rPr>
          <w:rFonts w:ascii="Calibri" w:eastAsia="Times New Roman" w:hAnsi="Calibri" w:cs="Calibri"/>
          <w:lang w:val="lt-LT"/>
        </w:rPr>
        <w:t xml:space="preserve"> nesilaikys Sutartinių įsipareigojimų.</w:t>
      </w:r>
    </w:p>
    <w:p w14:paraId="25C480C4" w14:textId="77777777" w:rsidR="00611701" w:rsidRPr="00B905BF" w:rsidRDefault="00611701" w:rsidP="00B905BF">
      <w:pPr>
        <w:tabs>
          <w:tab w:val="left" w:pos="993"/>
          <w:tab w:val="left" w:pos="1418"/>
        </w:tabs>
        <w:spacing w:after="0" w:line="276" w:lineRule="auto"/>
        <w:rPr>
          <w:rFonts w:ascii="Calibri" w:eastAsia="Times New Roman" w:hAnsi="Calibri" w:cs="Calibri"/>
          <w:lang w:val="lt-LT"/>
        </w:rPr>
      </w:pPr>
    </w:p>
    <w:p w14:paraId="40F5D07C" w14:textId="2390B7BA" w:rsidR="00611701" w:rsidRPr="00B905BF" w:rsidRDefault="00974FF2" w:rsidP="00B905BF">
      <w:pPr>
        <w:tabs>
          <w:tab w:val="left" w:pos="993"/>
          <w:tab w:val="left" w:pos="1418"/>
        </w:tabs>
        <w:spacing w:after="0" w:line="276" w:lineRule="auto"/>
        <w:rPr>
          <w:rFonts w:ascii="Calibri" w:eastAsia="Times New Roman" w:hAnsi="Calibri" w:cs="Calibri"/>
          <w:b/>
          <w:bCs/>
          <w:lang w:val="lt-LT"/>
        </w:rPr>
      </w:pPr>
      <w:r w:rsidRPr="00B905BF">
        <w:rPr>
          <w:rFonts w:ascii="Calibri" w:eastAsia="Times New Roman" w:hAnsi="Calibri" w:cs="Calibri"/>
          <w:b/>
          <w:bCs/>
          <w:lang w:val="lt-LT"/>
        </w:rPr>
        <w:t>2.</w:t>
      </w:r>
      <w:r w:rsidR="00B905BF" w:rsidRPr="00B905BF">
        <w:rPr>
          <w:rFonts w:ascii="Calibri" w:eastAsia="Times New Roman" w:hAnsi="Calibri" w:cs="Calibri"/>
          <w:b/>
          <w:bCs/>
          <w:lang w:val="lt-LT"/>
        </w:rPr>
        <w:t xml:space="preserve"> </w:t>
      </w:r>
      <w:r w:rsidR="00611701" w:rsidRPr="00B905BF">
        <w:rPr>
          <w:rFonts w:ascii="Calibri" w:eastAsia="Times New Roman" w:hAnsi="Calibri" w:cs="Calibri"/>
          <w:b/>
          <w:bCs/>
          <w:lang w:val="lt-LT"/>
        </w:rPr>
        <w:t>Dėl pareigos Pirkimo objektą įsigyti naudojantis centrinės perkančiosios organizacijos katalogu</w:t>
      </w:r>
    </w:p>
    <w:p w14:paraId="03CA4023" w14:textId="77777777" w:rsidR="00611701" w:rsidRPr="00B905BF" w:rsidRDefault="00611701" w:rsidP="00B905BF">
      <w:pPr>
        <w:tabs>
          <w:tab w:val="left" w:pos="993"/>
          <w:tab w:val="left" w:pos="1418"/>
        </w:tabs>
        <w:spacing w:after="0" w:line="276" w:lineRule="auto"/>
        <w:rPr>
          <w:rFonts w:ascii="Calibri" w:eastAsia="Times New Roman" w:hAnsi="Calibri" w:cs="Calibri"/>
          <w:b/>
          <w:bCs/>
          <w:lang w:val="lt-LT"/>
        </w:rPr>
      </w:pPr>
    </w:p>
    <w:p w14:paraId="314BFED0" w14:textId="77777777" w:rsidR="00611701" w:rsidRPr="00B905BF" w:rsidRDefault="00611701"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Vadovaujantis Įstatymo 82 str. 2 dalies 1 punktu</w:t>
      </w:r>
      <w:r w:rsidRPr="00B905BF">
        <w:rPr>
          <w:rFonts w:ascii="Calibri" w:eastAsia="Times New Roman" w:hAnsi="Calibri" w:cs="Calibri"/>
          <w:vertAlign w:val="superscript"/>
          <w:lang w:val="lt-LT"/>
        </w:rPr>
        <w:footnoteReference w:id="1"/>
      </w:r>
      <w:r w:rsidRPr="00B905BF">
        <w:rPr>
          <w:rFonts w:ascii="Calibri" w:eastAsia="Times New Roman" w:hAnsi="Calibri" w:cs="Calibri"/>
          <w:lang w:val="lt-LT"/>
        </w:rPr>
        <w:t xml:space="preserve">, Perkančioji organizacija </w:t>
      </w:r>
      <w:r w:rsidRPr="00B905BF">
        <w:rPr>
          <w:rFonts w:ascii="Calibri" w:eastAsia="Times New Roman" w:hAnsi="Calibri" w:cs="Calibri"/>
          <w:b/>
          <w:bCs/>
          <w:lang w:val="lt-LT"/>
        </w:rPr>
        <w:t>privalo motyvuoti savo sprendimą</w:t>
      </w:r>
      <w:r w:rsidRPr="00B905BF">
        <w:rPr>
          <w:rFonts w:ascii="Calibri" w:eastAsia="Times New Roman" w:hAnsi="Calibri" w:cs="Calibri"/>
          <w:lang w:val="lt-LT"/>
        </w:rPr>
        <w:t xml:space="preserve"> neatlikti Pirkimo naudojantis centralizuotų pirkimų katalogu ir </w:t>
      </w:r>
      <w:r w:rsidRPr="00B905BF">
        <w:rPr>
          <w:rFonts w:ascii="Calibri" w:eastAsia="Times New Roman" w:hAnsi="Calibri" w:cs="Calibri"/>
          <w:b/>
          <w:bCs/>
          <w:lang w:val="lt-LT"/>
        </w:rPr>
        <w:t>argumentus nurodyti Pirkimo dokumentuose</w:t>
      </w:r>
      <w:r w:rsidRPr="00B905BF">
        <w:rPr>
          <w:rFonts w:ascii="Calibri" w:eastAsia="Times New Roman" w:hAnsi="Calibri" w:cs="Calibri"/>
          <w:lang w:val="lt-LT"/>
        </w:rPr>
        <w:t>.</w:t>
      </w:r>
    </w:p>
    <w:p w14:paraId="348FECD3" w14:textId="3E594544" w:rsidR="00D37D56" w:rsidRPr="00B905BF" w:rsidRDefault="00611701"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 xml:space="preserve">Atsižvelgiant į Įstatymo nuostatas, Tarnyba rekomenduoja Pirkimo dokumentuose pateikti motyvuotą sprendimą, kodėl Pirkimas neatliekamas naudojantis centralizuotų pirkimų katalogu (CPO LT katalogu), taip pat ir </w:t>
      </w:r>
      <w:r w:rsidRPr="00B905BF">
        <w:rPr>
          <w:rFonts w:ascii="Calibri" w:eastAsia="Times New Roman" w:hAnsi="Calibri" w:cs="Calibri"/>
          <w:b/>
          <w:bCs/>
          <w:lang w:val="lt-LT"/>
        </w:rPr>
        <w:t>ateityje</w:t>
      </w:r>
      <w:r w:rsidRPr="00B905BF">
        <w:rPr>
          <w:rFonts w:ascii="Calibri" w:eastAsia="Times New Roman" w:hAnsi="Calibri" w:cs="Calibri"/>
          <w:lang w:val="lt-LT"/>
        </w:rPr>
        <w:t xml:space="preserve"> vykdomų pirkimų dokumentuose pateikti motyvuotus sprendimus, kodėl prekės, paslaugos ar darbai neperkami naudojantis centralizuotų pirkimų katalogu.</w:t>
      </w:r>
    </w:p>
    <w:p w14:paraId="37C87B4D"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p>
    <w:p w14:paraId="5E7DF922"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1CB6758"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lastRenderedPageBreak/>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2"/>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3"/>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17258CC9" w14:textId="1D08EAAF" w:rsidR="00A5272B" w:rsidRPr="00B905BF" w:rsidRDefault="00A5272B" w:rsidP="00B905BF">
      <w:pPr>
        <w:spacing w:after="0" w:line="276" w:lineRule="auto"/>
        <w:rPr>
          <w:rFonts w:ascii="Calibri" w:hAnsi="Calibri" w:cs="Calibri"/>
          <w:lang w:val="lt-LT"/>
        </w:rPr>
      </w:pPr>
    </w:p>
    <w:p w14:paraId="62604BB7" w14:textId="7D9CBC80" w:rsidR="00B248ED" w:rsidRPr="00B905BF" w:rsidRDefault="00B248ED" w:rsidP="00B905BF">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A05F" w14:textId="77777777" w:rsidR="0068139D" w:rsidRDefault="0068139D" w:rsidP="005273E7">
      <w:pPr>
        <w:spacing w:after="0" w:line="240" w:lineRule="auto"/>
      </w:pPr>
      <w:r>
        <w:separator/>
      </w:r>
    </w:p>
  </w:endnote>
  <w:endnote w:type="continuationSeparator" w:id="0">
    <w:p w14:paraId="188182BA" w14:textId="77777777" w:rsidR="0068139D" w:rsidRDefault="0068139D"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D6D2" w14:textId="77777777" w:rsidR="0068139D" w:rsidRDefault="0068139D" w:rsidP="005273E7">
      <w:pPr>
        <w:spacing w:after="0" w:line="240" w:lineRule="auto"/>
      </w:pPr>
      <w:r>
        <w:separator/>
      </w:r>
    </w:p>
  </w:footnote>
  <w:footnote w:type="continuationSeparator" w:id="0">
    <w:p w14:paraId="4F73E055" w14:textId="77777777" w:rsidR="0068139D" w:rsidRDefault="0068139D" w:rsidP="005273E7">
      <w:pPr>
        <w:spacing w:after="0" w:line="240" w:lineRule="auto"/>
      </w:pPr>
      <w:r>
        <w:continuationSeparator/>
      </w:r>
    </w:p>
  </w:footnote>
  <w:footnote w:id="1">
    <w:p w14:paraId="537BA66D" w14:textId="77777777" w:rsidR="00611701" w:rsidRPr="0070117E" w:rsidRDefault="00611701" w:rsidP="00611701">
      <w:pPr>
        <w:pStyle w:val="FootnoteText"/>
      </w:pPr>
      <w:r>
        <w:rPr>
          <w:rStyle w:val="FootnoteReference"/>
        </w:rPr>
        <w:footnoteRef/>
      </w:r>
      <w:r>
        <w:t xml:space="preserve"> Įstatymo 82 str. </w:t>
      </w:r>
      <w:r w:rsidRPr="0070117E">
        <w:t>2</w:t>
      </w:r>
      <w:r>
        <w:t xml:space="preserve"> d.</w:t>
      </w:r>
      <w:r w:rsidRPr="0070117E">
        <w:t xml:space="preserve"> Perkančioji organizacija</w:t>
      </w:r>
      <w:r>
        <w:t>&lt;...&gt;</w:t>
      </w:r>
      <w:r w:rsidRPr="0070117E">
        <w:t>, privalo įsigyti prekių, paslaugų ir darbų šio straipsnio 1 dalyje nurodytu būdu, jeigu:</w:t>
      </w:r>
    </w:p>
    <w:p w14:paraId="49AC871A" w14:textId="77777777" w:rsidR="00611701" w:rsidRDefault="00611701" w:rsidP="00611701">
      <w:pPr>
        <w:pStyle w:val="FootnoteText"/>
      </w:pPr>
      <w:r w:rsidRPr="0070117E">
        <w:t>1) Vyriausybės sprendimu įsteigtos centrinės perkančiosios organizacijos centralizuotų pirkimų kataloge galimos įsigyti prekės, paslaugos ar darbai atitinka perkančiosios organizacijos poreikius ir perkančioji organizacija</w:t>
      </w:r>
      <w:r w:rsidRPr="0070117E">
        <w:rPr>
          <w:bCs/>
        </w:rPr>
        <w:t xml:space="preserve"> </w:t>
      </w:r>
      <w:r w:rsidRPr="0070117E">
        <w:t>negali prekių, paslaugų ar darbų įsigyti efektyvesniu būdu racionaliai naudodama tam skirtas lėšas. Perkančiosios organizacijos</w:t>
      </w:r>
      <w:r w:rsidRPr="0070117E">
        <w:rPr>
          <w:b/>
          <w:bCs/>
        </w:rPr>
        <w:t xml:space="preserve"> privalo motyvuoti savo sprendimą neatlikti pirkimo naudojantis centralizuotų pirkimų katalogu ir argumentus nurodyti pirkimo dokumentuose.</w:t>
      </w:r>
      <w:r w:rsidRPr="0070117E">
        <w:t xml:space="preserve"> </w:t>
      </w:r>
      <w:r w:rsidRPr="0070117E">
        <w:rPr>
          <w:bCs/>
        </w:rPr>
        <w:t>Šio punkto reikalavimai taikomi ir perkančiosioms organizacijoms, kurios atlieka centrinės perkančiosios organizacijos funkcijas</w:t>
      </w:r>
      <w:r>
        <w:t>.</w:t>
      </w:r>
      <w:r w:rsidRPr="0070117E">
        <w:t xml:space="preserve"> </w:t>
      </w:r>
    </w:p>
  </w:footnote>
  <w:footnote w:id="2">
    <w:p w14:paraId="13485438" w14:textId="77777777" w:rsidR="00755C7C" w:rsidRPr="00C01103" w:rsidRDefault="00755C7C" w:rsidP="00755C7C">
      <w:pPr>
        <w:pStyle w:val="FootnoteText"/>
        <w:rPr>
          <w:rFonts w:cstheme="minorHAnsi"/>
        </w:rPr>
      </w:pPr>
      <w:r w:rsidRPr="00C01103">
        <w:rPr>
          <w:rStyle w:val="FootnoteReference"/>
          <w:rFonts w:cstheme="minorHAnsi"/>
        </w:rPr>
        <w:footnoteRef/>
      </w:r>
      <w:r w:rsidRPr="00C01103">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58D39320" w14:textId="77777777" w:rsidR="00755C7C" w:rsidRPr="00C01103" w:rsidRDefault="00755C7C" w:rsidP="00755C7C">
      <w:pPr>
        <w:pStyle w:val="FootnoteText"/>
        <w:rPr>
          <w:rFonts w:cstheme="minorHAnsi"/>
        </w:rPr>
      </w:pPr>
      <w:r w:rsidRPr="00C01103">
        <w:rPr>
          <w:rStyle w:val="FootnoteReference"/>
          <w:rFonts w:cstheme="minorHAnsi"/>
        </w:rPr>
        <w:footnoteRef/>
      </w:r>
      <w:r w:rsidRPr="00C01103">
        <w:rPr>
          <w:rFonts w:cstheme="minorHAnsi"/>
        </w:rPr>
        <w:t xml:space="preserve"> Įstatymo 29 straipsnio 4 dalis „Perkančioji organizacija turi teisę savo iniciatyva </w:t>
      </w:r>
      <w:r w:rsidRPr="00380228">
        <w:rPr>
          <w:rFonts w:cstheme="minorHAnsi"/>
          <w:b/>
          <w:bCs/>
        </w:rPr>
        <w:t>nutraukti pradėtas pirkimo</w:t>
      </w:r>
      <w:r w:rsidRPr="00C01103">
        <w:rPr>
          <w:rFonts w:cstheme="minorHAnsi"/>
        </w:rPr>
        <w:t xml:space="preserve"> ar projekto konkurso </w:t>
      </w:r>
      <w:r w:rsidRPr="00380228">
        <w:rPr>
          <w:rFonts w:cstheme="minorHAnsi"/>
          <w:b/>
          <w:bCs/>
        </w:rPr>
        <w:t>procedūras</w:t>
      </w:r>
      <w:r w:rsidRPr="00C01103">
        <w:rPr>
          <w:rFonts w:cstheme="minorHAnsi"/>
        </w:rPr>
        <w:t xml:space="preserve">, jeigu atsirado aplinkybių, kurių nebuvo galima numatyti, arba pirkimo dokumentuose </w:t>
      </w:r>
      <w:r w:rsidRPr="00380228">
        <w:rPr>
          <w:rFonts w:cstheme="minorHAnsi"/>
          <w:b/>
          <w:bCs/>
        </w:rPr>
        <w:t>padaryta esminių klaidų</w:t>
      </w:r>
      <w:r w:rsidRPr="00C01103">
        <w:rPr>
          <w:rFonts w:cstheme="minorHAns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1"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9"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2"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8"/>
  </w:num>
  <w:num w:numId="2" w16cid:durableId="83259554">
    <w:abstractNumId w:val="13"/>
  </w:num>
  <w:num w:numId="3" w16cid:durableId="1288511495">
    <w:abstractNumId w:val="7"/>
  </w:num>
  <w:num w:numId="4" w16cid:durableId="1444374012">
    <w:abstractNumId w:val="9"/>
  </w:num>
  <w:num w:numId="5" w16cid:durableId="488713190">
    <w:abstractNumId w:val="4"/>
  </w:num>
  <w:num w:numId="6" w16cid:durableId="1669357846">
    <w:abstractNumId w:val="11"/>
  </w:num>
  <w:num w:numId="7" w16cid:durableId="482896912">
    <w:abstractNumId w:val="6"/>
  </w:num>
  <w:num w:numId="8" w16cid:durableId="1327975746">
    <w:abstractNumId w:val="1"/>
  </w:num>
  <w:num w:numId="9" w16cid:durableId="646589109">
    <w:abstractNumId w:val="2"/>
  </w:num>
  <w:num w:numId="10" w16cid:durableId="1684016805">
    <w:abstractNumId w:val="3"/>
  </w:num>
  <w:num w:numId="11" w16cid:durableId="547379752">
    <w:abstractNumId w:val="12"/>
  </w:num>
  <w:num w:numId="12" w16cid:durableId="263851669">
    <w:abstractNumId w:val="5"/>
  </w:num>
  <w:num w:numId="13" w16cid:durableId="841897627">
    <w:abstractNumId w:val="10"/>
  </w:num>
  <w:num w:numId="14" w16cid:durableId="197998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5CCD"/>
    <w:rsid w:val="00012181"/>
    <w:rsid w:val="0002049C"/>
    <w:rsid w:val="00032313"/>
    <w:rsid w:val="000424B6"/>
    <w:rsid w:val="00060D3C"/>
    <w:rsid w:val="00062E66"/>
    <w:rsid w:val="0006303A"/>
    <w:rsid w:val="000775A4"/>
    <w:rsid w:val="00097AE1"/>
    <w:rsid w:val="000A51E9"/>
    <w:rsid w:val="000A61C9"/>
    <w:rsid w:val="000B18B4"/>
    <w:rsid w:val="000B3A72"/>
    <w:rsid w:val="000B4EED"/>
    <w:rsid w:val="000D3FB9"/>
    <w:rsid w:val="000E0A16"/>
    <w:rsid w:val="000E4878"/>
    <w:rsid w:val="000F4B2D"/>
    <w:rsid w:val="00101E97"/>
    <w:rsid w:val="00112394"/>
    <w:rsid w:val="00113EA3"/>
    <w:rsid w:val="00117FF1"/>
    <w:rsid w:val="0012108F"/>
    <w:rsid w:val="00133687"/>
    <w:rsid w:val="00136C24"/>
    <w:rsid w:val="00137A64"/>
    <w:rsid w:val="00153DAD"/>
    <w:rsid w:val="001569F1"/>
    <w:rsid w:val="00156C11"/>
    <w:rsid w:val="00166A39"/>
    <w:rsid w:val="00175B86"/>
    <w:rsid w:val="001A10D5"/>
    <w:rsid w:val="001A21F7"/>
    <w:rsid w:val="001A3ECB"/>
    <w:rsid w:val="001A4353"/>
    <w:rsid w:val="001A4B1B"/>
    <w:rsid w:val="001B3ADD"/>
    <w:rsid w:val="001B633C"/>
    <w:rsid w:val="001C7B88"/>
    <w:rsid w:val="001D7D6B"/>
    <w:rsid w:val="001E391D"/>
    <w:rsid w:val="001F1335"/>
    <w:rsid w:val="001F2729"/>
    <w:rsid w:val="001F594F"/>
    <w:rsid w:val="002124AF"/>
    <w:rsid w:val="00224660"/>
    <w:rsid w:val="00240774"/>
    <w:rsid w:val="002464FF"/>
    <w:rsid w:val="00251830"/>
    <w:rsid w:val="00257874"/>
    <w:rsid w:val="00260330"/>
    <w:rsid w:val="00265F8E"/>
    <w:rsid w:val="0027421B"/>
    <w:rsid w:val="0027704B"/>
    <w:rsid w:val="00277A2B"/>
    <w:rsid w:val="00286359"/>
    <w:rsid w:val="00292DFD"/>
    <w:rsid w:val="00297F35"/>
    <w:rsid w:val="002A5169"/>
    <w:rsid w:val="002B0349"/>
    <w:rsid w:val="002C384E"/>
    <w:rsid w:val="002C7551"/>
    <w:rsid w:val="002D142A"/>
    <w:rsid w:val="002E78B0"/>
    <w:rsid w:val="002F7217"/>
    <w:rsid w:val="00306DBF"/>
    <w:rsid w:val="00316960"/>
    <w:rsid w:val="00316D99"/>
    <w:rsid w:val="00316FA3"/>
    <w:rsid w:val="00325EBC"/>
    <w:rsid w:val="0033267F"/>
    <w:rsid w:val="003376D3"/>
    <w:rsid w:val="00367BD4"/>
    <w:rsid w:val="00371302"/>
    <w:rsid w:val="00391F69"/>
    <w:rsid w:val="00395FE8"/>
    <w:rsid w:val="0039735D"/>
    <w:rsid w:val="003A38AA"/>
    <w:rsid w:val="003A6490"/>
    <w:rsid w:val="003C7793"/>
    <w:rsid w:val="003D3B22"/>
    <w:rsid w:val="003D5D1C"/>
    <w:rsid w:val="003F68D3"/>
    <w:rsid w:val="00415025"/>
    <w:rsid w:val="00421C5A"/>
    <w:rsid w:val="00422EE6"/>
    <w:rsid w:val="00426E4A"/>
    <w:rsid w:val="00436CC6"/>
    <w:rsid w:val="004371FC"/>
    <w:rsid w:val="004379EB"/>
    <w:rsid w:val="00441609"/>
    <w:rsid w:val="00443E20"/>
    <w:rsid w:val="00452B8C"/>
    <w:rsid w:val="004543D4"/>
    <w:rsid w:val="00454F35"/>
    <w:rsid w:val="00461FF8"/>
    <w:rsid w:val="00462312"/>
    <w:rsid w:val="004642E4"/>
    <w:rsid w:val="0047515F"/>
    <w:rsid w:val="00481AEF"/>
    <w:rsid w:val="00496117"/>
    <w:rsid w:val="004A2A1D"/>
    <w:rsid w:val="004A34D8"/>
    <w:rsid w:val="004A4452"/>
    <w:rsid w:val="004B0C6C"/>
    <w:rsid w:val="004B4611"/>
    <w:rsid w:val="004C1A5C"/>
    <w:rsid w:val="004C7BE6"/>
    <w:rsid w:val="004D0619"/>
    <w:rsid w:val="004E000E"/>
    <w:rsid w:val="00513791"/>
    <w:rsid w:val="005252C6"/>
    <w:rsid w:val="00525C30"/>
    <w:rsid w:val="005273E7"/>
    <w:rsid w:val="00543AF2"/>
    <w:rsid w:val="00545899"/>
    <w:rsid w:val="0054603E"/>
    <w:rsid w:val="00577737"/>
    <w:rsid w:val="005873FB"/>
    <w:rsid w:val="005A2B45"/>
    <w:rsid w:val="005B2D59"/>
    <w:rsid w:val="005B50A5"/>
    <w:rsid w:val="005B7E12"/>
    <w:rsid w:val="005C09EF"/>
    <w:rsid w:val="005C28A3"/>
    <w:rsid w:val="005C2D25"/>
    <w:rsid w:val="005C4A6B"/>
    <w:rsid w:val="005C60FC"/>
    <w:rsid w:val="005D060C"/>
    <w:rsid w:val="005D3092"/>
    <w:rsid w:val="005D4860"/>
    <w:rsid w:val="005D4E5C"/>
    <w:rsid w:val="005F2E2C"/>
    <w:rsid w:val="00603648"/>
    <w:rsid w:val="00611701"/>
    <w:rsid w:val="00633BD3"/>
    <w:rsid w:val="006451E0"/>
    <w:rsid w:val="00645E04"/>
    <w:rsid w:val="00654E23"/>
    <w:rsid w:val="006560E6"/>
    <w:rsid w:val="006626A2"/>
    <w:rsid w:val="00665D88"/>
    <w:rsid w:val="00665DBE"/>
    <w:rsid w:val="00667396"/>
    <w:rsid w:val="0068139D"/>
    <w:rsid w:val="00681A1E"/>
    <w:rsid w:val="006B66B9"/>
    <w:rsid w:val="006C1293"/>
    <w:rsid w:val="006C5406"/>
    <w:rsid w:val="006D038E"/>
    <w:rsid w:val="006D0450"/>
    <w:rsid w:val="006E2589"/>
    <w:rsid w:val="006F187D"/>
    <w:rsid w:val="00703AC3"/>
    <w:rsid w:val="00704B2D"/>
    <w:rsid w:val="007061B8"/>
    <w:rsid w:val="00724B76"/>
    <w:rsid w:val="00732491"/>
    <w:rsid w:val="00745002"/>
    <w:rsid w:val="00751D71"/>
    <w:rsid w:val="00755C7C"/>
    <w:rsid w:val="0075612F"/>
    <w:rsid w:val="0075686F"/>
    <w:rsid w:val="0076073B"/>
    <w:rsid w:val="00761039"/>
    <w:rsid w:val="00766D41"/>
    <w:rsid w:val="00782A7B"/>
    <w:rsid w:val="00785F51"/>
    <w:rsid w:val="00785FF6"/>
    <w:rsid w:val="00792E73"/>
    <w:rsid w:val="007A0D8C"/>
    <w:rsid w:val="007A18FD"/>
    <w:rsid w:val="007B534C"/>
    <w:rsid w:val="007F216C"/>
    <w:rsid w:val="007F2CED"/>
    <w:rsid w:val="007F3A70"/>
    <w:rsid w:val="008106BC"/>
    <w:rsid w:val="0081192D"/>
    <w:rsid w:val="008223A0"/>
    <w:rsid w:val="00822E0B"/>
    <w:rsid w:val="00831B76"/>
    <w:rsid w:val="00844884"/>
    <w:rsid w:val="00853221"/>
    <w:rsid w:val="0085758C"/>
    <w:rsid w:val="00863122"/>
    <w:rsid w:val="00864A9E"/>
    <w:rsid w:val="008665A2"/>
    <w:rsid w:val="00870F78"/>
    <w:rsid w:val="008B438E"/>
    <w:rsid w:val="008C645D"/>
    <w:rsid w:val="008D1AFA"/>
    <w:rsid w:val="008D1E69"/>
    <w:rsid w:val="008D22B4"/>
    <w:rsid w:val="008E0910"/>
    <w:rsid w:val="008E50AC"/>
    <w:rsid w:val="008F7064"/>
    <w:rsid w:val="008F76FF"/>
    <w:rsid w:val="0090153D"/>
    <w:rsid w:val="009037C5"/>
    <w:rsid w:val="0090740C"/>
    <w:rsid w:val="009179BA"/>
    <w:rsid w:val="0092133F"/>
    <w:rsid w:val="00921C93"/>
    <w:rsid w:val="009247C3"/>
    <w:rsid w:val="009258DF"/>
    <w:rsid w:val="00935CD6"/>
    <w:rsid w:val="00950794"/>
    <w:rsid w:val="009549B3"/>
    <w:rsid w:val="00974FF2"/>
    <w:rsid w:val="00975671"/>
    <w:rsid w:val="00986CDF"/>
    <w:rsid w:val="009970BE"/>
    <w:rsid w:val="009B3714"/>
    <w:rsid w:val="009D52C8"/>
    <w:rsid w:val="009D7A80"/>
    <w:rsid w:val="009E2BF0"/>
    <w:rsid w:val="009F1FD4"/>
    <w:rsid w:val="009F3746"/>
    <w:rsid w:val="00A00775"/>
    <w:rsid w:val="00A15A4F"/>
    <w:rsid w:val="00A32B3F"/>
    <w:rsid w:val="00A34EAB"/>
    <w:rsid w:val="00A4629C"/>
    <w:rsid w:val="00A5272B"/>
    <w:rsid w:val="00A64BA5"/>
    <w:rsid w:val="00A71A38"/>
    <w:rsid w:val="00A743CD"/>
    <w:rsid w:val="00A82580"/>
    <w:rsid w:val="00A84AB3"/>
    <w:rsid w:val="00A921F8"/>
    <w:rsid w:val="00A97153"/>
    <w:rsid w:val="00AB1394"/>
    <w:rsid w:val="00AC12E5"/>
    <w:rsid w:val="00AD15C1"/>
    <w:rsid w:val="00AF1D42"/>
    <w:rsid w:val="00B073A6"/>
    <w:rsid w:val="00B07950"/>
    <w:rsid w:val="00B22F2D"/>
    <w:rsid w:val="00B248ED"/>
    <w:rsid w:val="00B27605"/>
    <w:rsid w:val="00B54D95"/>
    <w:rsid w:val="00B55578"/>
    <w:rsid w:val="00B56D32"/>
    <w:rsid w:val="00B76BBC"/>
    <w:rsid w:val="00B905BF"/>
    <w:rsid w:val="00B9354F"/>
    <w:rsid w:val="00B939F0"/>
    <w:rsid w:val="00B96405"/>
    <w:rsid w:val="00BA0A04"/>
    <w:rsid w:val="00BA5CBB"/>
    <w:rsid w:val="00BA7516"/>
    <w:rsid w:val="00BB4BF9"/>
    <w:rsid w:val="00BB623B"/>
    <w:rsid w:val="00BC0D62"/>
    <w:rsid w:val="00BD2313"/>
    <w:rsid w:val="00BE0F12"/>
    <w:rsid w:val="00BE4ED7"/>
    <w:rsid w:val="00C05634"/>
    <w:rsid w:val="00C069D4"/>
    <w:rsid w:val="00C119EA"/>
    <w:rsid w:val="00C22F89"/>
    <w:rsid w:val="00C2316D"/>
    <w:rsid w:val="00C269A9"/>
    <w:rsid w:val="00C45F3C"/>
    <w:rsid w:val="00C47305"/>
    <w:rsid w:val="00C53171"/>
    <w:rsid w:val="00C55ABD"/>
    <w:rsid w:val="00C5759E"/>
    <w:rsid w:val="00C60553"/>
    <w:rsid w:val="00C645C5"/>
    <w:rsid w:val="00C74F41"/>
    <w:rsid w:val="00C82EDF"/>
    <w:rsid w:val="00C92F61"/>
    <w:rsid w:val="00CB1DBC"/>
    <w:rsid w:val="00CB30C5"/>
    <w:rsid w:val="00CC1188"/>
    <w:rsid w:val="00CD2AF3"/>
    <w:rsid w:val="00CD3A4D"/>
    <w:rsid w:val="00CE42C4"/>
    <w:rsid w:val="00CE6AC3"/>
    <w:rsid w:val="00CE7039"/>
    <w:rsid w:val="00D058CD"/>
    <w:rsid w:val="00D10A0E"/>
    <w:rsid w:val="00D11AD0"/>
    <w:rsid w:val="00D1529E"/>
    <w:rsid w:val="00D16D2C"/>
    <w:rsid w:val="00D30B5F"/>
    <w:rsid w:val="00D37D56"/>
    <w:rsid w:val="00D463C6"/>
    <w:rsid w:val="00D56004"/>
    <w:rsid w:val="00D60670"/>
    <w:rsid w:val="00D665F0"/>
    <w:rsid w:val="00D849B2"/>
    <w:rsid w:val="00D86762"/>
    <w:rsid w:val="00D91FDB"/>
    <w:rsid w:val="00D93515"/>
    <w:rsid w:val="00D97F12"/>
    <w:rsid w:val="00DA60A0"/>
    <w:rsid w:val="00DB1E50"/>
    <w:rsid w:val="00DB39D2"/>
    <w:rsid w:val="00DC5CC0"/>
    <w:rsid w:val="00DD080F"/>
    <w:rsid w:val="00DF09A0"/>
    <w:rsid w:val="00DF1E87"/>
    <w:rsid w:val="00DF32E0"/>
    <w:rsid w:val="00E02AF2"/>
    <w:rsid w:val="00E03993"/>
    <w:rsid w:val="00E1272C"/>
    <w:rsid w:val="00E22856"/>
    <w:rsid w:val="00E24085"/>
    <w:rsid w:val="00E34B39"/>
    <w:rsid w:val="00E47336"/>
    <w:rsid w:val="00E53780"/>
    <w:rsid w:val="00E55F3C"/>
    <w:rsid w:val="00E621A5"/>
    <w:rsid w:val="00E673BB"/>
    <w:rsid w:val="00E83E4F"/>
    <w:rsid w:val="00E8721E"/>
    <w:rsid w:val="00EA5BFE"/>
    <w:rsid w:val="00EB2E90"/>
    <w:rsid w:val="00EB4B4E"/>
    <w:rsid w:val="00EB598A"/>
    <w:rsid w:val="00EB6E38"/>
    <w:rsid w:val="00EB7960"/>
    <w:rsid w:val="00EB7D8F"/>
    <w:rsid w:val="00EC3AE5"/>
    <w:rsid w:val="00ED208F"/>
    <w:rsid w:val="00ED5E9D"/>
    <w:rsid w:val="00EE402D"/>
    <w:rsid w:val="00EE41DB"/>
    <w:rsid w:val="00EE723A"/>
    <w:rsid w:val="00F14700"/>
    <w:rsid w:val="00F30C87"/>
    <w:rsid w:val="00F418C0"/>
    <w:rsid w:val="00F43313"/>
    <w:rsid w:val="00F47461"/>
    <w:rsid w:val="00F516AD"/>
    <w:rsid w:val="00F57C08"/>
    <w:rsid w:val="00F62056"/>
    <w:rsid w:val="00F66207"/>
    <w:rsid w:val="00F77168"/>
    <w:rsid w:val="00F86729"/>
    <w:rsid w:val="00F872C0"/>
    <w:rsid w:val="00F97C28"/>
    <w:rsid w:val="00FA2712"/>
    <w:rsid w:val="00FC299F"/>
    <w:rsid w:val="00FC52B3"/>
    <w:rsid w:val="00FE31AC"/>
    <w:rsid w:val="00FE4AAA"/>
    <w:rsid w:val="00FE5295"/>
    <w:rsid w:val="00FF141B"/>
    <w:rsid w:val="00FF1BA1"/>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semiHidden/>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semiHidden/>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778</Words>
  <Characters>4439</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84</cp:revision>
  <dcterms:created xsi:type="dcterms:W3CDTF">2025-02-26T06:40:00Z</dcterms:created>
  <dcterms:modified xsi:type="dcterms:W3CDTF">2025-03-14T12:45:00Z</dcterms:modified>
</cp:coreProperties>
</file>