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177A" w14:textId="77777777" w:rsidR="006E24C0" w:rsidRPr="006E24C0" w:rsidRDefault="006E24C0" w:rsidP="006E24C0">
      <w:pPr>
        <w:rPr>
          <w:rFonts w:ascii="Calibri" w:hAnsi="Calibri" w:cs="Calibri"/>
          <w:lang w:val="lt-LT"/>
        </w:rPr>
      </w:pPr>
      <w:r w:rsidRPr="006E24C0">
        <w:rPr>
          <w:rFonts w:ascii="Calibri" w:hAnsi="Calibri" w:cs="Calibri"/>
          <w:lang w:val="lt-LT"/>
        </w:rPr>
        <w:t>Viešųjų pirkimų tarnyba (toliau – Tarnyba), vadovaudamasi Lietuvos Respublikos pirkimų, atliekamų vandentvarkos, energetikos, transporto ar pašto paslaugų srities perkančiųjų subjektų, įstatymo (toliau –Įstatymas) 101 straipsnio 1 dalies 2 punkto nuostatomis, vykdo Įstatymų ir su jų įgyvendinimu susijusių teisės aktų pažeidimų prevenciją.</w:t>
      </w:r>
    </w:p>
    <w:p w14:paraId="12E2749F" w14:textId="16B4E88A" w:rsidR="006E24C0" w:rsidRPr="006E24C0" w:rsidRDefault="006E24C0" w:rsidP="006E24C0">
      <w:pPr>
        <w:rPr>
          <w:rFonts w:ascii="Calibri" w:hAnsi="Calibri" w:cs="Calibri"/>
          <w:lang w:val="lt-LT"/>
        </w:rPr>
      </w:pPr>
      <w:r w:rsidRPr="006E24C0">
        <w:rPr>
          <w:rFonts w:ascii="Calibri" w:hAnsi="Calibri" w:cs="Calibri"/>
          <w:lang w:val="lt-LT"/>
        </w:rPr>
        <w:t xml:space="preserve">Vadovaujantis Tarnybai Įstatymų nustatyta pažeidimų prevencijos funkcija, šiuo metu atliekama </w:t>
      </w:r>
      <w:r w:rsidRPr="00580C7F">
        <w:rPr>
          <w:rFonts w:ascii="Calibri" w:hAnsi="Calibri" w:cs="Calibri"/>
          <w:b/>
          <w:bCs/>
          <w:lang w:val="lt-LT"/>
        </w:rPr>
        <w:t>UAB</w:t>
      </w:r>
      <w:r w:rsidRPr="006E24C0">
        <w:rPr>
          <w:rFonts w:ascii="Calibri" w:hAnsi="Calibri" w:cs="Calibri"/>
          <w:b/>
          <w:bCs/>
          <w:lang w:val="lt-LT"/>
        </w:rPr>
        <w:t xml:space="preserve"> </w:t>
      </w:r>
      <w:proofErr w:type="spellStart"/>
      <w:r w:rsidR="00AF60D5" w:rsidRPr="00580C7F">
        <w:rPr>
          <w:rFonts w:ascii="Calibri" w:hAnsi="Calibri" w:cs="Calibri"/>
          <w:b/>
          <w:bCs/>
          <w:lang w:val="lt-LT"/>
        </w:rPr>
        <w:t>Ignitis</w:t>
      </w:r>
      <w:proofErr w:type="spellEnd"/>
      <w:r w:rsidR="00AF60D5" w:rsidRPr="00580C7F">
        <w:rPr>
          <w:rFonts w:ascii="Calibri" w:hAnsi="Calibri" w:cs="Calibri"/>
          <w:b/>
          <w:bCs/>
          <w:lang w:val="lt-LT"/>
        </w:rPr>
        <w:t xml:space="preserve"> grupės paslaugų centras (PV)</w:t>
      </w:r>
      <w:r w:rsidRPr="006E24C0">
        <w:rPr>
          <w:rFonts w:ascii="Calibri" w:hAnsi="Calibri" w:cs="Calibri"/>
          <w:lang w:val="lt-LT"/>
        </w:rPr>
        <w:t xml:space="preserve"> (</w:t>
      </w:r>
      <w:r w:rsidR="00DC16D9" w:rsidRPr="00580C7F">
        <w:rPr>
          <w:rFonts w:ascii="Calibri" w:hAnsi="Calibri" w:cs="Calibri"/>
          <w:lang w:val="lt-LT"/>
        </w:rPr>
        <w:t>toliau – Perkantysis subjektas</w:t>
      </w:r>
      <w:r w:rsidRPr="006E24C0">
        <w:rPr>
          <w:rFonts w:ascii="Calibri" w:hAnsi="Calibri" w:cs="Calibri"/>
          <w:lang w:val="lt-LT"/>
        </w:rPr>
        <w:t xml:space="preserve">) vykdomo </w:t>
      </w:r>
      <w:r w:rsidRPr="006E24C0">
        <w:rPr>
          <w:rFonts w:ascii="Calibri" w:hAnsi="Calibri" w:cs="Calibri"/>
          <w:b/>
          <w:bCs/>
          <w:lang w:val="lt-LT"/>
        </w:rPr>
        <w:t xml:space="preserve">pirkimo Nr. </w:t>
      </w:r>
      <w:r w:rsidR="00D02A2E" w:rsidRPr="00580C7F">
        <w:rPr>
          <w:rFonts w:ascii="Calibri" w:eastAsia="Calibri" w:hAnsi="Calibri" w:cs="Calibri"/>
          <w:b/>
          <w:bCs/>
          <w:iCs/>
        </w:rPr>
        <w:t>1546443</w:t>
      </w:r>
      <w:r w:rsidRPr="006E24C0">
        <w:rPr>
          <w:rFonts w:ascii="Calibri" w:hAnsi="Calibri" w:cs="Calibri"/>
          <w:b/>
          <w:bCs/>
          <w:lang w:val="lt-LT"/>
        </w:rPr>
        <w:t xml:space="preserve"> „</w:t>
      </w:r>
      <w:r w:rsidR="002403CC" w:rsidRPr="00580C7F">
        <w:rPr>
          <w:rFonts w:ascii="Calibri" w:hAnsi="Calibri" w:cs="Calibri"/>
          <w:b/>
          <w:bCs/>
          <w:lang w:val="lt-LT"/>
        </w:rPr>
        <w:t xml:space="preserve">(2025-ESO-365) Transformatorinių statybinės dalies remonto Klaipėdos </w:t>
      </w:r>
      <w:proofErr w:type="spellStart"/>
      <w:r w:rsidR="002403CC" w:rsidRPr="00580C7F">
        <w:rPr>
          <w:rFonts w:ascii="Calibri" w:hAnsi="Calibri" w:cs="Calibri"/>
          <w:b/>
          <w:bCs/>
          <w:lang w:val="lt-LT"/>
        </w:rPr>
        <w:t>reg</w:t>
      </w:r>
      <w:proofErr w:type="spellEnd"/>
      <w:r w:rsidR="002403CC" w:rsidRPr="00580C7F">
        <w:rPr>
          <w:rFonts w:ascii="Calibri" w:hAnsi="Calibri" w:cs="Calibri"/>
          <w:b/>
          <w:bCs/>
          <w:lang w:val="lt-LT"/>
        </w:rPr>
        <w:t xml:space="preserve">., </w:t>
      </w:r>
      <w:proofErr w:type="gramStart"/>
      <w:r w:rsidR="002403CC" w:rsidRPr="00580C7F">
        <w:rPr>
          <w:rFonts w:ascii="Calibri" w:hAnsi="Calibri" w:cs="Calibri"/>
          <w:b/>
          <w:bCs/>
          <w:lang w:val="lt-LT"/>
        </w:rPr>
        <w:t>darbai</w:t>
      </w:r>
      <w:r w:rsidRPr="006E24C0">
        <w:rPr>
          <w:rFonts w:ascii="Calibri" w:hAnsi="Calibri" w:cs="Calibri"/>
          <w:b/>
          <w:bCs/>
          <w:lang w:val="lt-LT"/>
        </w:rPr>
        <w:t xml:space="preserve">“ </w:t>
      </w:r>
      <w:r w:rsidRPr="006E24C0">
        <w:rPr>
          <w:rFonts w:ascii="Calibri" w:hAnsi="Calibri" w:cs="Calibri"/>
          <w:lang w:val="lt-LT"/>
        </w:rPr>
        <w:t>(</w:t>
      </w:r>
      <w:proofErr w:type="gramEnd"/>
      <w:r w:rsidRPr="006E24C0">
        <w:rPr>
          <w:rFonts w:ascii="Calibri" w:hAnsi="Calibri" w:cs="Calibri"/>
          <w:lang w:val="lt-LT"/>
        </w:rPr>
        <w:t>toliau – Pirkimas) dokumentų atitikties Įstatymams ir su jų įgyvendinimu susijusiems teisės aktams peržiūra (peržiūra prevenciniais tikslais atliekama tam tikra apimtimi).</w:t>
      </w:r>
    </w:p>
    <w:p w14:paraId="5937E095" w14:textId="137A6F41" w:rsidR="000E4878" w:rsidRPr="00972198" w:rsidRDefault="006E24C0">
      <w:pPr>
        <w:rPr>
          <w:rFonts w:ascii="Calibri" w:hAnsi="Calibri" w:cs="Calibri"/>
          <w:lang w:val="lt-LT"/>
        </w:rPr>
      </w:pPr>
      <w:r w:rsidRPr="006E24C0">
        <w:rPr>
          <w:rFonts w:ascii="Calibri" w:hAnsi="Calibri" w:cs="Calibri"/>
          <w:lang w:val="lt-LT"/>
        </w:rPr>
        <w:t>Tarnyba, peržiūrėjusi Pirkimo dokumentus, teikia pastabas ir rekomendacijas dėl Pirkimo dokumentų nuostatų (toliau – Rekomendacija).</w:t>
      </w:r>
    </w:p>
    <w:p w14:paraId="4BCED60B" w14:textId="77777777" w:rsidR="00A60FB7" w:rsidRPr="00A60FB7" w:rsidRDefault="00A60FB7" w:rsidP="00A60FB7">
      <w:pPr>
        <w:numPr>
          <w:ilvl w:val="0"/>
          <w:numId w:val="1"/>
        </w:numPr>
        <w:rPr>
          <w:rFonts w:ascii="Calibri" w:hAnsi="Calibri" w:cs="Calibri"/>
          <w:b/>
          <w:bCs/>
          <w:lang w:val="lt-LT"/>
        </w:rPr>
      </w:pPr>
      <w:r w:rsidRPr="00A60FB7">
        <w:rPr>
          <w:rFonts w:ascii="Calibri" w:hAnsi="Calibri" w:cs="Calibri"/>
          <w:b/>
          <w:bCs/>
          <w:lang w:val="lt-LT"/>
        </w:rPr>
        <w:t>Dėl pareigos Pirkimo objektą įsigyti naudojantis centrinės perkančiosios organizacijos katalogu</w:t>
      </w:r>
    </w:p>
    <w:p w14:paraId="58F64613" w14:textId="78D11E13" w:rsidR="00A60FB7" w:rsidRPr="00A60FB7" w:rsidRDefault="00A60FB7" w:rsidP="005534A2">
      <w:pPr>
        <w:spacing w:after="0"/>
        <w:rPr>
          <w:rFonts w:ascii="Calibri" w:hAnsi="Calibri" w:cs="Calibri"/>
          <w:lang w:val="lt-LT"/>
        </w:rPr>
      </w:pPr>
      <w:r w:rsidRPr="00A60FB7">
        <w:rPr>
          <w:rFonts w:ascii="Calibri" w:hAnsi="Calibri" w:cs="Calibri"/>
          <w:lang w:val="lt-LT"/>
        </w:rPr>
        <w:t xml:space="preserve">Vadovaujantis Įstatymo </w:t>
      </w:r>
      <w:r w:rsidR="00B04C0F" w:rsidRPr="00580C7F">
        <w:rPr>
          <w:rFonts w:ascii="Calibri" w:hAnsi="Calibri" w:cs="Calibri"/>
          <w:lang w:val="lt-LT"/>
        </w:rPr>
        <w:t>90</w:t>
      </w:r>
      <w:r w:rsidRPr="00A60FB7">
        <w:rPr>
          <w:rFonts w:ascii="Calibri" w:hAnsi="Calibri" w:cs="Calibri"/>
          <w:lang w:val="lt-LT"/>
        </w:rPr>
        <w:t xml:space="preserve"> str. 2 dalies 1 punktu</w:t>
      </w:r>
      <w:r w:rsidRPr="00A60FB7">
        <w:rPr>
          <w:rFonts w:ascii="Calibri" w:hAnsi="Calibri" w:cs="Calibri"/>
          <w:vertAlign w:val="superscript"/>
          <w:lang w:val="lt-LT"/>
        </w:rPr>
        <w:footnoteReference w:id="1"/>
      </w:r>
      <w:r w:rsidRPr="00A60FB7">
        <w:rPr>
          <w:rFonts w:ascii="Calibri" w:hAnsi="Calibri" w:cs="Calibri"/>
          <w:lang w:val="lt-LT"/>
        </w:rPr>
        <w:t xml:space="preserve">, Perkančioji organizacija </w:t>
      </w:r>
      <w:r w:rsidRPr="00A60FB7">
        <w:rPr>
          <w:rFonts w:ascii="Calibri" w:hAnsi="Calibri" w:cs="Calibri"/>
          <w:b/>
          <w:bCs/>
          <w:lang w:val="lt-LT"/>
        </w:rPr>
        <w:t>privalo motyvuoti savo sprendimą</w:t>
      </w:r>
      <w:r w:rsidRPr="00A60FB7">
        <w:rPr>
          <w:rFonts w:ascii="Calibri" w:hAnsi="Calibri" w:cs="Calibri"/>
          <w:lang w:val="lt-LT"/>
        </w:rPr>
        <w:t xml:space="preserve"> neatlikti Pirkimo naudojantis centralizuotų pirkimų katalogu ir </w:t>
      </w:r>
      <w:r w:rsidRPr="00A60FB7">
        <w:rPr>
          <w:rFonts w:ascii="Calibri" w:hAnsi="Calibri" w:cs="Calibri"/>
          <w:b/>
          <w:bCs/>
          <w:lang w:val="lt-LT"/>
        </w:rPr>
        <w:t>argumentus nurodyti Pirkimo dokumentuose</w:t>
      </w:r>
      <w:r w:rsidRPr="00A60FB7">
        <w:rPr>
          <w:rFonts w:ascii="Calibri" w:hAnsi="Calibri" w:cs="Calibri"/>
          <w:lang w:val="lt-LT"/>
        </w:rPr>
        <w:t>.</w:t>
      </w:r>
    </w:p>
    <w:p w14:paraId="7AEB3E2F" w14:textId="591251F0" w:rsidR="00A60FB7" w:rsidRDefault="00A60FB7" w:rsidP="005534A2">
      <w:pPr>
        <w:spacing w:after="0"/>
        <w:rPr>
          <w:rFonts w:ascii="Calibri" w:hAnsi="Calibri" w:cs="Calibri"/>
          <w:lang w:val="lt-LT"/>
        </w:rPr>
      </w:pPr>
      <w:r w:rsidRPr="00A60FB7">
        <w:rPr>
          <w:rFonts w:ascii="Calibri" w:hAnsi="Calibri" w:cs="Calibri"/>
          <w:lang w:val="lt-LT"/>
        </w:rPr>
        <w:t xml:space="preserve">Atsižvelgiant į Įstatymo nuostatas, Tarnyba rekomenduoja Pirkimo dokumentuose pateikti motyvuotą sprendimą, kodėl Pirkimas neatliekamas naudojantis centralizuotų pirkimų katalogu (CPO LT katalogu), taip pat ir </w:t>
      </w:r>
      <w:r w:rsidRPr="00A60FB7">
        <w:rPr>
          <w:rFonts w:ascii="Calibri" w:hAnsi="Calibri" w:cs="Calibri"/>
          <w:b/>
          <w:bCs/>
          <w:lang w:val="lt-LT"/>
        </w:rPr>
        <w:t>ateityje</w:t>
      </w:r>
      <w:r w:rsidRPr="00A60FB7">
        <w:rPr>
          <w:rFonts w:ascii="Calibri" w:hAnsi="Calibri" w:cs="Calibri"/>
          <w:lang w:val="lt-LT"/>
        </w:rPr>
        <w:t xml:space="preserve"> vykdomų pirkimų dokumentuose pateikti motyvuotus sprendimus, </w:t>
      </w:r>
      <w:r w:rsidR="00346614">
        <w:rPr>
          <w:rFonts w:ascii="Calibri" w:hAnsi="Calibri" w:cs="Calibri"/>
          <w:lang w:val="lt-LT"/>
        </w:rPr>
        <w:t>kai</w:t>
      </w:r>
      <w:r w:rsidR="00346614" w:rsidRPr="00A60FB7">
        <w:rPr>
          <w:rFonts w:ascii="Calibri" w:hAnsi="Calibri" w:cs="Calibri"/>
          <w:lang w:val="lt-LT"/>
        </w:rPr>
        <w:t xml:space="preserve"> </w:t>
      </w:r>
      <w:r w:rsidRPr="00A60FB7">
        <w:rPr>
          <w:rFonts w:ascii="Calibri" w:hAnsi="Calibri" w:cs="Calibri"/>
          <w:lang w:val="lt-LT"/>
        </w:rPr>
        <w:t>prekės, paslaugos ar darbai neperkami naudojantis centralizuotų pirkimų katalogu.</w:t>
      </w:r>
    </w:p>
    <w:p w14:paraId="1019042D" w14:textId="77777777" w:rsidR="005534A2" w:rsidRPr="00580C7F" w:rsidRDefault="005534A2" w:rsidP="005534A2">
      <w:pPr>
        <w:spacing w:after="0"/>
        <w:rPr>
          <w:rFonts w:ascii="Calibri" w:hAnsi="Calibri" w:cs="Calibri"/>
          <w:lang w:val="lt-LT"/>
        </w:rPr>
      </w:pPr>
    </w:p>
    <w:p w14:paraId="70DF1AFE" w14:textId="77777777" w:rsidR="00BD2760" w:rsidRDefault="00BD2760" w:rsidP="00BD2760">
      <w:pPr>
        <w:pStyle w:val="ListParagraph"/>
        <w:numPr>
          <w:ilvl w:val="0"/>
          <w:numId w:val="1"/>
        </w:numPr>
        <w:rPr>
          <w:rFonts w:ascii="Calibri" w:hAnsi="Calibri" w:cs="Calibri"/>
          <w:b/>
          <w:bCs/>
          <w:lang w:val="lt-LT"/>
        </w:rPr>
      </w:pPr>
      <w:r w:rsidRPr="00580C7F">
        <w:rPr>
          <w:rFonts w:ascii="Calibri" w:hAnsi="Calibri" w:cs="Calibri"/>
          <w:b/>
          <w:bCs/>
          <w:lang w:val="lt-LT"/>
        </w:rPr>
        <w:t xml:space="preserve">Dėl kvalifikacijos reikalavimų </w:t>
      </w:r>
    </w:p>
    <w:p w14:paraId="103F9564" w14:textId="1AEBFFBC" w:rsidR="009740FE" w:rsidRPr="00BD4D1C" w:rsidRDefault="009740FE" w:rsidP="009740FE">
      <w:pPr>
        <w:rPr>
          <w:rFonts w:ascii="Calibri" w:hAnsi="Calibri" w:cs="Calibri"/>
          <w:lang w:val="lt-LT"/>
        </w:rPr>
      </w:pPr>
      <w:r w:rsidRPr="00BD4D1C">
        <w:rPr>
          <w:rFonts w:ascii="Calibri" w:hAnsi="Calibri" w:cs="Calibri"/>
          <w:lang w:val="lt-LT"/>
        </w:rPr>
        <w:t xml:space="preserve">Siekiant užtikrinti Įstatymo </w:t>
      </w:r>
      <w:r w:rsidR="001C3DCF">
        <w:rPr>
          <w:rFonts w:ascii="Calibri" w:hAnsi="Calibri" w:cs="Calibri"/>
          <w:lang w:val="lt-LT"/>
        </w:rPr>
        <w:t>48</w:t>
      </w:r>
      <w:r w:rsidRPr="00BD4D1C">
        <w:rPr>
          <w:rFonts w:ascii="Calibri" w:hAnsi="Calibri" w:cs="Calibri"/>
          <w:lang w:val="lt-LT"/>
        </w:rPr>
        <w:t xml:space="preserve"> straipsnio 4 dalies nuostatos „&lt;...&gt;</w:t>
      </w:r>
      <w:r w:rsidR="00DE14A3" w:rsidRPr="00DE14A3">
        <w:rPr>
          <w:rFonts w:ascii="Calibri" w:hAnsi="Calibri" w:cs="Calibri"/>
          <w:lang w:val="lt-LT"/>
        </w:rPr>
        <w:t xml:space="preserve">Pirkimo dokumentai turi būti </w:t>
      </w:r>
      <w:r w:rsidR="00DE14A3" w:rsidRPr="00975349">
        <w:rPr>
          <w:rFonts w:ascii="Calibri" w:hAnsi="Calibri" w:cs="Calibri"/>
          <w:b/>
          <w:bCs/>
          <w:lang w:val="lt-LT"/>
        </w:rPr>
        <w:t>tikslūs, aiškūs, be dviprasmybių</w:t>
      </w:r>
      <w:r w:rsidR="00DE14A3" w:rsidRPr="00DE14A3">
        <w:rPr>
          <w:rFonts w:ascii="Calibri" w:hAnsi="Calibri" w:cs="Calibri"/>
          <w:lang w:val="lt-LT"/>
        </w:rPr>
        <w:t>, kad tiekėjai galėtų pateikti pasiūlymus, o perkantysis subjektas – nupirkti tai, ko reikia</w:t>
      </w:r>
      <w:r w:rsidRPr="00BD4D1C">
        <w:rPr>
          <w:rFonts w:ascii="Calibri" w:hAnsi="Calibri" w:cs="Calibri"/>
          <w:lang w:val="lt-LT"/>
        </w:rPr>
        <w:t xml:space="preserve">“ laikymąsi, Tarnyba rekomenduoja tikslinti žemiau nurodytus </w:t>
      </w:r>
      <w:r w:rsidR="007472B6" w:rsidRPr="007472B6">
        <w:rPr>
          <w:rFonts w:ascii="Calibri" w:hAnsi="Calibri" w:cs="Calibri"/>
          <w:lang w:val="lt-LT"/>
        </w:rPr>
        <w:t xml:space="preserve">Specialiųjų pirkimo sąlygų 1 priedo „Reikalavimai tiekėjams: pašalinimo pagrindai, kvalifikacijos </w:t>
      </w:r>
      <w:r w:rsidR="007472B6" w:rsidRPr="007472B6">
        <w:rPr>
          <w:rFonts w:ascii="Calibri" w:hAnsi="Calibri" w:cs="Calibri"/>
          <w:lang w:val="lt-LT"/>
        </w:rPr>
        <w:lastRenderedPageBreak/>
        <w:t xml:space="preserve">reikalavimai“ Kvalifikacijos reikalavimų lentelės (toliau – Kvalifikacijos reikalavimai) </w:t>
      </w:r>
      <w:r w:rsidRPr="00BD4D1C">
        <w:rPr>
          <w:rFonts w:ascii="Calibri" w:hAnsi="Calibri" w:cs="Calibri"/>
          <w:lang w:val="lt-LT"/>
        </w:rPr>
        <w:t>nustatytus reikalavimus:</w:t>
      </w:r>
    </w:p>
    <w:p w14:paraId="6FD88ABC" w14:textId="6D084B39" w:rsidR="00716322" w:rsidRPr="00580C7F" w:rsidRDefault="000B5D00" w:rsidP="000B5D00">
      <w:pPr>
        <w:spacing w:after="0"/>
        <w:rPr>
          <w:rFonts w:ascii="Calibri" w:hAnsi="Calibri" w:cs="Calibri"/>
          <w:lang w:val="lt-LT"/>
        </w:rPr>
      </w:pPr>
      <w:r w:rsidRPr="00580C7F">
        <w:rPr>
          <w:rFonts w:ascii="Calibri" w:hAnsi="Calibri" w:cs="Calibri"/>
          <w:lang w:val="lt-LT"/>
        </w:rPr>
        <w:t xml:space="preserve">2.1. </w:t>
      </w:r>
      <w:r w:rsidR="007472B6">
        <w:rPr>
          <w:rFonts w:ascii="Calibri" w:hAnsi="Calibri" w:cs="Calibri"/>
          <w:lang w:val="lt-LT"/>
        </w:rPr>
        <w:t>Kvalifikacijos reikalavimų</w:t>
      </w:r>
      <w:r w:rsidR="00275291" w:rsidRPr="00580C7F">
        <w:rPr>
          <w:rFonts w:ascii="Calibri" w:hAnsi="Calibri" w:cs="Calibri"/>
          <w:lang w:val="lt-LT"/>
        </w:rPr>
        <w:t xml:space="preserve"> </w:t>
      </w:r>
      <w:r w:rsidR="00B83943" w:rsidRPr="00580C7F">
        <w:rPr>
          <w:rFonts w:ascii="Calibri" w:hAnsi="Calibri" w:cs="Calibri"/>
          <w:lang w:val="lt-LT"/>
        </w:rPr>
        <w:t>2 punkte</w:t>
      </w:r>
      <w:r w:rsidR="009B44A0" w:rsidRPr="00580C7F">
        <w:rPr>
          <w:rFonts w:ascii="Calibri" w:hAnsi="Calibri" w:cs="Calibri"/>
          <w:lang w:val="lt-LT"/>
        </w:rPr>
        <w:t xml:space="preserve"> nustat</w:t>
      </w:r>
      <w:r w:rsidR="001E5A3B" w:rsidRPr="00580C7F">
        <w:rPr>
          <w:rFonts w:ascii="Calibri" w:hAnsi="Calibri" w:cs="Calibri"/>
          <w:lang w:val="lt-LT"/>
        </w:rPr>
        <w:t xml:space="preserve">ytas </w:t>
      </w:r>
      <w:r w:rsidR="00866823" w:rsidRPr="00580C7F">
        <w:rPr>
          <w:rFonts w:ascii="Calibri" w:hAnsi="Calibri" w:cs="Calibri"/>
          <w:lang w:val="lt-LT"/>
        </w:rPr>
        <w:t>reikalavimas: „</w:t>
      </w:r>
      <w:r w:rsidR="00C57186" w:rsidRPr="00580C7F">
        <w:rPr>
          <w:rFonts w:ascii="Calibri" w:hAnsi="Calibri" w:cs="Calibri"/>
          <w:lang w:val="lt-LT"/>
        </w:rPr>
        <w:t xml:space="preserve">Tiekėjas turi ne mažiau kaip 1 specialistą (statinio statybos darbų vadovą), kuris laimėjimo atveju bus skiriamas Sutarties vykdymui, turintį </w:t>
      </w:r>
      <w:r w:rsidR="00C57186" w:rsidRPr="009C09B5">
        <w:rPr>
          <w:rFonts w:ascii="Calibri" w:hAnsi="Calibri" w:cs="Calibri"/>
          <w:lang w:val="lt-LT"/>
        </w:rPr>
        <w:t>teisę būti neypatingo statinio statybos darbų vadovu</w:t>
      </w:r>
      <w:r w:rsidR="00C57186" w:rsidRPr="00580C7F">
        <w:rPr>
          <w:rFonts w:ascii="Calibri" w:hAnsi="Calibri" w:cs="Calibri"/>
          <w:b/>
          <w:bCs/>
          <w:lang w:val="lt-LT"/>
        </w:rPr>
        <w:t xml:space="preserve"> ir vykdyti  bendruosius statybos darbus</w:t>
      </w:r>
      <w:r w:rsidR="00C57186" w:rsidRPr="00580C7F">
        <w:rPr>
          <w:rFonts w:ascii="Calibri" w:hAnsi="Calibri" w:cs="Calibri"/>
          <w:lang w:val="lt-LT"/>
        </w:rPr>
        <w:t>“.</w:t>
      </w:r>
    </w:p>
    <w:p w14:paraId="7AC7FBEA" w14:textId="285BA2D4" w:rsidR="00A55626" w:rsidRPr="00580C7F" w:rsidRDefault="00045CC3" w:rsidP="000B5D00">
      <w:pPr>
        <w:spacing w:after="0"/>
        <w:rPr>
          <w:rFonts w:ascii="Calibri" w:hAnsi="Calibri" w:cs="Calibri"/>
          <w:lang w:val="lt-LT"/>
        </w:rPr>
      </w:pPr>
      <w:r w:rsidRPr="00580C7F">
        <w:rPr>
          <w:rFonts w:ascii="Calibri" w:eastAsia="Times New Roman" w:hAnsi="Calibri" w:cs="Calibri"/>
          <w:lang w:val="lt-LT"/>
        </w:rPr>
        <w:t>Vadovaujantis Statybos techninio reglamento</w:t>
      </w:r>
      <w:r w:rsidRPr="00580C7F">
        <w:rPr>
          <w:rFonts w:ascii="Calibri" w:eastAsia="Times New Roman" w:hAnsi="Calibri" w:cs="Calibri"/>
        </w:rPr>
        <w:t xml:space="preserve"> </w:t>
      </w:r>
      <w:r w:rsidR="004A6016" w:rsidRPr="00580C7F">
        <w:rPr>
          <w:rFonts w:ascii="Calibri" w:hAnsi="Calibri" w:cs="Calibri"/>
          <w:lang w:val="lt-LT"/>
        </w:rPr>
        <w:t xml:space="preserve">STR 1.06.01:2016 „Statybos darbai. Statinio statybos priežiūra“ </w:t>
      </w:r>
      <w:r w:rsidR="003F2641" w:rsidRPr="00580C7F">
        <w:rPr>
          <w:rFonts w:ascii="Calibri" w:hAnsi="Calibri" w:cs="Calibri"/>
          <w:lang w:val="lt-LT"/>
        </w:rPr>
        <w:t>ketvir</w:t>
      </w:r>
      <w:r w:rsidR="000F1C75" w:rsidRPr="00580C7F">
        <w:rPr>
          <w:rFonts w:ascii="Calibri" w:hAnsi="Calibri" w:cs="Calibri"/>
          <w:lang w:val="lt-LT"/>
        </w:rPr>
        <w:t>to</w:t>
      </w:r>
      <w:r w:rsidR="003F2641" w:rsidRPr="00580C7F">
        <w:rPr>
          <w:rFonts w:ascii="Calibri" w:hAnsi="Calibri" w:cs="Calibri"/>
          <w:lang w:val="lt-LT"/>
        </w:rPr>
        <w:t xml:space="preserve"> skirsni</w:t>
      </w:r>
      <w:r w:rsidR="000F1C75" w:rsidRPr="00580C7F">
        <w:rPr>
          <w:rFonts w:ascii="Calibri" w:hAnsi="Calibri" w:cs="Calibri"/>
          <w:lang w:val="lt-LT"/>
        </w:rPr>
        <w:t>o</w:t>
      </w:r>
      <w:r w:rsidR="00C3793E" w:rsidRPr="00580C7F">
        <w:rPr>
          <w:rFonts w:ascii="Calibri" w:hAnsi="Calibri" w:cs="Calibri"/>
          <w:lang w:val="lt-LT"/>
        </w:rPr>
        <w:t xml:space="preserve"> </w:t>
      </w:r>
      <w:r w:rsidR="000F1C75" w:rsidRPr="00580C7F">
        <w:rPr>
          <w:rFonts w:ascii="Calibri" w:hAnsi="Calibri" w:cs="Calibri"/>
          <w:lang w:val="lt-LT"/>
        </w:rPr>
        <w:t>15 punktu:</w:t>
      </w:r>
    </w:p>
    <w:p w14:paraId="3C610F4C" w14:textId="2EDE3DA7" w:rsidR="005350B9" w:rsidRPr="00580C7F" w:rsidRDefault="005350B9" w:rsidP="000B5D00">
      <w:pPr>
        <w:spacing w:after="0"/>
        <w:rPr>
          <w:rFonts w:ascii="Calibri" w:hAnsi="Calibri" w:cs="Calibri"/>
        </w:rPr>
      </w:pPr>
      <w:r w:rsidRPr="00580C7F">
        <w:rPr>
          <w:rFonts w:ascii="Calibri" w:hAnsi="Calibri" w:cs="Calibri"/>
          <w:lang w:val="lt-LT"/>
        </w:rPr>
        <w:t xml:space="preserve">„15. Statinio statybos darbams (Reglamento 1 priedas) </w:t>
      </w:r>
      <w:r w:rsidRPr="00580C7F">
        <w:rPr>
          <w:rFonts w:ascii="Calibri" w:hAnsi="Calibri" w:cs="Calibri"/>
          <w:b/>
          <w:bCs/>
          <w:lang w:val="lt-LT"/>
        </w:rPr>
        <w:t>vadovauja</w:t>
      </w:r>
      <w:r w:rsidRPr="00580C7F">
        <w:rPr>
          <w:rFonts w:ascii="Calibri" w:hAnsi="Calibri" w:cs="Calibri"/>
          <w:lang w:val="lt-LT"/>
        </w:rPr>
        <w:t>:</w:t>
      </w:r>
    </w:p>
    <w:p w14:paraId="729499BE" w14:textId="77777777" w:rsidR="005350B9" w:rsidRPr="005350B9" w:rsidRDefault="005350B9" w:rsidP="000B5D00">
      <w:pPr>
        <w:spacing w:after="0"/>
        <w:rPr>
          <w:rFonts w:ascii="Calibri" w:hAnsi="Calibri" w:cs="Calibri"/>
        </w:rPr>
      </w:pPr>
      <w:bookmarkStart w:id="0" w:name="part_2bed2cf3755042e786eb3d6f0dc4ab49"/>
      <w:bookmarkEnd w:id="0"/>
      <w:r w:rsidRPr="005350B9">
        <w:rPr>
          <w:rFonts w:ascii="Calibri" w:hAnsi="Calibri" w:cs="Calibri"/>
          <w:lang w:val="lt-LT"/>
        </w:rPr>
        <w:t xml:space="preserve">15.1. </w:t>
      </w:r>
      <w:r w:rsidRPr="005350B9">
        <w:rPr>
          <w:rFonts w:ascii="Calibri" w:hAnsi="Calibri" w:cs="Calibri"/>
          <w:b/>
          <w:bCs/>
          <w:lang w:val="lt-LT"/>
        </w:rPr>
        <w:t>statinio statybos vadovas</w:t>
      </w:r>
      <w:r w:rsidRPr="005350B9">
        <w:rPr>
          <w:rFonts w:ascii="Calibri" w:hAnsi="Calibri" w:cs="Calibri"/>
          <w:lang w:val="lt-LT"/>
        </w:rPr>
        <w:t>;</w:t>
      </w:r>
    </w:p>
    <w:p w14:paraId="49DB04A2" w14:textId="78F759EA" w:rsidR="005350B9" w:rsidRPr="005350B9" w:rsidRDefault="00346614" w:rsidP="000B5D00">
      <w:pPr>
        <w:spacing w:after="0"/>
        <w:rPr>
          <w:rFonts w:ascii="Calibri" w:hAnsi="Calibri" w:cs="Calibri"/>
        </w:rPr>
      </w:pPr>
      <w:bookmarkStart w:id="1" w:name="part_64897e726a1248789309009b70fac20c"/>
      <w:bookmarkEnd w:id="1"/>
      <w:r>
        <w:rPr>
          <w:rFonts w:ascii="Calibri" w:hAnsi="Calibri" w:cs="Calibri"/>
          <w:lang w:val="lt-LT"/>
        </w:rPr>
        <w:t>&lt;...&gt;</w:t>
      </w:r>
      <w:r w:rsidR="005350B9" w:rsidRPr="005350B9">
        <w:rPr>
          <w:rFonts w:ascii="Calibri" w:hAnsi="Calibri" w:cs="Calibri"/>
          <w:lang w:val="lt-LT"/>
        </w:rPr>
        <w:t>;</w:t>
      </w:r>
    </w:p>
    <w:p w14:paraId="724DA95E" w14:textId="4EC5082C" w:rsidR="005350B9" w:rsidRPr="00580C7F" w:rsidRDefault="005350B9" w:rsidP="000B5D00">
      <w:pPr>
        <w:spacing w:after="0"/>
        <w:rPr>
          <w:rFonts w:ascii="Calibri" w:hAnsi="Calibri" w:cs="Calibri"/>
          <w:lang w:val="lt-LT"/>
        </w:rPr>
      </w:pPr>
      <w:bookmarkStart w:id="2" w:name="part_f34692eb3d6146f3b365a63ade54b5db"/>
      <w:bookmarkEnd w:id="2"/>
      <w:r w:rsidRPr="005350B9">
        <w:rPr>
          <w:rFonts w:ascii="Calibri" w:hAnsi="Calibri" w:cs="Calibri"/>
          <w:lang w:val="lt-LT"/>
        </w:rPr>
        <w:t>15.3</w:t>
      </w:r>
      <w:r w:rsidRPr="005350B9">
        <w:rPr>
          <w:rFonts w:ascii="Calibri" w:hAnsi="Calibri" w:cs="Calibri"/>
          <w:b/>
          <w:bCs/>
          <w:lang w:val="lt-LT"/>
        </w:rPr>
        <w:t>. statinio statybos bendrųjų darbų vadovas (tuo atveju, kai jis nėra statinio statybos vadovas)</w:t>
      </w:r>
      <w:r w:rsidRPr="00580C7F">
        <w:rPr>
          <w:rFonts w:ascii="Calibri" w:hAnsi="Calibri" w:cs="Calibri"/>
          <w:lang w:val="lt-LT"/>
        </w:rPr>
        <w:t>“.</w:t>
      </w:r>
      <w:r w:rsidR="00523FD3" w:rsidRPr="00580C7F">
        <w:rPr>
          <w:rFonts w:ascii="Calibri" w:hAnsi="Calibri" w:cs="Calibri"/>
          <w:lang w:val="lt-LT"/>
        </w:rPr>
        <w:t xml:space="preserve"> </w:t>
      </w:r>
    </w:p>
    <w:p w14:paraId="50F8FFDA" w14:textId="4E06390E" w:rsidR="00B3421B" w:rsidRDefault="00950D1A" w:rsidP="000B5D00">
      <w:pPr>
        <w:spacing w:after="0"/>
        <w:rPr>
          <w:rFonts w:ascii="Calibri" w:hAnsi="Calibri" w:cs="Calibri"/>
          <w:lang w:val="lt-LT"/>
        </w:rPr>
      </w:pPr>
      <w:r w:rsidRPr="00580C7F">
        <w:rPr>
          <w:rFonts w:ascii="Calibri" w:hAnsi="Calibri" w:cs="Calibri"/>
          <w:lang w:val="lt-LT"/>
        </w:rPr>
        <w:t xml:space="preserve">Atsižvelgiant į </w:t>
      </w:r>
      <w:r w:rsidR="009B5935" w:rsidRPr="00580C7F">
        <w:rPr>
          <w:rFonts w:ascii="Calibri" w:hAnsi="Calibri" w:cs="Calibri"/>
          <w:lang w:val="lt-LT"/>
        </w:rPr>
        <w:t>tai, kad</w:t>
      </w:r>
      <w:r w:rsidRPr="00580C7F">
        <w:rPr>
          <w:rFonts w:ascii="Calibri" w:hAnsi="Calibri" w:cs="Calibri"/>
          <w:lang w:val="lt-LT"/>
        </w:rPr>
        <w:t xml:space="preserve">, </w:t>
      </w:r>
      <w:r w:rsidR="0096497B" w:rsidRPr="00580C7F">
        <w:rPr>
          <w:rFonts w:ascii="Calibri" w:hAnsi="Calibri" w:cs="Calibri"/>
          <w:lang w:val="lt-LT"/>
        </w:rPr>
        <w:t>statinio statybos vadovas</w:t>
      </w:r>
      <w:r w:rsidR="00B95D62" w:rsidRPr="00580C7F">
        <w:rPr>
          <w:rFonts w:ascii="Calibri" w:hAnsi="Calibri" w:cs="Calibri"/>
          <w:lang w:val="lt-LT"/>
        </w:rPr>
        <w:t>/statinio statybos bendrųjų darbų vadovas vadovauja</w:t>
      </w:r>
      <w:r w:rsidR="00CE1721" w:rsidRPr="00580C7F">
        <w:rPr>
          <w:rFonts w:ascii="Calibri" w:hAnsi="Calibri" w:cs="Calibri"/>
          <w:lang w:val="lt-LT"/>
        </w:rPr>
        <w:t>, o ne vykdo statybos darbus</w:t>
      </w:r>
      <w:r w:rsidR="009B5935" w:rsidRPr="00580C7F">
        <w:rPr>
          <w:rFonts w:ascii="Calibri" w:hAnsi="Calibri" w:cs="Calibri"/>
          <w:lang w:val="lt-LT"/>
        </w:rPr>
        <w:t>, rekomenduotina patikslinti kvalifikacijos reikalavimą.</w:t>
      </w:r>
    </w:p>
    <w:p w14:paraId="7D46E8AB" w14:textId="1A33B409" w:rsidR="001B4621" w:rsidRPr="00602A68" w:rsidRDefault="004F2524" w:rsidP="000B5D00">
      <w:pPr>
        <w:spacing w:after="0"/>
        <w:rPr>
          <w:rFonts w:ascii="Calibri" w:hAnsi="Calibri" w:cs="Calibri"/>
          <w:lang w:val="lt-LT"/>
        </w:rPr>
      </w:pPr>
      <w:r>
        <w:rPr>
          <w:rFonts w:ascii="Calibri" w:hAnsi="Calibri" w:cs="Calibri"/>
          <w:lang w:val="lt-LT"/>
        </w:rPr>
        <w:t>Be kita ko,</w:t>
      </w:r>
      <w:r w:rsidR="001B405A" w:rsidRPr="001B405A">
        <w:t xml:space="preserve"> </w:t>
      </w:r>
      <w:r w:rsidR="001B405A">
        <w:rPr>
          <w:rFonts w:ascii="Calibri" w:hAnsi="Calibri" w:cs="Calibri"/>
          <w:lang w:val="lt-LT"/>
        </w:rPr>
        <w:t>a</w:t>
      </w:r>
      <w:r w:rsidR="001B405A" w:rsidRPr="001B405A">
        <w:rPr>
          <w:rFonts w:ascii="Calibri" w:hAnsi="Calibri" w:cs="Calibri"/>
          <w:lang w:val="lt-LT"/>
        </w:rPr>
        <w:t>tsižvelgiant į tai, kad gali būti nustatomi tik būtini tiekėjų kvalifikacijos reikalavimai, nustatant specialistų</w:t>
      </w:r>
      <w:r w:rsidR="001B405A">
        <w:rPr>
          <w:rFonts w:ascii="Calibri" w:hAnsi="Calibri" w:cs="Calibri"/>
          <w:lang w:val="lt-LT"/>
        </w:rPr>
        <w:t xml:space="preserve"> </w:t>
      </w:r>
      <w:r w:rsidR="001B405A" w:rsidRPr="001B405A">
        <w:rPr>
          <w:rFonts w:ascii="Calibri" w:hAnsi="Calibri" w:cs="Calibri"/>
          <w:lang w:val="lt-LT"/>
        </w:rPr>
        <w:t xml:space="preserve">kvalifikacijos reikalavimą dėl teisės eiti neypatingojo statinio statybos vadovo pareigas, </w:t>
      </w:r>
      <w:r w:rsidR="001B405A" w:rsidRPr="00BA020A">
        <w:rPr>
          <w:rFonts w:ascii="Calibri" w:hAnsi="Calibri" w:cs="Calibri"/>
          <w:b/>
          <w:bCs/>
          <w:lang w:val="lt-LT"/>
        </w:rPr>
        <w:t xml:space="preserve">turi būti nurodoma </w:t>
      </w:r>
      <w:r w:rsidR="007B7769">
        <w:rPr>
          <w:rFonts w:ascii="Calibri" w:hAnsi="Calibri" w:cs="Calibri"/>
          <w:b/>
          <w:bCs/>
          <w:lang w:val="lt-LT"/>
        </w:rPr>
        <w:t>P</w:t>
      </w:r>
      <w:r w:rsidR="007B7769" w:rsidRPr="00BA020A">
        <w:rPr>
          <w:rFonts w:ascii="Calibri" w:hAnsi="Calibri" w:cs="Calibri"/>
          <w:b/>
          <w:bCs/>
          <w:lang w:val="lt-LT"/>
        </w:rPr>
        <w:t xml:space="preserve">irkimo objektą </w:t>
      </w:r>
      <w:r w:rsidR="007B7769">
        <w:rPr>
          <w:rFonts w:ascii="Calibri" w:hAnsi="Calibri" w:cs="Calibri"/>
          <w:b/>
          <w:bCs/>
          <w:lang w:val="lt-LT"/>
        </w:rPr>
        <w:t xml:space="preserve">atitinkanti </w:t>
      </w:r>
      <w:r w:rsidR="001B405A" w:rsidRPr="00BA020A">
        <w:rPr>
          <w:rFonts w:ascii="Calibri" w:hAnsi="Calibri" w:cs="Calibri"/>
          <w:b/>
          <w:bCs/>
          <w:lang w:val="lt-LT"/>
        </w:rPr>
        <w:t>statinio grupė ir pogrupis</w:t>
      </w:r>
      <w:r w:rsidR="001B405A" w:rsidRPr="001B405A">
        <w:rPr>
          <w:rFonts w:ascii="Calibri" w:hAnsi="Calibri" w:cs="Calibri"/>
          <w:lang w:val="lt-LT"/>
        </w:rPr>
        <w:t xml:space="preserve">. Kai </w:t>
      </w:r>
      <w:r w:rsidR="00346614" w:rsidRPr="001B405A">
        <w:rPr>
          <w:rFonts w:ascii="Calibri" w:hAnsi="Calibri" w:cs="Calibri"/>
          <w:lang w:val="lt-LT"/>
        </w:rPr>
        <w:t>nenurodom</w:t>
      </w:r>
      <w:r w:rsidR="00346614">
        <w:rPr>
          <w:rFonts w:ascii="Calibri" w:hAnsi="Calibri" w:cs="Calibri"/>
          <w:lang w:val="lt-LT"/>
        </w:rPr>
        <w:t>i</w:t>
      </w:r>
      <w:r w:rsidR="00346614" w:rsidRPr="001B405A">
        <w:rPr>
          <w:rFonts w:ascii="Calibri" w:hAnsi="Calibri" w:cs="Calibri"/>
          <w:lang w:val="lt-LT"/>
        </w:rPr>
        <w:t xml:space="preserve"> </w:t>
      </w:r>
      <w:r w:rsidR="00346614">
        <w:rPr>
          <w:rFonts w:ascii="Calibri" w:hAnsi="Calibri" w:cs="Calibri"/>
          <w:lang w:val="lt-LT"/>
        </w:rPr>
        <w:t>P</w:t>
      </w:r>
      <w:r w:rsidR="00346614" w:rsidRPr="001B405A">
        <w:rPr>
          <w:rFonts w:ascii="Calibri" w:hAnsi="Calibri" w:cs="Calibri"/>
          <w:lang w:val="lt-LT"/>
        </w:rPr>
        <w:t xml:space="preserve">irkimo </w:t>
      </w:r>
      <w:r w:rsidR="001B405A" w:rsidRPr="001B405A">
        <w:rPr>
          <w:rFonts w:ascii="Calibri" w:hAnsi="Calibri" w:cs="Calibri"/>
          <w:lang w:val="lt-LT"/>
        </w:rPr>
        <w:t xml:space="preserve">objektą </w:t>
      </w:r>
      <w:r w:rsidR="00346614" w:rsidRPr="001B405A">
        <w:rPr>
          <w:rFonts w:ascii="Calibri" w:hAnsi="Calibri" w:cs="Calibri"/>
          <w:lang w:val="lt-LT"/>
        </w:rPr>
        <w:t>atitinkant</w:t>
      </w:r>
      <w:r w:rsidR="00346614">
        <w:rPr>
          <w:rFonts w:ascii="Calibri" w:hAnsi="Calibri" w:cs="Calibri"/>
          <w:lang w:val="lt-LT"/>
        </w:rPr>
        <w:t>ys</w:t>
      </w:r>
      <w:r w:rsidR="00346614" w:rsidRPr="001B405A">
        <w:rPr>
          <w:rFonts w:ascii="Calibri" w:hAnsi="Calibri" w:cs="Calibri"/>
          <w:lang w:val="lt-LT"/>
        </w:rPr>
        <w:t xml:space="preserve"> </w:t>
      </w:r>
      <w:r w:rsidR="001B405A" w:rsidRPr="001B405A">
        <w:rPr>
          <w:rFonts w:ascii="Calibri" w:hAnsi="Calibri" w:cs="Calibri"/>
          <w:lang w:val="lt-LT"/>
        </w:rPr>
        <w:t xml:space="preserve">statinio </w:t>
      </w:r>
      <w:r w:rsidR="00346614">
        <w:rPr>
          <w:rFonts w:ascii="Calibri" w:hAnsi="Calibri" w:cs="Calibri"/>
          <w:lang w:val="lt-LT"/>
        </w:rPr>
        <w:t xml:space="preserve">grupė bei </w:t>
      </w:r>
      <w:r w:rsidR="001B405A" w:rsidRPr="001B405A">
        <w:rPr>
          <w:rFonts w:ascii="Calibri" w:hAnsi="Calibri" w:cs="Calibri"/>
          <w:lang w:val="lt-LT"/>
        </w:rPr>
        <w:t>pogrupis, toks kvalifikacijos reikalavimas</w:t>
      </w:r>
      <w:r w:rsidR="001B405A">
        <w:rPr>
          <w:rFonts w:ascii="Calibri" w:hAnsi="Calibri" w:cs="Calibri"/>
          <w:lang w:val="lt-LT"/>
        </w:rPr>
        <w:t xml:space="preserve"> </w:t>
      </w:r>
      <w:r w:rsidR="001B405A" w:rsidRPr="001B405A">
        <w:rPr>
          <w:rFonts w:ascii="Calibri" w:hAnsi="Calibri" w:cs="Calibri"/>
          <w:lang w:val="lt-LT"/>
        </w:rPr>
        <w:t xml:space="preserve">laikytinas nesusijusiu su </w:t>
      </w:r>
      <w:r w:rsidR="00346614">
        <w:rPr>
          <w:rFonts w:ascii="Calibri" w:hAnsi="Calibri" w:cs="Calibri"/>
          <w:lang w:val="lt-LT"/>
        </w:rPr>
        <w:t>P</w:t>
      </w:r>
      <w:r w:rsidR="00346614" w:rsidRPr="001B405A">
        <w:rPr>
          <w:rFonts w:ascii="Calibri" w:hAnsi="Calibri" w:cs="Calibri"/>
          <w:lang w:val="lt-LT"/>
        </w:rPr>
        <w:t xml:space="preserve">irkimo </w:t>
      </w:r>
      <w:r w:rsidR="001B405A" w:rsidRPr="001B405A">
        <w:rPr>
          <w:rFonts w:ascii="Calibri" w:hAnsi="Calibri" w:cs="Calibri"/>
          <w:lang w:val="lt-LT"/>
        </w:rPr>
        <w:t xml:space="preserve">objektu, </w:t>
      </w:r>
      <w:r w:rsidR="00901DAF">
        <w:rPr>
          <w:rFonts w:ascii="Calibri" w:hAnsi="Calibri" w:cs="Calibri"/>
          <w:lang w:val="lt-LT"/>
        </w:rPr>
        <w:t>n</w:t>
      </w:r>
      <w:r w:rsidR="001B405A" w:rsidRPr="001B405A">
        <w:rPr>
          <w:rFonts w:ascii="Calibri" w:hAnsi="Calibri" w:cs="Calibri"/>
          <w:lang w:val="lt-LT"/>
        </w:rPr>
        <w:t>eproporcingu ir gali dirbtinai riboti konkurenciją.</w:t>
      </w:r>
      <w:r w:rsidR="00901DAF">
        <w:rPr>
          <w:rFonts w:ascii="Calibri" w:hAnsi="Calibri" w:cs="Calibri"/>
          <w:lang w:val="lt-LT"/>
        </w:rPr>
        <w:t xml:space="preserve"> </w:t>
      </w:r>
      <w:r w:rsidR="009F0146" w:rsidRPr="009F0146">
        <w:rPr>
          <w:rFonts w:ascii="Calibri" w:hAnsi="Calibri" w:cs="Calibri"/>
          <w:lang w:val="lt-LT"/>
        </w:rPr>
        <w:t xml:space="preserve">Plačiau apie tai skaityti </w:t>
      </w:r>
      <w:hyperlink r:id="rId8" w:history="1">
        <w:r w:rsidR="009F0146" w:rsidRPr="009F0146">
          <w:rPr>
            <w:rStyle w:val="Hyperlink"/>
            <w:rFonts w:ascii="Calibri" w:hAnsi="Calibri" w:cs="Calibri"/>
            <w:lang w:val="lt-LT"/>
          </w:rPr>
          <w:t>Statybos darbų pirkimų gairėse</w:t>
        </w:r>
      </w:hyperlink>
      <w:r w:rsidR="009F0146" w:rsidRPr="009F0146">
        <w:rPr>
          <w:rFonts w:ascii="Calibri" w:hAnsi="Calibri" w:cs="Calibri"/>
          <w:lang w:val="lt-LT"/>
        </w:rPr>
        <w:t>.</w:t>
      </w:r>
      <w:r w:rsidR="00346614">
        <w:rPr>
          <w:rFonts w:ascii="Calibri" w:hAnsi="Calibri" w:cs="Calibri"/>
          <w:lang w:val="lt-LT"/>
        </w:rPr>
        <w:t xml:space="preserve"> </w:t>
      </w:r>
      <w:r w:rsidR="002549F7">
        <w:rPr>
          <w:rFonts w:ascii="Calibri" w:hAnsi="Calibri" w:cs="Calibri"/>
          <w:lang w:val="lt-LT"/>
        </w:rPr>
        <w:t xml:space="preserve">Jei nustatant statinio statybos darbų vadovo kvalifikacijos reikalavimą Perkančiajam subjektui nėra svarbi statinių grupė ir (arba) pogrupis, apie tai turi būti aiškiai nurodyta prie kvalifikacijos reikalavimo, siekiant išvengti ginčų kvalifikacijos reikalavimą įrodančių dokumentų vertinimo metu. </w:t>
      </w:r>
    </w:p>
    <w:p w14:paraId="2B98E661" w14:textId="77777777" w:rsidR="000B5D00" w:rsidRPr="00580C7F" w:rsidRDefault="000B5D00" w:rsidP="000B5D00">
      <w:pPr>
        <w:spacing w:after="0"/>
        <w:rPr>
          <w:rFonts w:ascii="Calibri" w:hAnsi="Calibri" w:cs="Calibri"/>
          <w:lang w:val="lt-LT"/>
        </w:rPr>
      </w:pPr>
    </w:p>
    <w:p w14:paraId="0831278C" w14:textId="262F2970" w:rsidR="005A7A71" w:rsidRDefault="000B5D00" w:rsidP="005A7A71">
      <w:pPr>
        <w:spacing w:after="0"/>
        <w:rPr>
          <w:rFonts w:ascii="Calibri" w:hAnsi="Calibri" w:cs="Calibri"/>
          <w:lang w:val="lt-LT"/>
        </w:rPr>
      </w:pPr>
      <w:r w:rsidRPr="00580C7F">
        <w:rPr>
          <w:rFonts w:ascii="Calibri" w:hAnsi="Calibri" w:cs="Calibri"/>
          <w:lang w:val="lt-LT"/>
        </w:rPr>
        <w:t xml:space="preserve">2.2. </w:t>
      </w:r>
      <w:r w:rsidR="008D4161" w:rsidRPr="00580C7F">
        <w:rPr>
          <w:rFonts w:ascii="Calibri" w:hAnsi="Calibri" w:cs="Calibri"/>
          <w:lang w:val="lt-LT"/>
        </w:rPr>
        <w:t>Kvalifikacijos reikalavimų</w:t>
      </w:r>
      <w:r w:rsidR="00216E27" w:rsidRPr="00580C7F">
        <w:rPr>
          <w:rFonts w:ascii="Calibri" w:hAnsi="Calibri" w:cs="Calibri"/>
          <w:lang w:val="lt-LT"/>
        </w:rPr>
        <w:t xml:space="preserve"> 2 punkto </w:t>
      </w:r>
      <w:r w:rsidR="0040523F" w:rsidRPr="00580C7F">
        <w:rPr>
          <w:rFonts w:ascii="Calibri" w:hAnsi="Calibri" w:cs="Calibri"/>
          <w:lang w:val="lt-LT"/>
        </w:rPr>
        <w:t xml:space="preserve">Kvalifikaciją įrodančių dokumentų skiltyje nustatyta, </w:t>
      </w:r>
      <w:r w:rsidR="00B642E9" w:rsidRPr="00580C7F">
        <w:rPr>
          <w:rFonts w:ascii="Calibri" w:hAnsi="Calibri" w:cs="Calibri"/>
          <w:lang w:val="lt-LT"/>
        </w:rPr>
        <w:t>„VĮ Statybos sektoriaus vystymo agentūros išduoto atestato arba teisės pripažinimo dokumento, suteikiančio teisę eiti neypatingojo (arba ypatingojo) statinio statybos</w:t>
      </w:r>
      <w:r w:rsidR="00B642E9" w:rsidRPr="00580C7F">
        <w:rPr>
          <w:rFonts w:ascii="Calibri" w:hAnsi="Calibri" w:cs="Calibri"/>
          <w:b/>
          <w:bCs/>
          <w:lang w:val="lt-LT"/>
        </w:rPr>
        <w:t xml:space="preserve"> </w:t>
      </w:r>
      <w:bookmarkStart w:id="3" w:name="_Hlk192682249"/>
      <w:r w:rsidR="00B642E9" w:rsidRPr="00580C7F">
        <w:rPr>
          <w:rFonts w:ascii="Calibri" w:hAnsi="Calibri" w:cs="Calibri"/>
          <w:b/>
          <w:bCs/>
          <w:lang w:val="lt-LT"/>
        </w:rPr>
        <w:t>bendrųjų statybos techninės veiklos pagrindinių sričių</w:t>
      </w:r>
      <w:r w:rsidR="00B642E9" w:rsidRPr="00580C7F">
        <w:rPr>
          <w:rFonts w:ascii="Calibri" w:hAnsi="Calibri" w:cs="Calibri"/>
          <w:lang w:val="lt-LT"/>
        </w:rPr>
        <w:t xml:space="preserve"> darbų vadovo</w:t>
      </w:r>
      <w:r w:rsidR="00B642E9" w:rsidRPr="00580C7F">
        <w:rPr>
          <w:rFonts w:ascii="Calibri" w:hAnsi="Calibri" w:cs="Calibri"/>
          <w:b/>
          <w:bCs/>
          <w:lang w:val="lt-LT"/>
        </w:rPr>
        <w:t xml:space="preserve"> </w:t>
      </w:r>
      <w:r w:rsidR="00B642E9" w:rsidRPr="00580C7F">
        <w:rPr>
          <w:rFonts w:ascii="Calibri" w:hAnsi="Calibri" w:cs="Calibri"/>
          <w:lang w:val="lt-LT"/>
        </w:rPr>
        <w:t>pareigas</w:t>
      </w:r>
      <w:bookmarkEnd w:id="3"/>
      <w:r w:rsidR="00B642E9" w:rsidRPr="00580C7F">
        <w:rPr>
          <w:rFonts w:ascii="Calibri" w:hAnsi="Calibri" w:cs="Calibri"/>
          <w:lang w:val="lt-LT"/>
        </w:rPr>
        <w:t xml:space="preserve">, kopija“. </w:t>
      </w:r>
      <w:r w:rsidR="002549F7">
        <w:rPr>
          <w:rFonts w:ascii="Calibri" w:hAnsi="Calibri" w:cs="Calibri"/>
          <w:lang w:val="lt-LT"/>
        </w:rPr>
        <w:t>Pažymėtina, kad Statybos įstatymo 12 straipsnyje nustatyta</w:t>
      </w:r>
      <w:r w:rsidR="0040576D">
        <w:rPr>
          <w:rFonts w:ascii="Calibri" w:hAnsi="Calibri" w:cs="Calibri"/>
          <w:lang w:val="lt-LT"/>
        </w:rPr>
        <w:t xml:space="preserve">, kokios </w:t>
      </w:r>
      <w:r w:rsidR="0040576D" w:rsidRPr="001B2AC4">
        <w:rPr>
          <w:rFonts w:ascii="Calibri" w:hAnsi="Calibri" w:cs="Calibri"/>
          <w:lang w:val="lt-LT"/>
        </w:rPr>
        <w:t>yra statybos techninės veiklos pagrindinės sritys</w:t>
      </w:r>
      <w:r w:rsidR="0040576D">
        <w:rPr>
          <w:rStyle w:val="FootnoteReference"/>
          <w:rFonts w:ascii="Calibri" w:hAnsi="Calibri" w:cs="Calibri"/>
        </w:rPr>
        <w:footnoteReference w:id="2"/>
      </w:r>
      <w:r w:rsidR="0040576D">
        <w:rPr>
          <w:rFonts w:ascii="Calibri" w:hAnsi="Calibri" w:cs="Calibri"/>
          <w:lang w:val="lt-LT"/>
        </w:rPr>
        <w:t xml:space="preserve">, todėl </w:t>
      </w:r>
      <w:r w:rsidR="006F410C">
        <w:rPr>
          <w:rFonts w:ascii="Calibri" w:hAnsi="Calibri" w:cs="Calibri"/>
          <w:lang w:val="lt-LT"/>
        </w:rPr>
        <w:t xml:space="preserve">Tarnyba rekomenduoja </w:t>
      </w:r>
      <w:r w:rsidR="006B7EFD">
        <w:rPr>
          <w:rFonts w:ascii="Calibri" w:hAnsi="Calibri" w:cs="Calibri"/>
          <w:lang w:val="lt-LT"/>
        </w:rPr>
        <w:t>pakartotinai įsivertinti</w:t>
      </w:r>
      <w:r w:rsidR="00A76828">
        <w:rPr>
          <w:rFonts w:ascii="Calibri" w:hAnsi="Calibri" w:cs="Calibri"/>
          <w:lang w:val="lt-LT"/>
        </w:rPr>
        <w:t xml:space="preserve">, ar </w:t>
      </w:r>
      <w:r w:rsidR="0040576D">
        <w:rPr>
          <w:rFonts w:ascii="Calibri" w:hAnsi="Calibri" w:cs="Calibri"/>
          <w:lang w:val="lt-LT"/>
        </w:rPr>
        <w:t xml:space="preserve">nurodytų </w:t>
      </w:r>
      <w:r w:rsidR="00AE56A8">
        <w:rPr>
          <w:rFonts w:ascii="Calibri" w:hAnsi="Calibri" w:cs="Calibri"/>
          <w:lang w:val="lt-LT"/>
        </w:rPr>
        <w:t>pareig</w:t>
      </w:r>
      <w:r w:rsidR="002A55EB">
        <w:rPr>
          <w:rFonts w:ascii="Calibri" w:hAnsi="Calibri" w:cs="Calibri"/>
          <w:lang w:val="lt-LT"/>
        </w:rPr>
        <w:t>ų formuluotė</w:t>
      </w:r>
      <w:r w:rsidR="00AE56A8">
        <w:rPr>
          <w:rFonts w:ascii="Calibri" w:hAnsi="Calibri" w:cs="Calibri"/>
          <w:lang w:val="lt-LT"/>
        </w:rPr>
        <w:t xml:space="preserve"> </w:t>
      </w:r>
      <w:r w:rsidR="00817316">
        <w:rPr>
          <w:rFonts w:ascii="Calibri" w:hAnsi="Calibri" w:cs="Calibri"/>
          <w:lang w:val="lt-LT"/>
        </w:rPr>
        <w:t xml:space="preserve">yra </w:t>
      </w:r>
      <w:r w:rsidR="0040576D">
        <w:rPr>
          <w:rFonts w:ascii="Calibri" w:hAnsi="Calibri" w:cs="Calibri"/>
          <w:lang w:val="lt-LT"/>
        </w:rPr>
        <w:t xml:space="preserve">suprantama </w:t>
      </w:r>
      <w:r w:rsidR="0040576D">
        <w:rPr>
          <w:rFonts w:ascii="Calibri" w:hAnsi="Calibri" w:cs="Calibri"/>
          <w:lang w:val="lt-LT"/>
        </w:rPr>
        <w:lastRenderedPageBreak/>
        <w:t xml:space="preserve">ir </w:t>
      </w:r>
      <w:r w:rsidR="00AE56A8">
        <w:rPr>
          <w:rFonts w:ascii="Calibri" w:hAnsi="Calibri" w:cs="Calibri"/>
          <w:lang w:val="lt-LT"/>
        </w:rPr>
        <w:t>tinkama</w:t>
      </w:r>
      <w:r w:rsidR="0040576D">
        <w:rPr>
          <w:rFonts w:ascii="Calibri" w:hAnsi="Calibri" w:cs="Calibri"/>
          <w:lang w:val="lt-LT"/>
        </w:rPr>
        <w:t>,</w:t>
      </w:r>
      <w:r w:rsidR="004026FB">
        <w:rPr>
          <w:rFonts w:ascii="Calibri" w:hAnsi="Calibri" w:cs="Calibri"/>
          <w:lang w:val="lt-LT"/>
        </w:rPr>
        <w:t xml:space="preserve"> ir </w:t>
      </w:r>
      <w:r w:rsidR="0040576D">
        <w:rPr>
          <w:rFonts w:ascii="Calibri" w:hAnsi="Calibri" w:cs="Calibri"/>
          <w:lang w:val="lt-LT"/>
        </w:rPr>
        <w:t xml:space="preserve">ar </w:t>
      </w:r>
      <w:r w:rsidR="004026FB">
        <w:rPr>
          <w:rFonts w:ascii="Calibri" w:hAnsi="Calibri" w:cs="Calibri"/>
          <w:lang w:val="lt-LT"/>
        </w:rPr>
        <w:t xml:space="preserve">tiekėjai galės pateikti </w:t>
      </w:r>
      <w:r w:rsidR="003506A2">
        <w:rPr>
          <w:rFonts w:ascii="Calibri" w:hAnsi="Calibri" w:cs="Calibri"/>
          <w:lang w:val="lt-LT"/>
        </w:rPr>
        <w:t>nurodytą atestatą ar teisės pripažinimo dokumentą</w:t>
      </w:r>
      <w:r w:rsidR="00901DAF">
        <w:rPr>
          <w:rFonts w:ascii="Calibri" w:hAnsi="Calibri" w:cs="Calibri"/>
          <w:lang w:val="lt-LT"/>
        </w:rPr>
        <w:t xml:space="preserve">, kuris įrodytų </w:t>
      </w:r>
      <w:r w:rsidR="00F749A8">
        <w:rPr>
          <w:rFonts w:ascii="Calibri" w:hAnsi="Calibri" w:cs="Calibri"/>
          <w:lang w:val="lt-LT"/>
        </w:rPr>
        <w:t>reikalaujamą kvalifikaciją</w:t>
      </w:r>
      <w:r w:rsidR="007B7769">
        <w:rPr>
          <w:rFonts w:ascii="Calibri" w:hAnsi="Calibri" w:cs="Calibri"/>
          <w:lang w:val="lt-LT"/>
        </w:rPr>
        <w:t>. Taip pat Tarnyba rekomenduoja</w:t>
      </w:r>
      <w:r w:rsidR="00FC5EA0">
        <w:rPr>
          <w:rFonts w:ascii="Calibri" w:hAnsi="Calibri" w:cs="Calibri"/>
          <w:lang w:val="lt-LT"/>
        </w:rPr>
        <w:t xml:space="preserve"> </w:t>
      </w:r>
      <w:r w:rsidR="005A7A71" w:rsidRPr="005A7A71">
        <w:rPr>
          <w:rFonts w:ascii="Calibri" w:hAnsi="Calibri" w:cs="Calibri"/>
          <w:lang w:val="lt-LT"/>
        </w:rPr>
        <w:t xml:space="preserve">patikslinti šio kvalifikacijos reikalavimo pagrindžiančius dokumentus, </w:t>
      </w:r>
      <w:r w:rsidR="00410369">
        <w:rPr>
          <w:rFonts w:ascii="Calibri" w:hAnsi="Calibri" w:cs="Calibri"/>
          <w:lang w:val="lt-LT"/>
        </w:rPr>
        <w:t xml:space="preserve">aiškiai </w:t>
      </w:r>
      <w:r w:rsidR="005A7A71" w:rsidRPr="005A7A71">
        <w:rPr>
          <w:rFonts w:ascii="Calibri" w:hAnsi="Calibri" w:cs="Calibri"/>
          <w:lang w:val="lt-LT"/>
        </w:rPr>
        <w:t>juose nurodant</w:t>
      </w:r>
      <w:r w:rsidR="002549F7">
        <w:rPr>
          <w:rFonts w:ascii="Calibri" w:hAnsi="Calibri" w:cs="Calibri"/>
          <w:lang w:val="lt-LT"/>
        </w:rPr>
        <w:t>,</w:t>
      </w:r>
      <w:r w:rsidR="005A7A71" w:rsidRPr="005A7A71">
        <w:rPr>
          <w:rFonts w:ascii="Calibri" w:hAnsi="Calibri" w:cs="Calibri"/>
          <w:lang w:val="lt-LT"/>
        </w:rPr>
        <w:t xml:space="preserve"> kokius dokumentus turi pateikti ne tik Lietuvos Respublikos</w:t>
      </w:r>
      <w:r w:rsidR="00410369">
        <w:rPr>
          <w:rFonts w:ascii="Calibri" w:hAnsi="Calibri" w:cs="Calibri"/>
          <w:lang w:val="lt-LT"/>
        </w:rPr>
        <w:t xml:space="preserve">, bet ir </w:t>
      </w:r>
      <w:r w:rsidR="005A7A71" w:rsidRPr="005A7A71">
        <w:rPr>
          <w:rFonts w:ascii="Calibri" w:hAnsi="Calibri" w:cs="Calibri"/>
          <w:lang w:val="lt-LT"/>
        </w:rPr>
        <w:t xml:space="preserve"> užsienio šalių specialistai, taip pat ir </w:t>
      </w:r>
      <w:r w:rsidR="005A7A71" w:rsidRPr="00410369">
        <w:rPr>
          <w:rFonts w:ascii="Calibri" w:hAnsi="Calibri" w:cs="Calibri"/>
          <w:lang w:val="lt-LT"/>
        </w:rPr>
        <w:t>trečiųjų šalių piliečiai.</w:t>
      </w:r>
    </w:p>
    <w:p w14:paraId="1E0A17D5" w14:textId="77777777" w:rsidR="003C6E59" w:rsidRDefault="003C6E59" w:rsidP="005A7A71">
      <w:pPr>
        <w:spacing w:after="0"/>
        <w:rPr>
          <w:rFonts w:ascii="Calibri" w:hAnsi="Calibri" w:cs="Calibri"/>
          <w:lang w:val="lt-LT"/>
        </w:rPr>
      </w:pPr>
    </w:p>
    <w:p w14:paraId="4D19E895" w14:textId="168C4CDE" w:rsidR="003C6E59" w:rsidRPr="0026433A" w:rsidRDefault="0026433A" w:rsidP="0026433A">
      <w:pPr>
        <w:pStyle w:val="ListParagraph"/>
        <w:numPr>
          <w:ilvl w:val="0"/>
          <w:numId w:val="1"/>
        </w:numPr>
        <w:spacing w:after="0"/>
        <w:rPr>
          <w:rFonts w:ascii="Calibri" w:hAnsi="Calibri" w:cs="Calibri"/>
          <w:b/>
          <w:bCs/>
          <w:lang w:val="lt-LT"/>
        </w:rPr>
      </w:pPr>
      <w:r w:rsidRPr="0026433A">
        <w:rPr>
          <w:rFonts w:ascii="Calibri" w:hAnsi="Calibri" w:cs="Calibri"/>
          <w:b/>
          <w:bCs/>
          <w:lang w:val="lt"/>
        </w:rPr>
        <w:t>Dėl žaliųjų kriterijų taikymo</w:t>
      </w:r>
    </w:p>
    <w:p w14:paraId="0728DE4C" w14:textId="60C6CA6C" w:rsidR="001604D4" w:rsidRPr="00AE56A8" w:rsidRDefault="001604D4" w:rsidP="00BD68FE">
      <w:pPr>
        <w:spacing w:after="0"/>
        <w:rPr>
          <w:rFonts w:ascii="Calibri" w:hAnsi="Calibri" w:cs="Calibri"/>
        </w:rPr>
      </w:pPr>
    </w:p>
    <w:p w14:paraId="20A2EB31" w14:textId="47784E6A" w:rsidR="0099089B" w:rsidRPr="00423F5E" w:rsidRDefault="003B612D" w:rsidP="003B612D">
      <w:pPr>
        <w:rPr>
          <w:rFonts w:ascii="Calibri" w:hAnsi="Calibri" w:cs="Calibri"/>
          <w:lang w:val="lt-LT"/>
        </w:rPr>
      </w:pPr>
      <w:r w:rsidRPr="00981208">
        <w:rPr>
          <w:rFonts w:ascii="Calibri" w:hAnsi="Calibri" w:cs="Calibri"/>
          <w:lang w:val="lt-LT"/>
        </w:rPr>
        <w:t xml:space="preserve">Specialiųjų pirkimo sąlygų </w:t>
      </w:r>
      <w:r w:rsidR="007263D8">
        <w:rPr>
          <w:rFonts w:ascii="Calibri" w:hAnsi="Calibri" w:cs="Calibri"/>
          <w:lang w:val="lt-LT"/>
        </w:rPr>
        <w:t>2</w:t>
      </w:r>
      <w:r w:rsidRPr="00981208">
        <w:rPr>
          <w:rFonts w:ascii="Calibri" w:hAnsi="Calibri" w:cs="Calibri"/>
          <w:lang w:val="lt-LT"/>
        </w:rPr>
        <w:t xml:space="preserve"> priedo “Pirkimo objektui keliami darniųjų pirkimų reikalavimai” </w:t>
      </w:r>
      <w:r w:rsidR="00357B20" w:rsidRPr="00981208">
        <w:rPr>
          <w:rFonts w:ascii="Calibri" w:hAnsi="Calibri" w:cs="Calibri"/>
          <w:lang w:val="lt-LT"/>
        </w:rPr>
        <w:t xml:space="preserve">(toliau – Darniųjų </w:t>
      </w:r>
      <w:r w:rsidR="00981208" w:rsidRPr="00981208">
        <w:rPr>
          <w:rFonts w:ascii="Calibri" w:hAnsi="Calibri" w:cs="Calibri"/>
          <w:lang w:val="lt-LT"/>
        </w:rPr>
        <w:t xml:space="preserve">pirkimų reikalavimai) </w:t>
      </w:r>
      <w:r w:rsidR="009063B2">
        <w:rPr>
          <w:rFonts w:ascii="Calibri" w:hAnsi="Calibri" w:cs="Calibri"/>
          <w:lang w:val="lt-LT"/>
        </w:rPr>
        <w:t>1 punkte nustatyta „</w:t>
      </w:r>
      <w:r w:rsidR="00E67201" w:rsidRPr="00E67201">
        <w:rPr>
          <w:rFonts w:ascii="Calibri" w:hAnsi="Calibri" w:cs="Calibri"/>
          <w:lang w:val="lt-LT"/>
        </w:rPr>
        <w:t xml:space="preserve">Tiekėjas pirkimo sutarties vykdymo laikotarpiu, Darbams vykdyti, </w:t>
      </w:r>
      <w:r w:rsidR="00E67201" w:rsidRPr="00E67201">
        <w:rPr>
          <w:rFonts w:ascii="Calibri" w:hAnsi="Calibri" w:cs="Calibri"/>
          <w:b/>
          <w:bCs/>
          <w:lang w:val="lt-LT"/>
        </w:rPr>
        <w:t>galės taikyti</w:t>
      </w:r>
      <w:r w:rsidR="00E67201" w:rsidRPr="00E67201">
        <w:rPr>
          <w:rFonts w:ascii="Calibri" w:hAnsi="Calibri" w:cs="Calibri"/>
          <w:lang w:val="lt-LT"/>
        </w:rPr>
        <w:t xml:space="preserve"> aplinkos apsaugos vadybos sistemos reikalavimus</w:t>
      </w:r>
      <w:r w:rsidR="00E67201">
        <w:rPr>
          <w:rFonts w:ascii="Calibri" w:hAnsi="Calibri" w:cs="Calibri"/>
          <w:lang w:val="lt-LT"/>
        </w:rPr>
        <w:t xml:space="preserve">&lt;...&gt;“. Atsižvelgiant į tai, kad pirkimo dokumentai turi </w:t>
      </w:r>
      <w:r w:rsidR="00E67201" w:rsidRPr="000E2FC5">
        <w:rPr>
          <w:rFonts w:ascii="Calibri" w:hAnsi="Calibri" w:cs="Calibri"/>
          <w:lang w:val="lt-LT"/>
        </w:rPr>
        <w:t>būti tikslūs, aiškūs</w:t>
      </w:r>
      <w:r w:rsidR="00307214" w:rsidRPr="000E2FC5">
        <w:rPr>
          <w:rFonts w:ascii="Calibri" w:hAnsi="Calibri" w:cs="Calibri"/>
          <w:lang w:val="lt-LT"/>
        </w:rPr>
        <w:t xml:space="preserve"> ir be dviprasmybių, </w:t>
      </w:r>
      <w:r w:rsidR="00F3269C" w:rsidRPr="00F3269C">
        <w:rPr>
          <w:rFonts w:ascii="Calibri" w:hAnsi="Calibri" w:cs="Calibri"/>
          <w:lang w:val="lt"/>
        </w:rPr>
        <w:t>rekomenduotina reikalavimo formuluotę tikslinti</w:t>
      </w:r>
      <w:r w:rsidR="004541B6">
        <w:rPr>
          <w:rFonts w:ascii="Calibri" w:hAnsi="Calibri" w:cs="Calibri"/>
          <w:lang w:val="lt"/>
        </w:rPr>
        <w:t xml:space="preserve">, aiškiai nurodant, jog </w:t>
      </w:r>
      <w:r w:rsidR="007B7769">
        <w:rPr>
          <w:rFonts w:ascii="Calibri" w:hAnsi="Calibri" w:cs="Calibri"/>
          <w:lang w:val="lt-LT"/>
        </w:rPr>
        <w:t>vykdant darbus</w:t>
      </w:r>
      <w:r w:rsidR="0040576D" w:rsidRPr="00423F5E">
        <w:rPr>
          <w:rFonts w:ascii="Calibri" w:hAnsi="Calibri" w:cs="Calibri"/>
          <w:lang w:val="lt-LT"/>
        </w:rPr>
        <w:t xml:space="preserve"> </w:t>
      </w:r>
      <w:r w:rsidR="00423F5E" w:rsidRPr="00423F5E">
        <w:rPr>
          <w:rFonts w:ascii="Calibri" w:hAnsi="Calibri" w:cs="Calibri"/>
          <w:lang w:val="lt-LT"/>
        </w:rPr>
        <w:t>tiekėjas taiko</w:t>
      </w:r>
      <w:r w:rsidR="007B7769">
        <w:rPr>
          <w:rFonts w:ascii="Calibri" w:hAnsi="Calibri" w:cs="Calibri"/>
          <w:lang w:val="lt-LT"/>
        </w:rPr>
        <w:t xml:space="preserve"> (taikys, laikysis ar pan.)</w:t>
      </w:r>
      <w:r w:rsidR="00423F5E" w:rsidRPr="00423F5E">
        <w:rPr>
          <w:rFonts w:ascii="Calibri" w:hAnsi="Calibri" w:cs="Calibri"/>
          <w:lang w:val="lt-LT"/>
        </w:rPr>
        <w:t xml:space="preserve"> aplinkos apsaugos vadybos sistemos reikalavimus</w:t>
      </w:r>
      <w:r w:rsidR="00F3269C" w:rsidRPr="00423F5E">
        <w:rPr>
          <w:rFonts w:ascii="Calibri" w:hAnsi="Calibri" w:cs="Calibri"/>
          <w:lang w:val="lt-LT"/>
        </w:rPr>
        <w:t>.</w:t>
      </w:r>
    </w:p>
    <w:p w14:paraId="4F305824" w14:textId="765051AB" w:rsidR="0099089B" w:rsidRPr="0099089B" w:rsidRDefault="0099089B" w:rsidP="0099089B">
      <w:pPr>
        <w:rPr>
          <w:rFonts w:ascii="Calibri" w:hAnsi="Calibri" w:cs="Calibri"/>
          <w:lang w:val="lt-LT"/>
        </w:rPr>
      </w:pPr>
      <w:r w:rsidRPr="0099089B">
        <w:rPr>
          <w:rFonts w:ascii="Calibri" w:hAnsi="Calibri" w:cs="Calibri"/>
          <w:lang w:val="lt-LT"/>
        </w:rPr>
        <w:t xml:space="preserve">Apibendrinant išdėstytą, Tarnyba rekomenduoja </w:t>
      </w:r>
      <w:r w:rsidR="00736A31" w:rsidRPr="00580C7F">
        <w:rPr>
          <w:rFonts w:ascii="Calibri" w:hAnsi="Calibri" w:cs="Calibri"/>
          <w:lang w:val="lt-LT"/>
        </w:rPr>
        <w:t>Perkančiajam subjektui</w:t>
      </w:r>
      <w:r w:rsidRPr="0099089B">
        <w:rPr>
          <w:rFonts w:ascii="Calibri" w:hAnsi="Calibri" w:cs="Calibri"/>
          <w:lang w:val="lt-LT"/>
        </w:rPr>
        <w:t xml:space="preserve"> patikslinti Pirkimo dokumentus, apie atliktus pakeitimus informuoti prie Pirkimo Centrinėje viešųjų pirkimų informacinėje sistemoje (toliau – CVP IS) prisijungusius tiekėjus, patikslintus Pirkimo dokumentus paskelbti CVP IS bei spręsti dėl pirminių pasiūlymų pateikimo termino pratęsimo protingumo kriterijų atitinkančiam laikotarpiui, per kurį tiekėjai, rengdami pirminius pasiūlymus, galėtų atsižvelgti į patikslinimus. Pažymėtina, kad visais atvejais sprendimą dėl tolimesnio Pirkimų procedūrų vykdymo ar nutraukimo priima pats Pirkimo vykdytojas, vadovaudamasis Įstatymo 41 straipsnio 3</w:t>
      </w:r>
      <w:r w:rsidRPr="0099089B">
        <w:rPr>
          <w:rFonts w:ascii="Calibri" w:hAnsi="Calibri" w:cs="Calibri"/>
          <w:vertAlign w:val="superscript"/>
          <w:lang w:val="lt-LT"/>
        </w:rPr>
        <w:footnoteReference w:id="3"/>
      </w:r>
      <w:r w:rsidRPr="0099089B">
        <w:rPr>
          <w:rFonts w:ascii="Calibri" w:hAnsi="Calibri" w:cs="Calibri"/>
          <w:lang w:val="lt-LT"/>
        </w:rPr>
        <w:t xml:space="preserve"> ir 4</w:t>
      </w:r>
      <w:r w:rsidRPr="0099089B">
        <w:rPr>
          <w:rFonts w:ascii="Calibri" w:hAnsi="Calibri" w:cs="Calibri"/>
          <w:vertAlign w:val="superscript"/>
          <w:lang w:val="lt-LT"/>
        </w:rPr>
        <w:footnoteReference w:id="4"/>
      </w:r>
      <w:r w:rsidRPr="0099089B">
        <w:rPr>
          <w:rFonts w:ascii="Calibri" w:hAnsi="Calibri" w:cs="Calibri"/>
          <w:lang w:val="lt-LT"/>
        </w:rPr>
        <w:t xml:space="preserve">  dalių nuostatomis.</w:t>
      </w:r>
    </w:p>
    <w:p w14:paraId="2D72D5B7" w14:textId="77777777" w:rsidR="0099089B" w:rsidRPr="0099089B" w:rsidRDefault="0099089B" w:rsidP="0099089B">
      <w:pPr>
        <w:rPr>
          <w:rFonts w:ascii="Calibri" w:hAnsi="Calibri" w:cs="Calibri"/>
          <w:lang w:val="lt-LT"/>
        </w:rPr>
      </w:pPr>
      <w:r w:rsidRPr="0099089B">
        <w:rPr>
          <w:rFonts w:ascii="Calibri" w:hAnsi="Calibri" w:cs="Calibri"/>
          <w:lang w:val="lt-LT"/>
        </w:rPr>
        <w:br w:type="page"/>
      </w:r>
    </w:p>
    <w:p w14:paraId="2A25780A" w14:textId="77777777" w:rsidR="0099089B" w:rsidRDefault="0099089B"/>
    <w:sectPr w:rsidR="009908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3799" w14:textId="77777777" w:rsidR="005A5A48" w:rsidRDefault="005A5A48" w:rsidP="0099089B">
      <w:pPr>
        <w:spacing w:after="0" w:line="240" w:lineRule="auto"/>
      </w:pPr>
      <w:r>
        <w:separator/>
      </w:r>
    </w:p>
  </w:endnote>
  <w:endnote w:type="continuationSeparator" w:id="0">
    <w:p w14:paraId="44AF69D7" w14:textId="77777777" w:rsidR="005A5A48" w:rsidRDefault="005A5A48" w:rsidP="0099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4DEA" w14:textId="77777777" w:rsidR="005A5A48" w:rsidRDefault="005A5A48" w:rsidP="0099089B">
      <w:pPr>
        <w:spacing w:after="0" w:line="240" w:lineRule="auto"/>
      </w:pPr>
      <w:r>
        <w:separator/>
      </w:r>
    </w:p>
  </w:footnote>
  <w:footnote w:type="continuationSeparator" w:id="0">
    <w:p w14:paraId="014D0BA4" w14:textId="77777777" w:rsidR="005A5A48" w:rsidRDefault="005A5A48" w:rsidP="0099089B">
      <w:pPr>
        <w:spacing w:after="0" w:line="240" w:lineRule="auto"/>
      </w:pPr>
      <w:r>
        <w:continuationSeparator/>
      </w:r>
    </w:p>
  </w:footnote>
  <w:footnote w:id="1">
    <w:p w14:paraId="2DBD97DF" w14:textId="45C59842" w:rsidR="00A60FB7" w:rsidRPr="002713DA" w:rsidRDefault="00A60FB7" w:rsidP="00A60FB7">
      <w:pPr>
        <w:pStyle w:val="FootnoteText"/>
      </w:pPr>
      <w:r>
        <w:rPr>
          <w:rStyle w:val="FootnoteReference"/>
        </w:rPr>
        <w:footnoteRef/>
      </w:r>
      <w:r>
        <w:t xml:space="preserve"> Įstatymo </w:t>
      </w:r>
      <w:r w:rsidR="00FE7A5D">
        <w:t>90</w:t>
      </w:r>
      <w:r>
        <w:t xml:space="preserve"> str. </w:t>
      </w:r>
      <w:r w:rsidRPr="0070117E">
        <w:t>2</w:t>
      </w:r>
      <w:r>
        <w:t xml:space="preserve"> d</w:t>
      </w:r>
      <w:r w:rsidRPr="002713DA">
        <w:t>.</w:t>
      </w:r>
      <w:r w:rsidR="00C12F16" w:rsidRPr="002713DA">
        <w:rPr>
          <w:rFonts w:ascii="Times New Roman" w:eastAsia="Times New Roman" w:hAnsi="Times New Roman" w:cs="Times New Roman"/>
          <w:color w:val="000000"/>
          <w:sz w:val="24"/>
          <w:szCs w:val="24"/>
          <w:lang w:eastAsia="lt-LT"/>
        </w:rPr>
        <w:t xml:space="preserve"> </w:t>
      </w:r>
      <w:r w:rsidR="00C12F16" w:rsidRPr="002713DA">
        <w:t>Perkantysis subjektas privalo įsigyti prekių, paslaugų ir darbų šio straipsnio 1 dalyje nurodytu būdu, jeigu</w:t>
      </w:r>
      <w:r w:rsidRPr="002713DA">
        <w:t>:</w:t>
      </w:r>
    </w:p>
    <w:p w14:paraId="5D781728" w14:textId="32FB290F" w:rsidR="00A60FB7" w:rsidRPr="002713DA" w:rsidRDefault="00A60FB7" w:rsidP="00A60FB7">
      <w:pPr>
        <w:pStyle w:val="FootnoteText"/>
      </w:pPr>
      <w:r w:rsidRPr="002713DA">
        <w:t xml:space="preserve">1) </w:t>
      </w:r>
      <w:r w:rsidR="002713DA" w:rsidRPr="002713DA">
        <w:t>Vyriausybės sprendimu įsteigtos centrinės perkančiosios organizacijos centralizuotų pirkimų kataloge galimos įsigyti prekės, paslaugos ar darbai atitinka perkančiojo subjekto poreikius ir perkantysis subjektas</w:t>
      </w:r>
      <w:r w:rsidR="002713DA" w:rsidRPr="002713DA">
        <w:rPr>
          <w:bCs/>
        </w:rPr>
        <w:t xml:space="preserve"> </w:t>
      </w:r>
      <w:r w:rsidR="002713DA" w:rsidRPr="002713DA">
        <w:t xml:space="preserve">negali prekių, paslaugų ar darbų įsigyti efektyvesniu būdu racionaliai naudodamas tam skirtas lėšas. </w:t>
      </w:r>
      <w:r w:rsidR="002713DA" w:rsidRPr="002713DA">
        <w:rPr>
          <w:b/>
          <w:bCs/>
        </w:rPr>
        <w:t>Perkantysis subjektas privalo motyvuoti savo sprendimą neatlikti pirkimo naudojantis centralizuotų pirkimų katalogu ir argumentus nurodyti pirkimo dokumentuose</w:t>
      </w:r>
      <w:r w:rsidR="002713DA" w:rsidRPr="002713DA">
        <w:t xml:space="preserve">. </w:t>
      </w:r>
      <w:r w:rsidR="002713DA" w:rsidRPr="002713DA">
        <w:rPr>
          <w:bCs/>
        </w:rPr>
        <w:t>Šio punkto reikalavimai taikomi ir perkantiesiems subjektams, kurie atlieka centrinės perkančiosios organizacijos funkcijas</w:t>
      </w:r>
    </w:p>
  </w:footnote>
  <w:footnote w:id="2">
    <w:p w14:paraId="0323CB3F" w14:textId="77777777" w:rsidR="0040576D" w:rsidRDefault="0040576D" w:rsidP="0040576D">
      <w:pPr>
        <w:pStyle w:val="FootnoteText"/>
      </w:pPr>
      <w:r>
        <w:rPr>
          <w:rStyle w:val="FootnoteReference"/>
        </w:rPr>
        <w:footnoteRef/>
      </w:r>
      <w:r>
        <w:t xml:space="preserve"> </w:t>
      </w:r>
      <w:r>
        <w:t>12 straipsnis. Statybos techninės veiklos pagrindinės sritys</w:t>
      </w:r>
    </w:p>
    <w:p w14:paraId="0F38E829" w14:textId="77777777" w:rsidR="0040576D" w:rsidRDefault="0040576D" w:rsidP="0040576D">
      <w:pPr>
        <w:pStyle w:val="FootnoteText"/>
      </w:pPr>
      <w:r>
        <w:tab/>
        <w:t>1. Statybos techninės veiklos pagrindinės sritys yra:</w:t>
      </w:r>
    </w:p>
    <w:p w14:paraId="152F302F" w14:textId="77777777" w:rsidR="0040576D" w:rsidRDefault="0040576D" w:rsidP="0040576D">
      <w:pPr>
        <w:pStyle w:val="FootnoteText"/>
      </w:pPr>
      <w:r>
        <w:tab/>
        <w:t>1) statybiniai tyrimai;</w:t>
      </w:r>
    </w:p>
    <w:p w14:paraId="4E5849E6" w14:textId="77777777" w:rsidR="0040576D" w:rsidRDefault="0040576D" w:rsidP="0040576D">
      <w:pPr>
        <w:pStyle w:val="FootnoteText"/>
      </w:pPr>
      <w:r>
        <w:tab/>
        <w:t>2) statinio projektavimas ir statinio projekto vykdymo priežiūra;</w:t>
      </w:r>
    </w:p>
    <w:p w14:paraId="2C17D9B1" w14:textId="77777777" w:rsidR="0040576D" w:rsidRDefault="0040576D" w:rsidP="0040576D">
      <w:pPr>
        <w:pStyle w:val="FootnoteText"/>
      </w:pPr>
      <w:r>
        <w:tab/>
        <w:t>3) statinio projekto ekspertizė, statinio ekspertizė;</w:t>
      </w:r>
    </w:p>
    <w:p w14:paraId="2A072CAD" w14:textId="77777777" w:rsidR="0040576D" w:rsidRDefault="0040576D" w:rsidP="0040576D">
      <w:pPr>
        <w:pStyle w:val="FootnoteText"/>
      </w:pPr>
      <w:r>
        <w:tab/>
        <w:t>4) statybos darbai;</w:t>
      </w:r>
    </w:p>
    <w:p w14:paraId="3D04850A" w14:textId="7049A65C" w:rsidR="0040576D" w:rsidRDefault="0040576D" w:rsidP="0040576D">
      <w:pPr>
        <w:pStyle w:val="FootnoteText"/>
      </w:pPr>
      <w:r>
        <w:tab/>
        <w:t>5) statinio statybos techninė priežiūra.</w:t>
      </w:r>
    </w:p>
  </w:footnote>
  <w:footnote w:id="3">
    <w:p w14:paraId="297D97BC" w14:textId="77777777" w:rsidR="0099089B" w:rsidRPr="00C66F34" w:rsidRDefault="0099089B" w:rsidP="0099089B">
      <w:pPr>
        <w:pStyle w:val="FootnoteText"/>
        <w:jc w:val="both"/>
        <w:rPr>
          <w:rFonts w:ascii="Times New Roman" w:hAnsi="Times New Roman" w:cs="Times New Roman"/>
        </w:rPr>
      </w:pPr>
      <w:r w:rsidRPr="00C66F34">
        <w:rPr>
          <w:rStyle w:val="FootnoteReference"/>
          <w:rFonts w:ascii="Times New Roman" w:hAnsi="Times New Roman" w:cs="Times New Roman"/>
        </w:rPr>
        <w:footnoteRef/>
      </w:r>
      <w:r w:rsidRPr="00C66F34">
        <w:rPr>
          <w:rFonts w:ascii="Times New Roman" w:hAnsi="Times New Roman" w:cs="Times New Roman"/>
        </w:rPr>
        <w:t xml:space="preserve"> </w:t>
      </w:r>
      <w:r w:rsidRPr="00C66F34">
        <w:rPr>
          <w:rFonts w:ascii="Times New Roman" w:hAnsi="Times New Roman" w:cs="Times New Roman"/>
        </w:rPr>
        <w:t>Įstatymo 41 str</w:t>
      </w:r>
      <w:r>
        <w:rPr>
          <w:rFonts w:ascii="Times New Roman" w:hAnsi="Times New Roman" w:cs="Times New Roman"/>
        </w:rPr>
        <w:t>aipsnio</w:t>
      </w:r>
      <w:r w:rsidRPr="00C66F34">
        <w:rPr>
          <w:rFonts w:ascii="Times New Roman" w:hAnsi="Times New Roman" w:cs="Times New Roman"/>
        </w:rPr>
        <w:t xml:space="preserve"> 3 d</w:t>
      </w:r>
      <w:r>
        <w:rPr>
          <w:rFonts w:ascii="Times New Roman" w:hAnsi="Times New Roman" w:cs="Times New Roman"/>
        </w:rPr>
        <w:t>alis</w:t>
      </w:r>
      <w:r w:rsidRPr="00C66F34">
        <w:rPr>
          <w:rFonts w:ascii="Times New Roman" w:hAnsi="Times New Roman" w:cs="Times New Roman"/>
        </w:rPr>
        <w:t xml:space="preserve"> </w:t>
      </w:r>
      <w:r>
        <w:rPr>
          <w:rFonts w:ascii="Times New Roman" w:hAnsi="Times New Roman" w:cs="Times New Roman"/>
        </w:rPr>
        <w:t>„</w:t>
      </w:r>
      <w:r w:rsidRPr="00C66F34">
        <w:rPr>
          <w:rFonts w:ascii="Times New Roman" w:hAnsi="Times New Roman" w:cs="Times New Roman"/>
        </w:rPr>
        <w:t>Perkantysis subjektas privalo nutraukti pradėtas pirkimo ar projekto konkurso procedūras, jeigu buvo pažeisti šio įstatymo 29 straipsnio 1 dalyje nustatyti principai ir atitinkamos padėties negalima ištaisyti</w:t>
      </w:r>
      <w:r>
        <w:rPr>
          <w:rFonts w:ascii="Times New Roman" w:hAnsi="Times New Roman" w:cs="Times New Roman"/>
        </w:rPr>
        <w:t>“</w:t>
      </w:r>
      <w:r w:rsidRPr="00C66F34">
        <w:rPr>
          <w:rFonts w:ascii="Times New Roman" w:hAnsi="Times New Roman" w:cs="Times New Roman"/>
        </w:rPr>
        <w:t>.</w:t>
      </w:r>
    </w:p>
  </w:footnote>
  <w:footnote w:id="4">
    <w:p w14:paraId="5232E15C" w14:textId="77777777" w:rsidR="0099089B" w:rsidRPr="00C66F34" w:rsidRDefault="0099089B" w:rsidP="0099089B">
      <w:pPr>
        <w:pStyle w:val="FootnoteText"/>
        <w:jc w:val="both"/>
        <w:rPr>
          <w:rFonts w:ascii="Times New Roman" w:hAnsi="Times New Roman" w:cs="Times New Roman"/>
        </w:rPr>
      </w:pPr>
      <w:r w:rsidRPr="00C66F34">
        <w:rPr>
          <w:rStyle w:val="FootnoteReference"/>
          <w:rFonts w:ascii="Times New Roman" w:hAnsi="Times New Roman" w:cs="Times New Roman"/>
        </w:rPr>
        <w:footnoteRef/>
      </w:r>
      <w:r>
        <w:rPr>
          <w:rFonts w:ascii="Times New Roman" w:hAnsi="Times New Roman" w:cs="Times New Roman"/>
        </w:rPr>
        <w:t xml:space="preserve"> </w:t>
      </w:r>
      <w:r w:rsidRPr="00C66F34">
        <w:rPr>
          <w:rFonts w:ascii="Times New Roman" w:hAnsi="Times New Roman" w:cs="Times New Roman"/>
        </w:rPr>
        <w:t>Įstatymo 41 str</w:t>
      </w:r>
      <w:r>
        <w:rPr>
          <w:rFonts w:ascii="Times New Roman" w:hAnsi="Times New Roman" w:cs="Times New Roman"/>
        </w:rPr>
        <w:t>aipsnio</w:t>
      </w:r>
      <w:r w:rsidRPr="00C66F34">
        <w:rPr>
          <w:rFonts w:ascii="Times New Roman" w:hAnsi="Times New Roman" w:cs="Times New Roman"/>
        </w:rPr>
        <w:t xml:space="preserve"> 4 d</w:t>
      </w:r>
      <w:r>
        <w:rPr>
          <w:rFonts w:ascii="Times New Roman" w:hAnsi="Times New Roman" w:cs="Times New Roman"/>
        </w:rPr>
        <w:t>alis</w:t>
      </w:r>
      <w:r w:rsidRPr="00C66F34">
        <w:rPr>
          <w:rFonts w:ascii="Times New Roman" w:hAnsi="Times New Roman" w:cs="Times New Roman"/>
        </w:rPr>
        <w:t xml:space="preserve"> </w:t>
      </w:r>
      <w:r>
        <w:rPr>
          <w:rFonts w:ascii="Times New Roman" w:hAnsi="Times New Roman" w:cs="Times New Roman"/>
        </w:rPr>
        <w:t>„</w:t>
      </w:r>
      <w:r w:rsidRPr="00C66F34">
        <w:rPr>
          <w:rFonts w:ascii="Times New Roman" w:hAnsi="Times New Roman" w:cs="Times New Roman"/>
        </w:rPr>
        <w:t>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r>
        <w:rPr>
          <w:rFonts w:ascii="Times New Roman" w:hAnsi="Times New Roman" w:cs="Times New Roman"/>
        </w:rPr>
        <w:t>“</w:t>
      </w:r>
      <w:r w:rsidRPr="00C66F34">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6F40"/>
    <w:multiLevelType w:val="multilevel"/>
    <w:tmpl w:val="6BFAD0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sz w:val="24"/>
        <w:szCs w:val="24"/>
      </w:rPr>
    </w:lvl>
    <w:lvl w:ilvl="2">
      <w:start w:val="1"/>
      <w:numFmt w:val="decimal"/>
      <w:isLgl/>
      <w:lvlText w:val="%1.%2.%3."/>
      <w:lvlJc w:val="left"/>
      <w:pPr>
        <w:ind w:left="1080" w:hanging="720"/>
      </w:pPr>
      <w:rPr>
        <w:rFonts w:asciiTheme="minorHAnsi" w:hAnsiTheme="minorHAnsi" w:cstheme="minorBidi" w:hint="default"/>
        <w:sz w:val="22"/>
      </w:rPr>
    </w:lvl>
    <w:lvl w:ilvl="3">
      <w:start w:val="1"/>
      <w:numFmt w:val="decimal"/>
      <w:isLgl/>
      <w:lvlText w:val="%1.%2.%3.%4."/>
      <w:lvlJc w:val="left"/>
      <w:pPr>
        <w:ind w:left="1080" w:hanging="720"/>
      </w:pPr>
      <w:rPr>
        <w:rFonts w:asciiTheme="minorHAnsi" w:hAnsiTheme="minorHAnsi" w:cstheme="minorBidi" w:hint="default"/>
        <w:sz w:val="22"/>
      </w:rPr>
    </w:lvl>
    <w:lvl w:ilvl="4">
      <w:start w:val="1"/>
      <w:numFmt w:val="decimal"/>
      <w:isLgl/>
      <w:lvlText w:val="%1.%2.%3.%4.%5."/>
      <w:lvlJc w:val="left"/>
      <w:pPr>
        <w:ind w:left="1440" w:hanging="1080"/>
      </w:pPr>
      <w:rPr>
        <w:rFonts w:asciiTheme="minorHAnsi" w:hAnsiTheme="minorHAnsi" w:cstheme="minorBidi" w:hint="default"/>
        <w:sz w:val="22"/>
      </w:rPr>
    </w:lvl>
    <w:lvl w:ilvl="5">
      <w:start w:val="1"/>
      <w:numFmt w:val="decimal"/>
      <w:isLgl/>
      <w:lvlText w:val="%1.%2.%3.%4.%5.%6."/>
      <w:lvlJc w:val="left"/>
      <w:pPr>
        <w:ind w:left="1440" w:hanging="1080"/>
      </w:pPr>
      <w:rPr>
        <w:rFonts w:asciiTheme="minorHAnsi" w:hAnsiTheme="minorHAnsi" w:cstheme="minorBidi" w:hint="default"/>
        <w:sz w:val="22"/>
      </w:rPr>
    </w:lvl>
    <w:lvl w:ilvl="6">
      <w:start w:val="1"/>
      <w:numFmt w:val="decimal"/>
      <w:isLgl/>
      <w:lvlText w:val="%1.%2.%3.%4.%5.%6.%7."/>
      <w:lvlJc w:val="left"/>
      <w:pPr>
        <w:ind w:left="1800" w:hanging="1440"/>
      </w:pPr>
      <w:rPr>
        <w:rFonts w:asciiTheme="minorHAnsi" w:hAnsiTheme="minorHAnsi" w:cstheme="minorBidi" w:hint="default"/>
        <w:sz w:val="22"/>
      </w:rPr>
    </w:lvl>
    <w:lvl w:ilvl="7">
      <w:start w:val="1"/>
      <w:numFmt w:val="decimal"/>
      <w:isLgl/>
      <w:lvlText w:val="%1.%2.%3.%4.%5.%6.%7.%8."/>
      <w:lvlJc w:val="left"/>
      <w:pPr>
        <w:ind w:left="1800" w:hanging="1440"/>
      </w:pPr>
      <w:rPr>
        <w:rFonts w:asciiTheme="minorHAnsi" w:hAnsiTheme="minorHAnsi" w:cstheme="minorBidi" w:hint="default"/>
        <w:sz w:val="22"/>
      </w:rPr>
    </w:lvl>
    <w:lvl w:ilvl="8">
      <w:start w:val="1"/>
      <w:numFmt w:val="decimal"/>
      <w:isLgl/>
      <w:lvlText w:val="%1.%2.%3.%4.%5.%6.%7.%8.%9."/>
      <w:lvlJc w:val="left"/>
      <w:pPr>
        <w:ind w:left="2160" w:hanging="1800"/>
      </w:pPr>
      <w:rPr>
        <w:rFonts w:asciiTheme="minorHAnsi" w:hAnsiTheme="minorHAnsi" w:cstheme="minorBidi" w:hint="default"/>
        <w:sz w:val="22"/>
      </w:rPr>
    </w:lvl>
  </w:abstractNum>
  <w:num w:numId="1" w16cid:durableId="197998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05"/>
    <w:rsid w:val="00022CBC"/>
    <w:rsid w:val="000328BA"/>
    <w:rsid w:val="000450C4"/>
    <w:rsid w:val="00045CC3"/>
    <w:rsid w:val="00071B1C"/>
    <w:rsid w:val="000B5D00"/>
    <w:rsid w:val="000E2FC5"/>
    <w:rsid w:val="000E4878"/>
    <w:rsid w:val="000F1C75"/>
    <w:rsid w:val="001138E8"/>
    <w:rsid w:val="001320B3"/>
    <w:rsid w:val="001604D4"/>
    <w:rsid w:val="001B2AC4"/>
    <w:rsid w:val="001B405A"/>
    <w:rsid w:val="001B4621"/>
    <w:rsid w:val="001B63F7"/>
    <w:rsid w:val="001C3DCF"/>
    <w:rsid w:val="001C5080"/>
    <w:rsid w:val="001D3F6B"/>
    <w:rsid w:val="001E5A3B"/>
    <w:rsid w:val="00201CE9"/>
    <w:rsid w:val="00205B4B"/>
    <w:rsid w:val="00216E27"/>
    <w:rsid w:val="002403CC"/>
    <w:rsid w:val="002424E0"/>
    <w:rsid w:val="002549F7"/>
    <w:rsid w:val="0026433A"/>
    <w:rsid w:val="002713DA"/>
    <w:rsid w:val="00275291"/>
    <w:rsid w:val="002A55EB"/>
    <w:rsid w:val="002C0A28"/>
    <w:rsid w:val="002D5B1C"/>
    <w:rsid w:val="002E6676"/>
    <w:rsid w:val="00307214"/>
    <w:rsid w:val="003134E9"/>
    <w:rsid w:val="00314D11"/>
    <w:rsid w:val="003352F4"/>
    <w:rsid w:val="00346614"/>
    <w:rsid w:val="003506A2"/>
    <w:rsid w:val="00357B20"/>
    <w:rsid w:val="003638F0"/>
    <w:rsid w:val="003946E2"/>
    <w:rsid w:val="00397603"/>
    <w:rsid w:val="003A43F3"/>
    <w:rsid w:val="003B4D7D"/>
    <w:rsid w:val="003B612D"/>
    <w:rsid w:val="003C6E59"/>
    <w:rsid w:val="003F1DC3"/>
    <w:rsid w:val="003F2641"/>
    <w:rsid w:val="004026FB"/>
    <w:rsid w:val="0040523F"/>
    <w:rsid w:val="0040576D"/>
    <w:rsid w:val="00410369"/>
    <w:rsid w:val="004227C9"/>
    <w:rsid w:val="00423F5E"/>
    <w:rsid w:val="00426A6A"/>
    <w:rsid w:val="004541B6"/>
    <w:rsid w:val="004A6016"/>
    <w:rsid w:val="004B6DD3"/>
    <w:rsid w:val="004D588F"/>
    <w:rsid w:val="004E4547"/>
    <w:rsid w:val="004F2524"/>
    <w:rsid w:val="00501AD2"/>
    <w:rsid w:val="0051366C"/>
    <w:rsid w:val="00523FD3"/>
    <w:rsid w:val="00531515"/>
    <w:rsid w:val="005350B9"/>
    <w:rsid w:val="005401BC"/>
    <w:rsid w:val="005431E5"/>
    <w:rsid w:val="005534A2"/>
    <w:rsid w:val="00561F51"/>
    <w:rsid w:val="00580C7F"/>
    <w:rsid w:val="005825A6"/>
    <w:rsid w:val="005A0922"/>
    <w:rsid w:val="005A5A48"/>
    <w:rsid w:val="005A7A71"/>
    <w:rsid w:val="005B7E12"/>
    <w:rsid w:val="005D249C"/>
    <w:rsid w:val="005F4E9D"/>
    <w:rsid w:val="00602A68"/>
    <w:rsid w:val="0062484B"/>
    <w:rsid w:val="00636105"/>
    <w:rsid w:val="006377AE"/>
    <w:rsid w:val="00687C6F"/>
    <w:rsid w:val="00692B40"/>
    <w:rsid w:val="006B5F1B"/>
    <w:rsid w:val="006B7EFD"/>
    <w:rsid w:val="006E24C0"/>
    <w:rsid w:val="006F410C"/>
    <w:rsid w:val="0070212E"/>
    <w:rsid w:val="00716322"/>
    <w:rsid w:val="007204CA"/>
    <w:rsid w:val="007263D8"/>
    <w:rsid w:val="00736A31"/>
    <w:rsid w:val="00740F1A"/>
    <w:rsid w:val="007472B6"/>
    <w:rsid w:val="00762348"/>
    <w:rsid w:val="00792CA2"/>
    <w:rsid w:val="007B7769"/>
    <w:rsid w:val="007C1698"/>
    <w:rsid w:val="007C7378"/>
    <w:rsid w:val="00811113"/>
    <w:rsid w:val="008149D9"/>
    <w:rsid w:val="00817316"/>
    <w:rsid w:val="0082465D"/>
    <w:rsid w:val="00866823"/>
    <w:rsid w:val="00877244"/>
    <w:rsid w:val="008945B3"/>
    <w:rsid w:val="008D4161"/>
    <w:rsid w:val="008F1381"/>
    <w:rsid w:val="00901DAF"/>
    <w:rsid w:val="009063B2"/>
    <w:rsid w:val="00936D9A"/>
    <w:rsid w:val="00941118"/>
    <w:rsid w:val="00950D1A"/>
    <w:rsid w:val="0096497B"/>
    <w:rsid w:val="00972198"/>
    <w:rsid w:val="009740FE"/>
    <w:rsid w:val="00975349"/>
    <w:rsid w:val="00981208"/>
    <w:rsid w:val="0099089B"/>
    <w:rsid w:val="00995CE7"/>
    <w:rsid w:val="009B44A0"/>
    <w:rsid w:val="009B5935"/>
    <w:rsid w:val="009C09B5"/>
    <w:rsid w:val="009C7067"/>
    <w:rsid w:val="009F0146"/>
    <w:rsid w:val="00A20729"/>
    <w:rsid w:val="00A456C6"/>
    <w:rsid w:val="00A55626"/>
    <w:rsid w:val="00A60FB7"/>
    <w:rsid w:val="00A76828"/>
    <w:rsid w:val="00AD622D"/>
    <w:rsid w:val="00AE56A8"/>
    <w:rsid w:val="00AF2005"/>
    <w:rsid w:val="00AF60D5"/>
    <w:rsid w:val="00B046B4"/>
    <w:rsid w:val="00B04C0F"/>
    <w:rsid w:val="00B1777E"/>
    <w:rsid w:val="00B26D6E"/>
    <w:rsid w:val="00B3421B"/>
    <w:rsid w:val="00B565E4"/>
    <w:rsid w:val="00B642E9"/>
    <w:rsid w:val="00B83943"/>
    <w:rsid w:val="00B848BA"/>
    <w:rsid w:val="00B851E4"/>
    <w:rsid w:val="00B95D62"/>
    <w:rsid w:val="00BA020A"/>
    <w:rsid w:val="00BD2760"/>
    <w:rsid w:val="00BD4D1C"/>
    <w:rsid w:val="00BD68FE"/>
    <w:rsid w:val="00C035FF"/>
    <w:rsid w:val="00C06678"/>
    <w:rsid w:val="00C12F16"/>
    <w:rsid w:val="00C316D4"/>
    <w:rsid w:val="00C3793E"/>
    <w:rsid w:val="00C57186"/>
    <w:rsid w:val="00C93E09"/>
    <w:rsid w:val="00CD2597"/>
    <w:rsid w:val="00CE1721"/>
    <w:rsid w:val="00CE7731"/>
    <w:rsid w:val="00D02A2E"/>
    <w:rsid w:val="00D03E9E"/>
    <w:rsid w:val="00D865F3"/>
    <w:rsid w:val="00D95BAF"/>
    <w:rsid w:val="00DC16D9"/>
    <w:rsid w:val="00DE14A3"/>
    <w:rsid w:val="00E379E9"/>
    <w:rsid w:val="00E50698"/>
    <w:rsid w:val="00E6438C"/>
    <w:rsid w:val="00E67201"/>
    <w:rsid w:val="00E7711B"/>
    <w:rsid w:val="00EA5025"/>
    <w:rsid w:val="00EC0AF5"/>
    <w:rsid w:val="00EC4605"/>
    <w:rsid w:val="00EC565F"/>
    <w:rsid w:val="00ED60ED"/>
    <w:rsid w:val="00EF5F4D"/>
    <w:rsid w:val="00F11F8B"/>
    <w:rsid w:val="00F3269C"/>
    <w:rsid w:val="00F331B3"/>
    <w:rsid w:val="00F5132F"/>
    <w:rsid w:val="00F62B98"/>
    <w:rsid w:val="00F64BE6"/>
    <w:rsid w:val="00F72BDF"/>
    <w:rsid w:val="00F749A8"/>
    <w:rsid w:val="00F772FB"/>
    <w:rsid w:val="00F81479"/>
    <w:rsid w:val="00F86B29"/>
    <w:rsid w:val="00FC0B22"/>
    <w:rsid w:val="00FC5792"/>
    <w:rsid w:val="00FC5EA0"/>
    <w:rsid w:val="00FE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1068"/>
  <w15:chartTrackingRefBased/>
  <w15:docId w15:val="{F5494A67-64F2-4B88-8E02-98460FEB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0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0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005"/>
    <w:rPr>
      <w:rFonts w:eastAsiaTheme="majorEastAsia" w:cstheme="majorBidi"/>
      <w:color w:val="272727" w:themeColor="text1" w:themeTint="D8"/>
    </w:rPr>
  </w:style>
  <w:style w:type="paragraph" w:styleId="Title">
    <w:name w:val="Title"/>
    <w:basedOn w:val="Normal"/>
    <w:next w:val="Normal"/>
    <w:link w:val="TitleChar"/>
    <w:uiPriority w:val="10"/>
    <w:qFormat/>
    <w:rsid w:val="00AF2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005"/>
    <w:pPr>
      <w:spacing w:before="160"/>
      <w:jc w:val="center"/>
    </w:pPr>
    <w:rPr>
      <w:i/>
      <w:iCs/>
      <w:color w:val="404040" w:themeColor="text1" w:themeTint="BF"/>
    </w:rPr>
  </w:style>
  <w:style w:type="character" w:customStyle="1" w:styleId="QuoteChar">
    <w:name w:val="Quote Char"/>
    <w:basedOn w:val="DefaultParagraphFont"/>
    <w:link w:val="Quote"/>
    <w:uiPriority w:val="29"/>
    <w:rsid w:val="00AF2005"/>
    <w:rPr>
      <w:i/>
      <w:iCs/>
      <w:color w:val="404040" w:themeColor="text1" w:themeTint="BF"/>
    </w:rPr>
  </w:style>
  <w:style w:type="paragraph" w:styleId="ListParagraph">
    <w:name w:val="List Paragraph"/>
    <w:basedOn w:val="Normal"/>
    <w:uiPriority w:val="34"/>
    <w:qFormat/>
    <w:rsid w:val="00AF2005"/>
    <w:pPr>
      <w:ind w:left="720"/>
      <w:contextualSpacing/>
    </w:pPr>
  </w:style>
  <w:style w:type="character" w:styleId="IntenseEmphasis">
    <w:name w:val="Intense Emphasis"/>
    <w:basedOn w:val="DefaultParagraphFont"/>
    <w:uiPriority w:val="21"/>
    <w:qFormat/>
    <w:rsid w:val="00AF2005"/>
    <w:rPr>
      <w:i/>
      <w:iCs/>
      <w:color w:val="0F4761" w:themeColor="accent1" w:themeShade="BF"/>
    </w:rPr>
  </w:style>
  <w:style w:type="paragraph" w:styleId="IntenseQuote">
    <w:name w:val="Intense Quote"/>
    <w:basedOn w:val="Normal"/>
    <w:next w:val="Normal"/>
    <w:link w:val="IntenseQuoteChar"/>
    <w:uiPriority w:val="30"/>
    <w:qFormat/>
    <w:rsid w:val="00AF2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005"/>
    <w:rPr>
      <w:i/>
      <w:iCs/>
      <w:color w:val="0F4761" w:themeColor="accent1" w:themeShade="BF"/>
    </w:rPr>
  </w:style>
  <w:style w:type="character" w:styleId="IntenseReference">
    <w:name w:val="Intense Reference"/>
    <w:basedOn w:val="DefaultParagraphFont"/>
    <w:uiPriority w:val="32"/>
    <w:qFormat/>
    <w:rsid w:val="00AF2005"/>
    <w:rPr>
      <w:b/>
      <w:bCs/>
      <w:smallCaps/>
      <w:color w:val="0F4761" w:themeColor="accent1" w:themeShade="BF"/>
      <w:spacing w:val="5"/>
    </w:rPr>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99089B"/>
    <w:pPr>
      <w:spacing w:after="0" w:line="240" w:lineRule="auto"/>
    </w:pPr>
    <w:rPr>
      <w:kern w:val="0"/>
      <w:sz w:val="20"/>
      <w:szCs w:val="20"/>
      <w:lang w:val="lt-LT"/>
      <w14:ligatures w14:val="none"/>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99089B"/>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99089B"/>
    <w:rPr>
      <w:vertAlign w:val="superscript"/>
    </w:rPr>
  </w:style>
  <w:style w:type="character" w:styleId="Hyperlink">
    <w:name w:val="Hyperlink"/>
    <w:basedOn w:val="DefaultParagraphFont"/>
    <w:uiPriority w:val="99"/>
    <w:unhideWhenUsed/>
    <w:rsid w:val="0099089B"/>
    <w:rPr>
      <w:color w:val="467886" w:themeColor="hyperlink"/>
      <w:u w:val="single"/>
    </w:rPr>
  </w:style>
  <w:style w:type="character" w:styleId="UnresolvedMention">
    <w:name w:val="Unresolved Mention"/>
    <w:basedOn w:val="DefaultParagraphFont"/>
    <w:uiPriority w:val="99"/>
    <w:semiHidden/>
    <w:unhideWhenUsed/>
    <w:rsid w:val="0099089B"/>
    <w:rPr>
      <w:color w:val="605E5C"/>
      <w:shd w:val="clear" w:color="auto" w:fill="E1DFDD"/>
    </w:rPr>
  </w:style>
  <w:style w:type="paragraph" w:styleId="CommentText">
    <w:name w:val="annotation text"/>
    <w:basedOn w:val="Normal"/>
    <w:link w:val="CommentTextChar"/>
    <w:uiPriority w:val="99"/>
    <w:semiHidden/>
    <w:unhideWhenUsed/>
    <w:rsid w:val="00C57186"/>
    <w:pPr>
      <w:spacing w:line="240" w:lineRule="auto"/>
    </w:pPr>
    <w:rPr>
      <w:sz w:val="20"/>
      <w:szCs w:val="20"/>
    </w:rPr>
  </w:style>
  <w:style w:type="character" w:customStyle="1" w:styleId="CommentTextChar">
    <w:name w:val="Comment Text Char"/>
    <w:basedOn w:val="DefaultParagraphFont"/>
    <w:link w:val="CommentText"/>
    <w:uiPriority w:val="99"/>
    <w:semiHidden/>
    <w:rsid w:val="00C57186"/>
    <w:rPr>
      <w:sz w:val="20"/>
      <w:szCs w:val="20"/>
    </w:rPr>
  </w:style>
  <w:style w:type="character" w:styleId="CommentReference">
    <w:name w:val="annotation reference"/>
    <w:basedOn w:val="DefaultParagraphFont"/>
    <w:uiPriority w:val="99"/>
    <w:unhideWhenUsed/>
    <w:rsid w:val="00C57186"/>
    <w:rPr>
      <w:sz w:val="16"/>
      <w:szCs w:val="16"/>
    </w:rPr>
  </w:style>
  <w:style w:type="paragraph" w:styleId="Revision">
    <w:name w:val="Revision"/>
    <w:hidden/>
    <w:uiPriority w:val="99"/>
    <w:semiHidden/>
    <w:rsid w:val="003466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849708">
      <w:bodyDiv w:val="1"/>
      <w:marLeft w:val="0"/>
      <w:marRight w:val="0"/>
      <w:marTop w:val="0"/>
      <w:marBottom w:val="0"/>
      <w:divBdr>
        <w:top w:val="none" w:sz="0" w:space="0" w:color="auto"/>
        <w:left w:val="none" w:sz="0" w:space="0" w:color="auto"/>
        <w:bottom w:val="none" w:sz="0" w:space="0" w:color="auto"/>
        <w:right w:val="none" w:sz="0" w:space="0" w:color="auto"/>
      </w:divBdr>
      <w:divsChild>
        <w:div w:id="1322543388">
          <w:marLeft w:val="0"/>
          <w:marRight w:val="0"/>
          <w:marTop w:val="0"/>
          <w:marBottom w:val="0"/>
          <w:divBdr>
            <w:top w:val="none" w:sz="0" w:space="0" w:color="auto"/>
            <w:left w:val="none" w:sz="0" w:space="0" w:color="auto"/>
            <w:bottom w:val="none" w:sz="0" w:space="0" w:color="auto"/>
            <w:right w:val="none" w:sz="0" w:space="0" w:color="auto"/>
          </w:divBdr>
        </w:div>
        <w:div w:id="2080323833">
          <w:marLeft w:val="0"/>
          <w:marRight w:val="0"/>
          <w:marTop w:val="0"/>
          <w:marBottom w:val="0"/>
          <w:divBdr>
            <w:top w:val="none" w:sz="0" w:space="0" w:color="auto"/>
            <w:left w:val="none" w:sz="0" w:space="0" w:color="auto"/>
            <w:bottom w:val="none" w:sz="0" w:space="0" w:color="auto"/>
            <w:right w:val="none" w:sz="0" w:space="0" w:color="auto"/>
          </w:divBdr>
        </w:div>
        <w:div w:id="901063140">
          <w:marLeft w:val="0"/>
          <w:marRight w:val="0"/>
          <w:marTop w:val="0"/>
          <w:marBottom w:val="0"/>
          <w:divBdr>
            <w:top w:val="none" w:sz="0" w:space="0" w:color="auto"/>
            <w:left w:val="none" w:sz="0" w:space="0" w:color="auto"/>
            <w:bottom w:val="none" w:sz="0" w:space="0" w:color="auto"/>
            <w:right w:val="none" w:sz="0" w:space="0" w:color="auto"/>
          </w:divBdr>
        </w:div>
      </w:divsChild>
    </w:div>
    <w:div w:id="951479210">
      <w:bodyDiv w:val="1"/>
      <w:marLeft w:val="0"/>
      <w:marRight w:val="0"/>
      <w:marTop w:val="0"/>
      <w:marBottom w:val="0"/>
      <w:divBdr>
        <w:top w:val="none" w:sz="0" w:space="0" w:color="auto"/>
        <w:left w:val="none" w:sz="0" w:space="0" w:color="auto"/>
        <w:bottom w:val="none" w:sz="0" w:space="0" w:color="auto"/>
        <w:right w:val="none" w:sz="0" w:space="0" w:color="auto"/>
      </w:divBdr>
    </w:div>
    <w:div w:id="973096449">
      <w:bodyDiv w:val="1"/>
      <w:marLeft w:val="0"/>
      <w:marRight w:val="0"/>
      <w:marTop w:val="0"/>
      <w:marBottom w:val="0"/>
      <w:divBdr>
        <w:top w:val="none" w:sz="0" w:space="0" w:color="auto"/>
        <w:left w:val="none" w:sz="0" w:space="0" w:color="auto"/>
        <w:bottom w:val="none" w:sz="0" w:space="0" w:color="auto"/>
        <w:right w:val="none" w:sz="0" w:space="0" w:color="auto"/>
      </w:divBdr>
    </w:div>
    <w:div w:id="1344479307">
      <w:bodyDiv w:val="1"/>
      <w:marLeft w:val="0"/>
      <w:marRight w:val="0"/>
      <w:marTop w:val="0"/>
      <w:marBottom w:val="0"/>
      <w:divBdr>
        <w:top w:val="none" w:sz="0" w:space="0" w:color="auto"/>
        <w:left w:val="none" w:sz="0" w:space="0" w:color="auto"/>
        <w:bottom w:val="none" w:sz="0" w:space="0" w:color="auto"/>
        <w:right w:val="none" w:sz="0" w:space="0" w:color="auto"/>
      </w:divBdr>
    </w:div>
    <w:div w:id="1811627599">
      <w:bodyDiv w:val="1"/>
      <w:marLeft w:val="0"/>
      <w:marRight w:val="0"/>
      <w:marTop w:val="0"/>
      <w:marBottom w:val="0"/>
      <w:divBdr>
        <w:top w:val="none" w:sz="0" w:space="0" w:color="auto"/>
        <w:left w:val="none" w:sz="0" w:space="0" w:color="auto"/>
        <w:bottom w:val="none" w:sz="0" w:space="0" w:color="auto"/>
        <w:right w:val="none" w:sz="0" w:space="0" w:color="auto"/>
      </w:divBdr>
      <w:divsChild>
        <w:div w:id="1772630657">
          <w:marLeft w:val="0"/>
          <w:marRight w:val="0"/>
          <w:marTop w:val="0"/>
          <w:marBottom w:val="0"/>
          <w:divBdr>
            <w:top w:val="none" w:sz="0" w:space="0" w:color="auto"/>
            <w:left w:val="none" w:sz="0" w:space="0" w:color="auto"/>
            <w:bottom w:val="none" w:sz="0" w:space="0" w:color="auto"/>
            <w:right w:val="none" w:sz="0" w:space="0" w:color="auto"/>
          </w:divBdr>
        </w:div>
        <w:div w:id="365644463">
          <w:marLeft w:val="0"/>
          <w:marRight w:val="0"/>
          <w:marTop w:val="0"/>
          <w:marBottom w:val="0"/>
          <w:divBdr>
            <w:top w:val="none" w:sz="0" w:space="0" w:color="auto"/>
            <w:left w:val="none" w:sz="0" w:space="0" w:color="auto"/>
            <w:bottom w:val="none" w:sz="0" w:space="0" w:color="auto"/>
            <w:right w:val="none" w:sz="0" w:space="0" w:color="auto"/>
          </w:divBdr>
        </w:div>
        <w:div w:id="976492563">
          <w:marLeft w:val="0"/>
          <w:marRight w:val="0"/>
          <w:marTop w:val="0"/>
          <w:marBottom w:val="0"/>
          <w:divBdr>
            <w:top w:val="none" w:sz="0" w:space="0" w:color="auto"/>
            <w:left w:val="none" w:sz="0" w:space="0" w:color="auto"/>
            <w:bottom w:val="none" w:sz="0" w:space="0" w:color="auto"/>
            <w:right w:val="none" w:sz="0" w:space="0" w:color="auto"/>
          </w:divBdr>
        </w:div>
        <w:div w:id="757017950">
          <w:marLeft w:val="0"/>
          <w:marRight w:val="0"/>
          <w:marTop w:val="0"/>
          <w:marBottom w:val="0"/>
          <w:divBdr>
            <w:top w:val="none" w:sz="0" w:space="0" w:color="auto"/>
            <w:left w:val="none" w:sz="0" w:space="0" w:color="auto"/>
            <w:bottom w:val="none" w:sz="0" w:space="0" w:color="auto"/>
            <w:right w:val="none" w:sz="0" w:space="0" w:color="auto"/>
          </w:divBdr>
        </w:div>
        <w:div w:id="340355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darbu_gair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04EB5-A39E-4716-8E08-E84AD5391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916</Words>
  <Characters>5226</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5</cp:revision>
  <dcterms:created xsi:type="dcterms:W3CDTF">2025-03-13T12:14:00Z</dcterms:created>
  <dcterms:modified xsi:type="dcterms:W3CDTF">2025-03-17T06:11:00Z</dcterms:modified>
</cp:coreProperties>
</file>