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1D661" w14:textId="77777777" w:rsidR="00FE0C69" w:rsidRPr="000677DD" w:rsidRDefault="00FE0C69" w:rsidP="00FE0C69">
      <w:pPr>
        <w:pStyle w:val="paragraph"/>
        <w:tabs>
          <w:tab w:val="left" w:pos="993"/>
        </w:tabs>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0677DD">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15BA2281" w14:textId="77777777" w:rsidR="00FE0C69" w:rsidRPr="000677DD" w:rsidRDefault="00FE0C69" w:rsidP="00FE0C69">
      <w:pPr>
        <w:pStyle w:val="paragraph"/>
        <w:tabs>
          <w:tab w:val="left" w:pos="993"/>
        </w:tabs>
        <w:spacing w:before="0" w:beforeAutospacing="0" w:after="0" w:afterAutospacing="0" w:line="276" w:lineRule="auto"/>
        <w:ind w:firstLine="720"/>
        <w:textAlignment w:val="baseline"/>
        <w:rPr>
          <w:rFonts w:ascii="Calibri" w:hAnsi="Calibri" w:cs="Calibri"/>
          <w:lang w:val="lt-LT"/>
        </w:rPr>
      </w:pPr>
      <w:r w:rsidRPr="000677DD">
        <w:rPr>
          <w:rStyle w:val="normaltextrun"/>
          <w:rFonts w:ascii="Calibri" w:eastAsiaTheme="majorEastAsia" w:hAnsi="Calibri" w:cs="Calibri"/>
          <w:lang w:val="lt-LT"/>
        </w:rPr>
        <w:t xml:space="preserve">Vadovaujantis Tarnybai Įstatyme nustatyta pažeidimų prevencijos funkcija, šiuo metu atliekama </w:t>
      </w:r>
      <w:r w:rsidRPr="000677DD">
        <w:rPr>
          <w:rStyle w:val="normaltextrun"/>
          <w:rFonts w:ascii="Calibri" w:eastAsiaTheme="majorEastAsia" w:hAnsi="Calibri" w:cs="Calibri"/>
          <w:b/>
          <w:bCs/>
          <w:lang w:val="lt-LT"/>
        </w:rPr>
        <w:t>Marijampolės</w:t>
      </w:r>
      <w:r w:rsidRPr="000677DD">
        <w:rPr>
          <w:rStyle w:val="normaltextrun"/>
          <w:rFonts w:ascii="Calibri" w:eastAsiaTheme="majorEastAsia" w:hAnsi="Calibri" w:cs="Calibri"/>
          <w:lang w:val="lt-LT"/>
        </w:rPr>
        <w:t xml:space="preserve"> </w:t>
      </w:r>
      <w:r w:rsidRPr="000677DD">
        <w:rPr>
          <w:rFonts w:ascii="Calibri" w:hAnsi="Calibri" w:cs="Calibri"/>
          <w:b/>
          <w:bCs/>
          <w:lang w:val="lt-LT"/>
        </w:rPr>
        <w:t>savivaldybės administracijos</w:t>
      </w:r>
      <w:r w:rsidRPr="000677DD">
        <w:rPr>
          <w:rFonts w:ascii="Calibri" w:hAnsi="Calibri" w:cs="Calibri"/>
          <w:lang w:val="lt-LT"/>
        </w:rPr>
        <w:t xml:space="preserve"> (toliau – Perkančioji organizacija) vykdomo pirkimo </w:t>
      </w:r>
      <w:r w:rsidRPr="000677DD">
        <w:rPr>
          <w:rFonts w:ascii="Calibri" w:hAnsi="Calibri" w:cs="Calibri"/>
          <w:b/>
          <w:bCs/>
          <w:lang w:val="lt-LT"/>
        </w:rPr>
        <w:t>Nr. 1402310 „Teisininko, visuomenės veikėjo Andriaus Bulotos sodybos ūkinio pastato (u. K. NKV registre 41258) Vaičaičio g. 16, Marijampolėje kapitalinio remonto ir tvarkybos darbai“</w:t>
      </w:r>
      <w:r w:rsidRPr="000677DD">
        <w:rPr>
          <w:rFonts w:ascii="Calibri" w:hAnsi="Calibri" w:cs="Calibri"/>
          <w:lang w:val="lt-LT"/>
        </w:rPr>
        <w:t xml:space="preserve"> (toliau – Pirkimas) dokumentų atitikties Įstatymui ir jį įgyvendinantiems teisės aktams peržiūra (peržiūra prevenciniais tikslais atliekama tam tikra apimtimi).</w:t>
      </w:r>
    </w:p>
    <w:p w14:paraId="20CA6B7C" w14:textId="77777777" w:rsidR="00FE0C69" w:rsidRPr="000677DD" w:rsidRDefault="00FE0C69" w:rsidP="00FE0C69">
      <w:pPr>
        <w:pStyle w:val="paragraph"/>
        <w:tabs>
          <w:tab w:val="left" w:pos="993"/>
        </w:tabs>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0677DD">
        <w:rPr>
          <w:rStyle w:val="normaltextrun"/>
          <w:rFonts w:ascii="Calibri" w:eastAsiaTheme="majorEastAsia" w:hAnsi="Calibri" w:cs="Calibri"/>
          <w:lang w:val="lt-LT"/>
        </w:rPr>
        <w:t>Tarnyba, prevencine tvarka peržiūrėjusi Pirkimo dokumentus, teikia rekomendaciją dėl Pirkimo dokumentų nuostatų.</w:t>
      </w:r>
    </w:p>
    <w:p w14:paraId="1ECD74D8" w14:textId="77777777" w:rsidR="00FE0C69" w:rsidRPr="000677DD" w:rsidRDefault="00FE0C69" w:rsidP="00FE0C69">
      <w:pPr>
        <w:pStyle w:val="ListParagraph"/>
        <w:numPr>
          <w:ilvl w:val="0"/>
          <w:numId w:val="1"/>
        </w:numPr>
        <w:tabs>
          <w:tab w:val="left" w:pos="993"/>
        </w:tabs>
        <w:spacing w:after="0" w:line="276" w:lineRule="auto"/>
        <w:ind w:firstLine="349"/>
        <w:rPr>
          <w:rFonts w:ascii="Calibri" w:hAnsi="Calibri" w:cs="Calibri"/>
          <w:b/>
          <w:bCs/>
          <w:sz w:val="24"/>
          <w:szCs w:val="24"/>
          <w:lang w:val="lt-LT"/>
        </w:rPr>
      </w:pPr>
      <w:r w:rsidRPr="000677DD">
        <w:rPr>
          <w:rFonts w:ascii="Calibri" w:hAnsi="Calibri" w:cs="Calibri"/>
          <w:b/>
          <w:bCs/>
          <w:sz w:val="24"/>
          <w:szCs w:val="24"/>
          <w:lang w:val="lt-LT"/>
        </w:rPr>
        <w:t>Dėl skelbimo apie pirkimą informacijos</w:t>
      </w:r>
    </w:p>
    <w:p w14:paraId="4B085809" w14:textId="77777777" w:rsidR="00FE0C69" w:rsidRPr="000677DD" w:rsidRDefault="00FE0C69" w:rsidP="00FE0C69">
      <w:pPr>
        <w:pStyle w:val="ListParagraph"/>
        <w:numPr>
          <w:ilvl w:val="1"/>
          <w:numId w:val="2"/>
        </w:numPr>
        <w:tabs>
          <w:tab w:val="left" w:pos="1134"/>
        </w:tabs>
        <w:spacing w:after="0" w:line="276" w:lineRule="auto"/>
        <w:ind w:left="0" w:firstLine="710"/>
        <w:rPr>
          <w:rFonts w:ascii="Calibri" w:hAnsi="Calibri" w:cs="Calibri"/>
          <w:sz w:val="24"/>
          <w:szCs w:val="24"/>
          <w:lang w:val="lt-LT"/>
        </w:rPr>
      </w:pPr>
      <w:r w:rsidRPr="000677DD">
        <w:rPr>
          <w:rFonts w:ascii="Calibri" w:hAnsi="Calibri" w:cs="Calibri"/>
          <w:sz w:val="24"/>
          <w:szCs w:val="24"/>
          <w:lang w:val="lt-LT"/>
        </w:rPr>
        <w:t xml:space="preserve">Pirkimo sąlygų 2 punkte nurodyta, kad atliekamas žaliasis pirkimas, tačiau skelbimo apie pirkimą skiltyje „Strateginis viešasis pirkimas“ pažymėta, kad </w:t>
      </w:r>
      <w:r w:rsidRPr="000677DD">
        <w:rPr>
          <w:rFonts w:ascii="Calibri" w:hAnsi="Calibri" w:cs="Calibri"/>
          <w:b/>
          <w:bCs/>
          <w:sz w:val="24"/>
          <w:szCs w:val="24"/>
          <w:lang w:val="lt-LT"/>
        </w:rPr>
        <w:t>strateginių viešųjų pirkimų</w:t>
      </w:r>
      <w:r w:rsidRPr="000677DD">
        <w:rPr>
          <w:rFonts w:ascii="Calibri" w:hAnsi="Calibri" w:cs="Calibri"/>
          <w:sz w:val="24"/>
          <w:szCs w:val="24"/>
          <w:lang w:val="lt-LT"/>
        </w:rPr>
        <w:t xml:space="preserve"> (tame tarpe ir žaliųjų pirkimų) nėra. Pažymėtina, kad vykdant žaliąjį pirkimą, punkte „Strateginiai viešieji pirkimai“ turi būti pažymėta „Poveikio aplinkai mažinimas“, aprašyme trumpai nurodyta, kad vykdomas žaliasis pirkimas, atitinkamai punkte „Žaliosios pirkimo kriterijų detalės“ pažymėta „Nacionaliniai žaliojo viešojo pirkimo kriterijai“, o punkte „Poveikio aplinkai mažinimo metodas“ gali būti pažymėta „Kita“.</w:t>
      </w:r>
    </w:p>
    <w:p w14:paraId="1A263BBF" w14:textId="77777777" w:rsidR="00FE0C69" w:rsidRPr="000677DD" w:rsidRDefault="00FE0C69" w:rsidP="00FE0C69">
      <w:pPr>
        <w:pStyle w:val="ListParagraph"/>
        <w:tabs>
          <w:tab w:val="left" w:pos="426"/>
          <w:tab w:val="left" w:pos="993"/>
        </w:tabs>
        <w:spacing w:after="0" w:line="276" w:lineRule="auto"/>
        <w:ind w:left="0" w:firstLine="709"/>
        <w:rPr>
          <w:rFonts w:ascii="Calibri" w:hAnsi="Calibri" w:cs="Calibri"/>
          <w:sz w:val="24"/>
          <w:szCs w:val="24"/>
          <w:lang w:val="lt-LT"/>
        </w:rPr>
      </w:pPr>
      <w:r w:rsidRPr="000677DD">
        <w:rPr>
          <w:rFonts w:ascii="Calibri" w:hAnsi="Calibri" w:cs="Calibri"/>
          <w:sz w:val="24"/>
          <w:szCs w:val="24"/>
          <w:lang w:val="lt-LT"/>
        </w:rPr>
        <w:t xml:space="preserve">Tarnybos parengtos mokomosios priemonės </w:t>
      </w:r>
      <w:hyperlink r:id="rId7" w:history="1">
        <w:r w:rsidRPr="000677DD">
          <w:rPr>
            <w:rStyle w:val="Hyperlink"/>
            <w:rFonts w:ascii="Calibri" w:eastAsiaTheme="majorEastAsia" w:hAnsi="Calibri" w:cs="Calibri"/>
            <w:sz w:val="24"/>
            <w:szCs w:val="24"/>
            <w:lang w:val="lt-LT"/>
          </w:rPr>
          <w:t>Skelbimas apie pirkimą</w:t>
        </w:r>
      </w:hyperlink>
      <w:r w:rsidRPr="000677DD">
        <w:rPr>
          <w:rFonts w:ascii="Calibri" w:hAnsi="Calibri" w:cs="Calibri"/>
          <w:sz w:val="24"/>
          <w:szCs w:val="24"/>
          <w:lang w:val="lt-LT"/>
        </w:rPr>
        <w:t xml:space="preserve"> 16 ir 17 skaidrėse pateikta informacija apie Pirkimų procedūros dalies </w:t>
      </w:r>
      <w:r w:rsidRPr="000677DD">
        <w:rPr>
          <w:rFonts w:ascii="Calibri" w:hAnsi="Calibri" w:cs="Calibri"/>
          <w:b/>
          <w:bCs/>
          <w:sz w:val="24"/>
          <w:szCs w:val="24"/>
          <w:lang w:val="lt-LT"/>
        </w:rPr>
        <w:t>strateginiai viešieji pirkimai</w:t>
      </w:r>
      <w:r w:rsidRPr="000677DD">
        <w:rPr>
          <w:rFonts w:ascii="Calibri" w:hAnsi="Calibri" w:cs="Calibri"/>
          <w:sz w:val="24"/>
          <w:szCs w:val="24"/>
          <w:lang w:val="lt-LT"/>
        </w:rPr>
        <w:t xml:space="preserve"> pildymą. Įvertinusi skelbime apie pirkimą pateiktą netikslią informaciją, Tarnyba rekomenduoja </w:t>
      </w:r>
      <w:hyperlink r:id="rId8" w:history="1">
        <w:r w:rsidRPr="000677DD">
          <w:rPr>
            <w:rStyle w:val="Hyperlink"/>
            <w:rFonts w:ascii="Calibri" w:eastAsiaTheme="majorEastAsia" w:hAnsi="Calibri" w:cs="Calibri"/>
            <w:sz w:val="24"/>
            <w:szCs w:val="24"/>
            <w:lang w:val="lt-LT"/>
          </w:rPr>
          <w:t>Pranešimu apie pakeitimus</w:t>
        </w:r>
      </w:hyperlink>
      <w:r w:rsidRPr="000677DD">
        <w:rPr>
          <w:rFonts w:ascii="Calibri" w:hAnsi="Calibri" w:cs="Calibri"/>
          <w:sz w:val="24"/>
          <w:szCs w:val="24"/>
          <w:lang w:val="lt-LT"/>
        </w:rPr>
        <w:t xml:space="preserve"> patikslinti skelbimo apie pirkimą informaciją.</w:t>
      </w:r>
    </w:p>
    <w:p w14:paraId="47CEC622" w14:textId="77777777" w:rsidR="00FE0C69" w:rsidRPr="000677DD" w:rsidRDefault="00FE0C69" w:rsidP="00FE0C69">
      <w:pPr>
        <w:pStyle w:val="ListParagraph"/>
        <w:numPr>
          <w:ilvl w:val="1"/>
          <w:numId w:val="2"/>
        </w:numPr>
        <w:tabs>
          <w:tab w:val="left" w:pos="1276"/>
        </w:tabs>
        <w:spacing w:after="0" w:line="276" w:lineRule="auto"/>
        <w:ind w:left="0" w:firstLine="710"/>
        <w:rPr>
          <w:rFonts w:ascii="Calibri" w:hAnsi="Calibri" w:cs="Calibri"/>
          <w:sz w:val="24"/>
          <w:szCs w:val="24"/>
          <w:lang w:val="lt-LT"/>
        </w:rPr>
      </w:pPr>
      <w:r w:rsidRPr="000677DD">
        <w:rPr>
          <w:rFonts w:ascii="Calibri" w:hAnsi="Calibri" w:cs="Calibri"/>
          <w:sz w:val="24"/>
          <w:szCs w:val="24"/>
          <w:lang w:val="lt-LT"/>
        </w:rPr>
        <w:t xml:space="preserve">Skelbimo apie pirkimą 5.1.3 skiltyje „Numatomas galiojimas” nurodyta, jog </w:t>
      </w:r>
      <w:r w:rsidRPr="000677DD">
        <w:rPr>
          <w:rFonts w:ascii="Calibri" w:hAnsi="Calibri" w:cs="Calibri"/>
          <w:b/>
          <w:bCs/>
          <w:sz w:val="24"/>
          <w:szCs w:val="24"/>
          <w:lang w:val="lt-LT"/>
        </w:rPr>
        <w:t>sutarties trukmė – 25 mėnesiai</w:t>
      </w:r>
      <w:r w:rsidRPr="000677DD">
        <w:rPr>
          <w:rFonts w:ascii="Calibri" w:hAnsi="Calibri" w:cs="Calibri"/>
          <w:sz w:val="24"/>
          <w:szCs w:val="24"/>
          <w:lang w:val="lt-LT"/>
        </w:rPr>
        <w:t>.</w:t>
      </w:r>
    </w:p>
    <w:p w14:paraId="6293E595" w14:textId="77777777" w:rsidR="00FE0C69" w:rsidRPr="000677DD" w:rsidRDefault="00FE0C69" w:rsidP="00FE0C69">
      <w:pPr>
        <w:tabs>
          <w:tab w:val="left" w:pos="851"/>
          <w:tab w:val="left" w:pos="1134"/>
        </w:tabs>
        <w:spacing w:after="0" w:line="276" w:lineRule="auto"/>
        <w:ind w:firstLine="709"/>
        <w:rPr>
          <w:rFonts w:ascii="Calibri" w:hAnsi="Calibri" w:cs="Calibri"/>
          <w:sz w:val="24"/>
          <w:szCs w:val="24"/>
          <w:lang w:val="lt-LT"/>
        </w:rPr>
      </w:pPr>
      <w:r w:rsidRPr="000677DD">
        <w:rPr>
          <w:rFonts w:ascii="Calibri" w:hAnsi="Calibri" w:cs="Calibri"/>
          <w:sz w:val="24"/>
          <w:szCs w:val="24"/>
          <w:lang w:val="lt-LT"/>
        </w:rPr>
        <w:t>Pirkimo sąlygų 23 punkte nurodyta, kad „</w:t>
      </w:r>
      <w:r w:rsidRPr="000677DD">
        <w:rPr>
          <w:rFonts w:ascii="Calibri" w:hAnsi="Calibri" w:cs="Calibri"/>
          <w:sz w:val="24"/>
          <w:szCs w:val="24"/>
          <w:shd w:val="clear" w:color="auto" w:fill="FFFFFF"/>
          <w:lang w:val="lt-LT"/>
        </w:rPr>
        <w:t xml:space="preserve">Sutarties terminą sudaro </w:t>
      </w:r>
      <w:r w:rsidRPr="000677DD">
        <w:rPr>
          <w:rFonts w:ascii="Calibri" w:hAnsi="Calibri" w:cs="Calibri"/>
          <w:b/>
          <w:bCs/>
          <w:sz w:val="24"/>
          <w:szCs w:val="24"/>
          <w:shd w:val="clear" w:color="auto" w:fill="FFFFFF"/>
          <w:lang w:val="lt-LT"/>
        </w:rPr>
        <w:t>Darbų atlikimo terminas – 24 (dvidešimt keturi) mėnesiai</w:t>
      </w:r>
      <w:r w:rsidRPr="000677DD">
        <w:rPr>
          <w:rFonts w:ascii="Calibri" w:hAnsi="Calibri" w:cs="Calibri"/>
          <w:sz w:val="24"/>
          <w:szCs w:val="24"/>
          <w:shd w:val="clear" w:color="auto" w:fill="FFFFFF"/>
          <w:lang w:val="lt-LT"/>
        </w:rPr>
        <w:t xml:space="preserve"> bei </w:t>
      </w:r>
      <w:r w:rsidRPr="000677DD">
        <w:rPr>
          <w:rFonts w:ascii="Calibri" w:hAnsi="Calibri" w:cs="Calibri"/>
          <w:b/>
          <w:bCs/>
          <w:sz w:val="24"/>
          <w:szCs w:val="24"/>
          <w:shd w:val="clear" w:color="auto" w:fill="FFFFFF"/>
          <w:lang w:val="lt-LT"/>
        </w:rPr>
        <w:t>apmokėjimo terminas už atliktus Darbus – 30 (trisdešimt) kalendorinių dienų</w:t>
      </w:r>
      <w:r w:rsidRPr="000677DD">
        <w:rPr>
          <w:rFonts w:ascii="Calibri" w:hAnsi="Calibri" w:cs="Calibri"/>
          <w:sz w:val="24"/>
          <w:szCs w:val="24"/>
          <w:shd w:val="clear" w:color="auto" w:fill="FFFFFF"/>
          <w:lang w:val="lt-LT"/>
        </w:rPr>
        <w:t>“, 25 punkte – „&lt;...&gt;</w:t>
      </w:r>
      <w:r w:rsidRPr="000677DD">
        <w:rPr>
          <w:rFonts w:ascii="Calibri" w:hAnsi="Calibri" w:cs="Calibri"/>
          <w:b/>
          <w:bCs/>
          <w:sz w:val="24"/>
          <w:szCs w:val="24"/>
          <w:shd w:val="clear" w:color="auto" w:fill="FFFFFF"/>
          <w:lang w:val="lt-LT"/>
        </w:rPr>
        <w:t xml:space="preserve"> darbų atlikimo terminas gali būti pratęstas 3 (trijų) mėnesių laikotarpiui </w:t>
      </w:r>
      <w:r w:rsidRPr="000677DD">
        <w:rPr>
          <w:rFonts w:ascii="Calibri" w:hAnsi="Calibri" w:cs="Calibri"/>
          <w:sz w:val="24"/>
          <w:szCs w:val="24"/>
          <w:shd w:val="clear" w:color="auto" w:fill="FFFFFF"/>
          <w:lang w:val="lt-LT"/>
        </w:rPr>
        <w:t>&lt;...&gt;“. Analogiškos nuostatos pakartotos Sutarties projekto (Pirkimo sąlygų 2 priedas „Statybos rangos darbų sutarties projektas“) (toliau – Sutarties projektas) 3 ir 5 punktuose.</w:t>
      </w:r>
    </w:p>
    <w:p w14:paraId="5EDB8029" w14:textId="77777777" w:rsidR="00FE0C69" w:rsidRPr="000677DD" w:rsidRDefault="00FE0C69" w:rsidP="00FE0C69">
      <w:pPr>
        <w:tabs>
          <w:tab w:val="left" w:pos="993"/>
        </w:tabs>
        <w:spacing w:after="0" w:line="276" w:lineRule="auto"/>
        <w:ind w:firstLine="720"/>
        <w:rPr>
          <w:rFonts w:ascii="Calibri" w:hAnsi="Calibri" w:cs="Calibri"/>
          <w:sz w:val="24"/>
          <w:szCs w:val="24"/>
          <w:lang w:val="lt-LT"/>
        </w:rPr>
      </w:pPr>
      <w:r w:rsidRPr="000677DD">
        <w:rPr>
          <w:rFonts w:ascii="Calibri" w:hAnsi="Calibri" w:cs="Calibri"/>
          <w:sz w:val="24"/>
          <w:szCs w:val="24"/>
          <w:lang w:val="lt-LT"/>
        </w:rPr>
        <w:t>Šiuo atveju, pildant skelbimo apie pirkimą „Numatomas galiojimas“ sutarties trukmė nurodyta neteisingai. Pažymėtina, kad jeigu yra prieštaravimų ar neatitikimų tarp skelbime apie pirkimą paskelbtos informacijos ir kitų pirkimo dokumentų nuostatų, skelbime apie pirkimą pateikta informacija laikoma teisinga (Įstatymo 35 straipsnio 3 dalis). Tarnyba primena, jog Sutarties trukmė nurodoma, atsižvelgiant ne tik į prekių pristatymo, paslaugų, darbų atlikimo terminą, įskaitant galimus darbų atlikimo termino pratęsimus, bet ir į abipusių įsipareigojimų įvykdymo terminą.</w:t>
      </w:r>
    </w:p>
    <w:p w14:paraId="25D0887A" w14:textId="77777777" w:rsidR="00FE0C69" w:rsidRPr="000677DD" w:rsidRDefault="00FE0C69" w:rsidP="00FE0C69">
      <w:pPr>
        <w:tabs>
          <w:tab w:val="left" w:pos="993"/>
        </w:tabs>
        <w:spacing w:after="0" w:line="276" w:lineRule="auto"/>
        <w:ind w:firstLine="720"/>
        <w:rPr>
          <w:rFonts w:ascii="Calibri" w:hAnsi="Calibri" w:cs="Calibri"/>
          <w:sz w:val="24"/>
          <w:szCs w:val="24"/>
          <w:lang w:val="lt-LT"/>
        </w:rPr>
      </w:pPr>
      <w:r w:rsidRPr="000677DD">
        <w:rPr>
          <w:rFonts w:ascii="Calibri" w:hAnsi="Calibri" w:cs="Calibri"/>
          <w:sz w:val="24"/>
          <w:szCs w:val="24"/>
          <w:lang w:val="lt-LT"/>
        </w:rPr>
        <w:lastRenderedPageBreak/>
        <w:t xml:space="preserve">Atsižvelgiant į tai, Tarnyba rekomenduoja tikslinti skelbimo apie pirkimą 5.1.3 skiltį, į sutarties trukmę įskaičiuojant darbų atlikimo terminą, darbų atlikimo pratęsimo terminą ir apmokėjimo terminą bei kitų įsipareigojimų, jei jie nustatyti, terminus. (žr. </w:t>
      </w:r>
      <w:hyperlink r:id="rId9" w:history="1">
        <w:r>
          <w:rPr>
            <w:rStyle w:val="Hyperlink"/>
            <w:rFonts w:ascii="Calibri" w:hAnsi="Calibri" w:cs="Calibri"/>
            <w:kern w:val="0"/>
            <w:sz w:val="24"/>
            <w:szCs w:val="24"/>
            <w:lang w:val="lt-LT"/>
            <w14:ligatures w14:val="none"/>
          </w:rPr>
          <w:t>Skelbimas apie pirkimą</w:t>
        </w:r>
      </w:hyperlink>
      <w:r w:rsidRPr="000677DD">
        <w:rPr>
          <w:rFonts w:ascii="Calibri" w:hAnsi="Calibri" w:cs="Calibri"/>
          <w:sz w:val="24"/>
          <w:szCs w:val="24"/>
          <w:lang w:val="lt-LT"/>
        </w:rPr>
        <w:t xml:space="preserve"> 18 psl.)</w:t>
      </w:r>
    </w:p>
    <w:p w14:paraId="4C107328" w14:textId="77777777" w:rsidR="00FE0C69" w:rsidRPr="000677DD" w:rsidRDefault="00FE0C69" w:rsidP="00FE0C69">
      <w:pPr>
        <w:pStyle w:val="ListParagraph"/>
        <w:numPr>
          <w:ilvl w:val="0"/>
          <w:numId w:val="1"/>
        </w:numPr>
        <w:tabs>
          <w:tab w:val="left" w:pos="993"/>
        </w:tabs>
        <w:spacing w:after="0" w:line="276" w:lineRule="auto"/>
        <w:ind w:left="0" w:firstLine="720"/>
        <w:rPr>
          <w:rFonts w:ascii="Calibri" w:hAnsi="Calibri" w:cs="Calibri"/>
          <w:b/>
          <w:bCs/>
          <w:sz w:val="24"/>
          <w:szCs w:val="24"/>
          <w:lang w:val="lt-LT"/>
        </w:rPr>
      </w:pPr>
      <w:r w:rsidRPr="000677DD">
        <w:rPr>
          <w:rFonts w:ascii="Calibri" w:hAnsi="Calibri" w:cs="Calibri"/>
          <w:b/>
          <w:bCs/>
          <w:sz w:val="24"/>
          <w:szCs w:val="24"/>
          <w:lang w:val="lt-LT"/>
        </w:rPr>
        <w:t>Dėl pašalinimo pagrindų</w:t>
      </w:r>
    </w:p>
    <w:p w14:paraId="2E1EA045" w14:textId="77777777" w:rsidR="00FE0C69" w:rsidRPr="000677DD" w:rsidRDefault="00FE0C69" w:rsidP="00FE0C69">
      <w:pPr>
        <w:tabs>
          <w:tab w:val="left" w:pos="993"/>
        </w:tabs>
        <w:spacing w:after="0" w:line="276" w:lineRule="auto"/>
        <w:ind w:firstLine="709"/>
        <w:rPr>
          <w:rFonts w:ascii="Calibri" w:hAnsi="Calibri" w:cs="Calibri"/>
          <w:sz w:val="24"/>
          <w:szCs w:val="24"/>
          <w:lang w:val="lt-LT"/>
        </w:rPr>
      </w:pPr>
      <w:r w:rsidRPr="000677DD">
        <w:rPr>
          <w:rFonts w:ascii="Calibri" w:hAnsi="Calibri" w:cs="Calibri"/>
          <w:sz w:val="24"/>
          <w:szCs w:val="24"/>
          <w:lang w:val="lt-LT"/>
        </w:rPr>
        <w:t xml:space="preserve">Tiekėjo pašalinimo pagrindų lentelės, esančios Pirkimo sąlygų 35 punkte, (toliau – Pašalinimo pagrindai) 35.1, 35.3 eilutėse turi būti nurodyta „ar jos </w:t>
      </w:r>
      <w:r w:rsidRPr="000677DD">
        <w:rPr>
          <w:rFonts w:ascii="Calibri" w:hAnsi="Calibri" w:cs="Calibri"/>
          <w:b/>
          <w:bCs/>
          <w:sz w:val="24"/>
          <w:szCs w:val="24"/>
          <w:lang w:val="lt-LT"/>
        </w:rPr>
        <w:t>struktūrinis</w:t>
      </w:r>
      <w:r w:rsidRPr="000677DD">
        <w:rPr>
          <w:rFonts w:ascii="Calibri" w:hAnsi="Calibri" w:cs="Calibri"/>
          <w:sz w:val="24"/>
          <w:szCs w:val="24"/>
          <w:lang w:val="lt-LT"/>
        </w:rPr>
        <w:t xml:space="preserve"> padalinys“. Atsižvelgiant į tai, rekomenduotina papildyti Pašalinimo pagrindus trūkstama informacija, t. y. žodžiu „struktūrinis“.</w:t>
      </w:r>
    </w:p>
    <w:p w14:paraId="67F74FA1" w14:textId="77777777" w:rsidR="00FE0C69" w:rsidRPr="000677DD" w:rsidRDefault="00FE0C69" w:rsidP="00FE0C69">
      <w:pPr>
        <w:pStyle w:val="ListParagraph"/>
        <w:numPr>
          <w:ilvl w:val="0"/>
          <w:numId w:val="1"/>
        </w:numPr>
        <w:tabs>
          <w:tab w:val="clear" w:pos="360"/>
          <w:tab w:val="left" w:pos="993"/>
        </w:tabs>
        <w:spacing w:after="0" w:line="276" w:lineRule="auto"/>
        <w:ind w:left="0" w:firstLine="709"/>
        <w:rPr>
          <w:rFonts w:ascii="Calibri" w:hAnsi="Calibri" w:cs="Calibri"/>
          <w:b/>
          <w:bCs/>
          <w:sz w:val="24"/>
          <w:szCs w:val="24"/>
          <w:lang w:val="lt-LT"/>
        </w:rPr>
      </w:pPr>
      <w:r w:rsidRPr="000677DD">
        <w:rPr>
          <w:rFonts w:ascii="Calibri" w:hAnsi="Calibri" w:cs="Calibri"/>
          <w:b/>
          <w:bCs/>
          <w:sz w:val="24"/>
          <w:szCs w:val="24"/>
          <w:lang w:val="lt-LT"/>
        </w:rPr>
        <w:t>Dėl Pirkimo sąlygų</w:t>
      </w:r>
    </w:p>
    <w:p w14:paraId="15B6C828" w14:textId="77777777" w:rsidR="00FE0C69" w:rsidRPr="000677DD" w:rsidRDefault="00FE0C69" w:rsidP="00FE0C69">
      <w:pPr>
        <w:tabs>
          <w:tab w:val="left" w:pos="1134"/>
        </w:tabs>
        <w:spacing w:after="0" w:line="276" w:lineRule="auto"/>
        <w:ind w:firstLine="709"/>
        <w:rPr>
          <w:rFonts w:ascii="Calibri" w:eastAsia="Times New Roman" w:hAnsi="Calibri" w:cs="Calibri"/>
          <w:sz w:val="24"/>
          <w:szCs w:val="24"/>
          <w:lang w:val="lt-LT"/>
        </w:rPr>
      </w:pPr>
      <w:r w:rsidRPr="000677DD">
        <w:rPr>
          <w:rFonts w:ascii="Calibri" w:hAnsi="Calibri" w:cs="Calibri"/>
          <w:b/>
          <w:bCs/>
          <w:kern w:val="0"/>
          <w:sz w:val="24"/>
          <w:szCs w:val="24"/>
          <w:lang w:val="lt-LT"/>
          <w14:ligatures w14:val="none"/>
        </w:rPr>
        <w:t>3.1.</w:t>
      </w:r>
      <w:r w:rsidRPr="000677DD">
        <w:rPr>
          <w:rFonts w:ascii="Calibri" w:hAnsi="Calibri" w:cs="Calibri"/>
          <w:kern w:val="0"/>
          <w:sz w:val="24"/>
          <w:szCs w:val="24"/>
          <w:lang w:val="lt-LT"/>
          <w14:ligatures w14:val="none"/>
        </w:rPr>
        <w:t xml:space="preserve"> Pirkimo sąlygų 19 punkte nustatyta, kad „</w:t>
      </w:r>
      <w:r w:rsidRPr="000677DD">
        <w:rPr>
          <w:rFonts w:ascii="Calibri" w:hAnsi="Calibri" w:cs="Calibri"/>
          <w:bCs/>
          <w:sz w:val="24"/>
          <w:szCs w:val="24"/>
          <w:lang w:val="lt-LT"/>
        </w:rPr>
        <w:t>P</w:t>
      </w:r>
      <w:r w:rsidRPr="000677DD">
        <w:rPr>
          <w:rFonts w:ascii="Calibri" w:hAnsi="Calibri" w:cs="Calibri"/>
          <w:sz w:val="24"/>
          <w:szCs w:val="24"/>
          <w:lang w:val="lt-LT"/>
        </w:rPr>
        <w:t xml:space="preserve">irkimo objektas vientisas ir </w:t>
      </w:r>
      <w:r w:rsidRPr="000677DD">
        <w:rPr>
          <w:rFonts w:ascii="Calibri" w:hAnsi="Calibri" w:cs="Calibri"/>
          <w:b/>
          <w:bCs/>
          <w:sz w:val="24"/>
          <w:szCs w:val="24"/>
          <w:lang w:val="lt-LT"/>
        </w:rPr>
        <w:t>į dalis neskaidomas</w:t>
      </w:r>
      <w:r w:rsidRPr="000677DD">
        <w:rPr>
          <w:rFonts w:ascii="Calibri" w:hAnsi="Calibri" w:cs="Calibri"/>
          <w:sz w:val="24"/>
          <w:szCs w:val="24"/>
          <w:lang w:val="lt-LT"/>
        </w:rPr>
        <w:t>, todėl pasiūlymas turi būti pateiktas visai nurodytai darbų apimčiai. &lt;...&gt;“.</w:t>
      </w:r>
    </w:p>
    <w:p w14:paraId="202952E4" w14:textId="77777777" w:rsidR="00FE0C69" w:rsidRPr="000677DD" w:rsidRDefault="00FE0C69" w:rsidP="00FE0C69">
      <w:pPr>
        <w:spacing w:after="0" w:line="276" w:lineRule="auto"/>
        <w:ind w:firstLine="709"/>
        <w:rPr>
          <w:rFonts w:ascii="Calibri" w:hAnsi="Calibri" w:cs="Calibri"/>
          <w:sz w:val="24"/>
          <w:szCs w:val="24"/>
          <w:lang w:val="lt-LT"/>
        </w:rPr>
      </w:pPr>
      <w:r w:rsidRPr="000677DD">
        <w:rPr>
          <w:rFonts w:ascii="Calibri" w:hAnsi="Calibri" w:cs="Calibri"/>
          <w:kern w:val="0"/>
          <w:sz w:val="24"/>
          <w:szCs w:val="24"/>
          <w:lang w:val="lt-LT"/>
          <w14:ligatures w14:val="none"/>
        </w:rPr>
        <w:t xml:space="preserve">Pažymėtina, jog šiuo Pirkimu siekiama įsigyti tiek kapitalinio remonto ir tvarkybos darbus, tiek ir patį </w:t>
      </w:r>
      <w:r w:rsidRPr="000677DD">
        <w:rPr>
          <w:rFonts w:ascii="Calibri" w:hAnsi="Calibri" w:cs="Calibri"/>
          <w:b/>
          <w:bCs/>
          <w:kern w:val="0"/>
          <w:sz w:val="24"/>
          <w:szCs w:val="24"/>
          <w:lang w:val="lt-LT"/>
          <w14:ligatures w14:val="none"/>
        </w:rPr>
        <w:t>darbo projekto parengimą.</w:t>
      </w:r>
      <w:r w:rsidRPr="000677DD">
        <w:rPr>
          <w:rFonts w:ascii="Calibri" w:hAnsi="Calibri" w:cs="Calibri"/>
          <w:kern w:val="0"/>
          <w:sz w:val="24"/>
          <w:szCs w:val="24"/>
          <w:lang w:val="lt-LT"/>
          <w14:ligatures w14:val="none"/>
        </w:rPr>
        <w:t xml:space="preserve"> Atkreiptinas dėmesį į tai, kad, </w:t>
      </w:r>
      <w:r w:rsidRPr="000677DD">
        <w:rPr>
          <w:rFonts w:ascii="Calibri" w:hAnsi="Calibri" w:cs="Calibri"/>
          <w:sz w:val="24"/>
          <w:szCs w:val="24"/>
          <w:lang w:val="lt-LT"/>
        </w:rPr>
        <w:t>vadovaujantis Įstatymo 35 straipsnio 2 dalies 9 punkto nuostata, Pirkimo dokumentuose turi būti pateiktas Perkančiosios organizacijos sprendimo dėl „</w:t>
      </w:r>
      <w:r w:rsidRPr="000677DD">
        <w:rPr>
          <w:rFonts w:ascii="Calibri" w:hAnsi="Calibri" w:cs="Calibri"/>
          <w:b/>
          <w:bCs/>
          <w:sz w:val="24"/>
          <w:szCs w:val="24"/>
          <w:lang w:val="lt-LT"/>
        </w:rPr>
        <w:t xml:space="preserve">statinio statybos darbų ir statinio projektavimo paslaugų </w:t>
      </w:r>
      <w:r w:rsidRPr="000677DD">
        <w:rPr>
          <w:rFonts w:ascii="Calibri" w:hAnsi="Calibri" w:cs="Calibri"/>
          <w:sz w:val="24"/>
          <w:szCs w:val="24"/>
          <w:lang w:val="lt-LT"/>
        </w:rPr>
        <w:t>pirkimo objekto neskaidymo į dalis pagrindimas, kaip nustatyta šio įstatymo 28 straipsnio 2 dalyje“</w:t>
      </w:r>
      <w:r w:rsidRPr="000677DD">
        <w:rPr>
          <w:rStyle w:val="FootnoteReference"/>
          <w:rFonts w:ascii="Calibri" w:hAnsi="Calibri" w:cs="Calibri"/>
          <w:sz w:val="24"/>
          <w:szCs w:val="24"/>
          <w:lang w:val="lt-LT"/>
        </w:rPr>
        <w:footnoteReference w:id="1"/>
      </w:r>
      <w:r w:rsidRPr="000677DD">
        <w:rPr>
          <w:rFonts w:ascii="Calibri" w:hAnsi="Calibri" w:cs="Calibri"/>
          <w:sz w:val="24"/>
          <w:szCs w:val="24"/>
          <w:lang w:val="lt-LT"/>
        </w:rPr>
        <w:t>, todėl Tarnyba rekomenduoja papildyti Pirkimo dokumentus argumentuotu pagrindimu, kodėl statybos darbai perkami kartu su darbo projekto parengimo paslaugomis.</w:t>
      </w:r>
    </w:p>
    <w:p w14:paraId="6C5DBCAF" w14:textId="77777777" w:rsidR="00FE0C69" w:rsidRPr="000677DD" w:rsidRDefault="00FE0C69" w:rsidP="00FE0C69">
      <w:pPr>
        <w:pStyle w:val="ListParagraph"/>
        <w:tabs>
          <w:tab w:val="left" w:pos="993"/>
        </w:tabs>
        <w:spacing w:after="0" w:line="276" w:lineRule="auto"/>
        <w:ind w:left="0" w:firstLine="709"/>
        <w:rPr>
          <w:rFonts w:ascii="Calibri" w:hAnsi="Calibri" w:cs="Calibri"/>
          <w:sz w:val="24"/>
          <w:szCs w:val="24"/>
          <w:lang w:val="lt-LT"/>
        </w:rPr>
      </w:pPr>
      <w:r w:rsidRPr="000677DD">
        <w:rPr>
          <w:rFonts w:ascii="Calibri" w:hAnsi="Calibri" w:cs="Calibri"/>
          <w:b/>
          <w:bCs/>
          <w:sz w:val="24"/>
          <w:szCs w:val="24"/>
          <w:lang w:val="lt-LT"/>
        </w:rPr>
        <w:t xml:space="preserve">3.2. </w:t>
      </w:r>
      <w:r w:rsidRPr="000677DD">
        <w:rPr>
          <w:rFonts w:ascii="Calibri" w:hAnsi="Calibri" w:cs="Calibri"/>
          <w:sz w:val="24"/>
          <w:szCs w:val="24"/>
          <w:lang w:val="lt-LT"/>
        </w:rPr>
        <w:t>Pirkimo sąlygų 34 punkte pateikta neteisinga nuoroda į 34 punktą, 49.1 punkte – neteisinga nuoroda į 37 punktą,120 punkte – neteisinga nuoroda į 118 punktą</w:t>
      </w:r>
      <w:r>
        <w:rPr>
          <w:rFonts w:ascii="Calibri" w:hAnsi="Calibri" w:cs="Calibri"/>
          <w:sz w:val="24"/>
          <w:szCs w:val="24"/>
          <w:lang w:val="lt-LT"/>
        </w:rPr>
        <w:t>. A</w:t>
      </w:r>
      <w:r w:rsidRPr="000677DD">
        <w:rPr>
          <w:rFonts w:ascii="Calibri" w:hAnsi="Calibri" w:cs="Calibri"/>
          <w:sz w:val="24"/>
          <w:szCs w:val="24"/>
          <w:lang w:val="lt-LT"/>
        </w:rPr>
        <w:t xml:space="preserve">tsižvelgiant į tai, rekomenduotina tikslinti Pirkimo sąlygas. </w:t>
      </w:r>
    </w:p>
    <w:p w14:paraId="631C66D4" w14:textId="77777777" w:rsidR="00FE0C69" w:rsidRPr="000677DD" w:rsidRDefault="00FE0C69" w:rsidP="00FE0C69">
      <w:pPr>
        <w:pStyle w:val="ListParagraph"/>
        <w:tabs>
          <w:tab w:val="left" w:pos="993"/>
        </w:tabs>
        <w:spacing w:after="0" w:line="276" w:lineRule="auto"/>
        <w:ind w:left="0" w:firstLine="709"/>
        <w:rPr>
          <w:rFonts w:ascii="Calibri" w:hAnsi="Calibri" w:cs="Calibri"/>
          <w:b/>
          <w:bCs/>
          <w:sz w:val="24"/>
          <w:szCs w:val="24"/>
          <w:lang w:val="lt-LT"/>
        </w:rPr>
      </w:pPr>
      <w:r w:rsidRPr="000677DD">
        <w:rPr>
          <w:rFonts w:ascii="Calibri" w:hAnsi="Calibri" w:cs="Calibri"/>
          <w:b/>
          <w:bCs/>
          <w:sz w:val="24"/>
          <w:szCs w:val="24"/>
          <w:lang w:val="lt-LT"/>
        </w:rPr>
        <w:t>4. Dėl Sutarties projekto nuostatų</w:t>
      </w:r>
    </w:p>
    <w:p w14:paraId="53A1CA86" w14:textId="77777777" w:rsidR="00FE0C69" w:rsidRPr="000677DD" w:rsidRDefault="00FE0C69" w:rsidP="00FE0C69">
      <w:pPr>
        <w:autoSpaceDN w:val="0"/>
        <w:spacing w:after="0" w:line="276" w:lineRule="auto"/>
        <w:ind w:firstLine="720"/>
        <w:rPr>
          <w:rFonts w:ascii="Calibri" w:hAnsi="Calibri" w:cs="Calibri"/>
          <w:sz w:val="24"/>
          <w:szCs w:val="24"/>
          <w:lang w:val="lt-LT"/>
        </w:rPr>
      </w:pPr>
      <w:r w:rsidRPr="000677DD">
        <w:rPr>
          <w:rFonts w:ascii="Calibri" w:eastAsia="Times New Roman" w:hAnsi="Calibri" w:cs="Calibri"/>
          <w:b/>
          <w:bCs/>
          <w:sz w:val="24"/>
          <w:szCs w:val="24"/>
          <w:lang w:val="lt-LT"/>
        </w:rPr>
        <w:t>4.1.</w:t>
      </w:r>
      <w:r w:rsidRPr="000677DD">
        <w:rPr>
          <w:rFonts w:ascii="Calibri" w:eastAsia="Times New Roman" w:hAnsi="Calibri" w:cs="Calibri"/>
          <w:sz w:val="24"/>
          <w:szCs w:val="24"/>
          <w:lang w:val="lt-LT"/>
        </w:rPr>
        <w:t xml:space="preserve"> Sutarties projekto Bendrųjų sąlygų 10.22 punkte nustatyta „Rangovas, </w:t>
      </w:r>
      <w:r w:rsidRPr="000677DD">
        <w:rPr>
          <w:rFonts w:ascii="Calibri" w:eastAsia="Arial Unicode MS" w:hAnsi="Calibri" w:cs="Calibri"/>
          <w:sz w:val="24"/>
          <w:szCs w:val="24"/>
          <w:lang w:val="lt-LT"/>
        </w:rPr>
        <w:t>laiku neatlikęs Darbų ar</w:t>
      </w:r>
      <w:r w:rsidRPr="000677DD">
        <w:rPr>
          <w:rFonts w:ascii="Calibri" w:eastAsia="Times New Roman" w:hAnsi="Calibri" w:cs="Calibri"/>
          <w:sz w:val="24"/>
          <w:szCs w:val="24"/>
          <w:lang w:val="lt-LT"/>
        </w:rPr>
        <w:t xml:space="preserve"> laiku nepašalinęs defektų, moka Užsakovui 0,05% delspinigių nuo neatliktų </w:t>
      </w:r>
      <w:r w:rsidRPr="000677DD">
        <w:rPr>
          <w:rFonts w:ascii="Calibri" w:eastAsia="Times New Roman" w:hAnsi="Calibri" w:cs="Calibri"/>
          <w:b/>
          <w:bCs/>
          <w:sz w:val="24"/>
          <w:szCs w:val="24"/>
          <w:lang w:val="lt-LT"/>
        </w:rPr>
        <w:t>Darbų vertės</w:t>
      </w:r>
      <w:r w:rsidRPr="000677DD">
        <w:rPr>
          <w:rFonts w:ascii="Calibri" w:eastAsia="Times New Roman" w:hAnsi="Calibri" w:cs="Calibri"/>
          <w:sz w:val="24"/>
          <w:szCs w:val="24"/>
          <w:lang w:val="lt-LT"/>
        </w:rPr>
        <w:t xml:space="preserve"> už kiekvieną uždelstą dieną“. </w:t>
      </w:r>
      <w:r w:rsidRPr="000677DD">
        <w:rPr>
          <w:rFonts w:ascii="Calibri" w:hAnsi="Calibri" w:cs="Calibri"/>
          <w:sz w:val="24"/>
          <w:szCs w:val="24"/>
          <w:lang w:val="lt-LT"/>
        </w:rPr>
        <w:t xml:space="preserve">Tarnyba atkreipia dėmesį į tai, kad šiame punkte nenurodyta, ar delspinigiai skaičiuojami nuo neatliktų darbų vertės </w:t>
      </w:r>
      <w:r w:rsidRPr="000677DD">
        <w:rPr>
          <w:rFonts w:ascii="Calibri" w:hAnsi="Calibri" w:cs="Calibri"/>
          <w:b/>
          <w:bCs/>
          <w:sz w:val="24"/>
          <w:szCs w:val="24"/>
          <w:lang w:val="lt-LT"/>
        </w:rPr>
        <w:t>su PVM ar be PVM</w:t>
      </w:r>
      <w:r w:rsidRPr="000677DD">
        <w:rPr>
          <w:rFonts w:ascii="Calibri" w:hAnsi="Calibri" w:cs="Calibri"/>
          <w:sz w:val="24"/>
          <w:szCs w:val="24"/>
          <w:lang w:val="lt-LT"/>
        </w:rPr>
        <w:t>. Atsižvelgiant į nurodytą, Tarnyba rekomenduoja tikslinti Sutarties projekto 10.22 punkto informaciją.</w:t>
      </w:r>
    </w:p>
    <w:p w14:paraId="00E36C06" w14:textId="77777777" w:rsidR="00FE0C69" w:rsidRPr="000677DD" w:rsidRDefault="00FE0C69" w:rsidP="00FE0C69">
      <w:pPr>
        <w:autoSpaceDN w:val="0"/>
        <w:spacing w:after="0" w:line="276" w:lineRule="auto"/>
        <w:ind w:firstLine="720"/>
        <w:rPr>
          <w:rFonts w:ascii="Calibri" w:hAnsi="Calibri" w:cs="Calibri"/>
          <w:sz w:val="24"/>
          <w:szCs w:val="24"/>
          <w:lang w:val="lt-LT"/>
        </w:rPr>
      </w:pPr>
      <w:r w:rsidRPr="000677DD">
        <w:rPr>
          <w:rFonts w:ascii="Calibri" w:hAnsi="Calibri" w:cs="Calibri"/>
          <w:b/>
          <w:bCs/>
          <w:sz w:val="24"/>
          <w:szCs w:val="24"/>
          <w:lang w:val="lt-LT"/>
        </w:rPr>
        <w:t>4.2.</w:t>
      </w:r>
      <w:r w:rsidRPr="000677DD">
        <w:rPr>
          <w:rFonts w:ascii="Calibri" w:hAnsi="Calibri" w:cs="Calibri"/>
          <w:sz w:val="24"/>
          <w:szCs w:val="24"/>
          <w:lang w:val="lt-LT"/>
        </w:rPr>
        <w:t xml:space="preserve"> Tarnyba rekomenduoja tikslinti Sutarties Bendrųjų sąlygų 10 skyriaus „Darbų kaina ir mokėjimai“ numeraciją.</w:t>
      </w:r>
    </w:p>
    <w:p w14:paraId="42EE5304" w14:textId="75A9BAF4" w:rsidR="00A0134C" w:rsidRPr="00FE0C69" w:rsidRDefault="00FE0C69" w:rsidP="00FE0C69">
      <w:pPr>
        <w:spacing w:line="276" w:lineRule="auto"/>
        <w:ind w:firstLine="720"/>
        <w:rPr>
          <w:lang w:val="lt-LT"/>
        </w:rPr>
      </w:pPr>
      <w:r w:rsidRPr="000677DD">
        <w:rPr>
          <w:rFonts w:ascii="Calibri" w:hAnsi="Calibri" w:cs="Calibri"/>
          <w:sz w:val="24"/>
          <w:szCs w:val="24"/>
          <w:lang w:val="lt-LT"/>
        </w:rPr>
        <w:t xml:space="preserve">Atsižvelgdama į tai, kas nurodyta, Tarnyba rekomenduoja pakartotinai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w:t>
      </w:r>
      <w:r w:rsidRPr="000677DD">
        <w:rPr>
          <w:rFonts w:ascii="Calibri" w:hAnsi="Calibri" w:cs="Calibri"/>
          <w:sz w:val="24"/>
          <w:szCs w:val="24"/>
          <w:lang w:val="lt-LT"/>
        </w:rPr>
        <w:lastRenderedPageBreak/>
        <w:t>pateikimo terminą protingam laikotarpiui, per kurį potencialūs tiekėjai galėtų susipažinti su patikslintais ir pakeistais Pirkimo dokumentais. Pažymėtina, kad visais atvejais sprendimą dėl tolimesnio Pirkimo procedūrų vykdymo ar nutraukimo priima pati Perkančioji organizacija, vadovaudamasi Įstatymo 29 straipsnio 3</w:t>
      </w:r>
      <w:r w:rsidRPr="000677DD">
        <w:rPr>
          <w:rFonts w:ascii="Calibri" w:hAnsi="Calibri" w:cs="Calibri"/>
          <w:sz w:val="24"/>
          <w:szCs w:val="24"/>
          <w:vertAlign w:val="superscript"/>
        </w:rPr>
        <w:footnoteReference w:id="2"/>
      </w:r>
      <w:r w:rsidRPr="000677DD">
        <w:rPr>
          <w:rFonts w:ascii="Calibri" w:hAnsi="Calibri" w:cs="Calibri"/>
          <w:sz w:val="24"/>
          <w:szCs w:val="24"/>
          <w:lang w:val="lt-LT"/>
        </w:rPr>
        <w:t xml:space="preserve"> ir 4</w:t>
      </w:r>
      <w:r w:rsidRPr="000677DD">
        <w:rPr>
          <w:rFonts w:ascii="Calibri" w:hAnsi="Calibri" w:cs="Calibri"/>
          <w:sz w:val="24"/>
          <w:szCs w:val="24"/>
          <w:vertAlign w:val="superscript"/>
        </w:rPr>
        <w:footnoteReference w:id="3"/>
      </w:r>
      <w:r w:rsidRPr="000677DD">
        <w:rPr>
          <w:rFonts w:ascii="Calibri" w:hAnsi="Calibri" w:cs="Calibri"/>
          <w:sz w:val="24"/>
          <w:szCs w:val="24"/>
          <w:lang w:val="lt-LT"/>
        </w:rPr>
        <w:t xml:space="preserve"> dalių nuostatomis.</w:t>
      </w:r>
    </w:p>
    <w:sectPr w:rsidR="00A0134C" w:rsidRPr="00FE0C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8273E" w14:textId="77777777" w:rsidR="00FE0C69" w:rsidRDefault="00FE0C69" w:rsidP="00FE0C69">
      <w:pPr>
        <w:spacing w:after="0" w:line="240" w:lineRule="auto"/>
      </w:pPr>
      <w:r>
        <w:separator/>
      </w:r>
    </w:p>
  </w:endnote>
  <w:endnote w:type="continuationSeparator" w:id="0">
    <w:p w14:paraId="4F6B498F" w14:textId="77777777" w:rsidR="00FE0C69" w:rsidRDefault="00FE0C69" w:rsidP="00FE0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B3C17" w14:textId="77777777" w:rsidR="00FE0C69" w:rsidRDefault="00FE0C69" w:rsidP="00FE0C69">
      <w:pPr>
        <w:spacing w:after="0" w:line="240" w:lineRule="auto"/>
      </w:pPr>
      <w:r>
        <w:separator/>
      </w:r>
    </w:p>
  </w:footnote>
  <w:footnote w:type="continuationSeparator" w:id="0">
    <w:p w14:paraId="6C906FB5" w14:textId="77777777" w:rsidR="00FE0C69" w:rsidRDefault="00FE0C69" w:rsidP="00FE0C69">
      <w:pPr>
        <w:spacing w:after="0" w:line="240" w:lineRule="auto"/>
      </w:pPr>
      <w:r>
        <w:continuationSeparator/>
      </w:r>
    </w:p>
  </w:footnote>
  <w:footnote w:id="1">
    <w:p w14:paraId="718B151B" w14:textId="77777777" w:rsidR="00FE0C69" w:rsidRPr="00E35ED4" w:rsidRDefault="00FE0C69" w:rsidP="00FE0C69">
      <w:pPr>
        <w:pStyle w:val="FootnoteText"/>
        <w:rPr>
          <w:rFonts w:ascii="Calibri" w:hAnsi="Calibri" w:cs="Calibri"/>
        </w:rPr>
      </w:pPr>
      <w:r w:rsidRPr="00E35ED4">
        <w:rPr>
          <w:rStyle w:val="FootnoteReference"/>
          <w:rFonts w:ascii="Calibri" w:hAnsi="Calibri" w:cs="Calibri"/>
        </w:rPr>
        <w:footnoteRef/>
      </w:r>
      <w:r w:rsidRPr="00E35ED4">
        <w:rPr>
          <w:rFonts w:ascii="Calibri" w:hAnsi="Calibri" w:cs="Calibri"/>
        </w:rPr>
        <w:t xml:space="preserve"> Įstatymo 28 str. </w:t>
      </w:r>
      <w:r w:rsidRPr="00E35ED4">
        <w:rPr>
          <w:rFonts w:ascii="Calibri" w:hAnsi="Calibri" w:cs="Calibri"/>
          <w:color w:val="000000"/>
        </w:rPr>
        <w:t>2 d.: “Perkančioji organizacija, nusprendusi tarptautinio pirkimo ar statinio statybos darbų ir statinio projektavimo paslaugų pirkimo objekto neskaidyti į dalis, sprendimo pagrindimą nurodo pirkimo dokumentuose“.</w:t>
      </w:r>
    </w:p>
  </w:footnote>
  <w:footnote w:id="2">
    <w:p w14:paraId="7FB5A849" w14:textId="77777777" w:rsidR="00FE0C69" w:rsidRPr="001D1289" w:rsidRDefault="00FE0C69" w:rsidP="00FE0C69">
      <w:pPr>
        <w:pStyle w:val="FootnoteText"/>
        <w:jc w:val="both"/>
        <w:rPr>
          <w:rFonts w:ascii="Calibri" w:hAnsi="Calibri" w:cs="Calibri"/>
        </w:rPr>
      </w:pPr>
      <w:r w:rsidRPr="001D1289">
        <w:rPr>
          <w:rStyle w:val="FootnoteReference"/>
          <w:rFonts w:ascii="Calibri" w:hAnsi="Calibri" w:cs="Calibri"/>
        </w:rPr>
        <w:footnoteRef/>
      </w:r>
      <w:r w:rsidRPr="001D1289">
        <w:rPr>
          <w:rFonts w:ascii="Calibri" w:hAnsi="Calibri" w:cs="Calibri"/>
        </w:rPr>
        <w:t xml:space="preserve"> </w:t>
      </w:r>
      <w:r w:rsidRPr="001D1289">
        <w:rPr>
          <w:rFonts w:ascii="Calibri" w:hAnsi="Calibri" w:cs="Calibri"/>
        </w:rPr>
        <w:t>„</w:t>
      </w:r>
      <w:r w:rsidRPr="001D1289">
        <w:rPr>
          <w:rFonts w:ascii="Calibri" w:hAnsi="Calibri" w:cs="Calibri"/>
          <w:bCs/>
          <w:color w:val="000000"/>
        </w:rPr>
        <w:t>Perkančioji</w:t>
      </w:r>
      <w:r w:rsidRPr="001D1289">
        <w:rPr>
          <w:rFonts w:ascii="Calibri" w:hAnsi="Calibri" w:cs="Calibri"/>
          <w:color w:val="000000"/>
        </w:rPr>
        <w:t xml:space="preserve"> organizacija privalo </w:t>
      </w:r>
      <w:r w:rsidRPr="001D1289">
        <w:rPr>
          <w:rFonts w:ascii="Calibri" w:hAnsi="Calibri" w:cs="Calibri"/>
          <w:bCs/>
          <w:color w:val="000000"/>
        </w:rPr>
        <w:t>nutraukti pradėtas pirkimo ar projekto konkurso procedūras</w:t>
      </w:r>
      <w:r w:rsidRPr="001D1289">
        <w:rPr>
          <w:rFonts w:ascii="Calibri" w:hAnsi="Calibri" w:cs="Calibri"/>
          <w:color w:val="000000"/>
        </w:rPr>
        <w:t>, jeigu buvo pažeisti šio įstatymo 17 straipsnio 1 dalyje nustatyti principai ir atitinkamos padėties negalima ištaisyti.“</w:t>
      </w:r>
    </w:p>
  </w:footnote>
  <w:footnote w:id="3">
    <w:p w14:paraId="770605E8" w14:textId="77777777" w:rsidR="00FE0C69" w:rsidRPr="001D1289" w:rsidRDefault="00FE0C69" w:rsidP="00FE0C69">
      <w:pPr>
        <w:pStyle w:val="FootnoteText"/>
        <w:jc w:val="both"/>
        <w:rPr>
          <w:rFonts w:ascii="Calibri" w:hAnsi="Calibri" w:cs="Calibri"/>
        </w:rPr>
      </w:pPr>
      <w:r w:rsidRPr="001D1289">
        <w:rPr>
          <w:rStyle w:val="FootnoteReference"/>
          <w:rFonts w:ascii="Calibri" w:hAnsi="Calibri" w:cs="Calibri"/>
        </w:rPr>
        <w:footnoteRef/>
      </w:r>
      <w:r w:rsidRPr="001D1289">
        <w:rPr>
          <w:rFonts w:ascii="Calibri" w:hAnsi="Calibri" w:cs="Calibri"/>
        </w:rPr>
        <w:t xml:space="preserve">„ </w:t>
      </w:r>
      <w:r w:rsidRPr="001D1289">
        <w:rPr>
          <w:rFonts w:ascii="Calibri" w:hAnsi="Calibri" w:cs="Calibri"/>
          <w:bCs/>
          <w:color w:val="00000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4E43"/>
    <w:multiLevelType w:val="multilevel"/>
    <w:tmpl w:val="43F22F00"/>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7A55525F"/>
    <w:multiLevelType w:val="multilevel"/>
    <w:tmpl w:val="FCFAD16C"/>
    <w:lvl w:ilvl="0">
      <w:start w:val="1"/>
      <w:numFmt w:val="decimal"/>
      <w:lvlText w:val="%1."/>
      <w:lvlJc w:val="left"/>
      <w:pPr>
        <w:tabs>
          <w:tab w:val="num" w:pos="360"/>
        </w:tabs>
        <w:ind w:left="360" w:hanging="360"/>
      </w:pPr>
      <w:rPr>
        <w:rFonts w:ascii="Calibri" w:hAnsi="Calibri" w:cs="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83259554">
    <w:abstractNumId w:val="1"/>
  </w:num>
  <w:num w:numId="2" w16cid:durableId="204637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69"/>
    <w:rsid w:val="00810D83"/>
    <w:rsid w:val="00A0134C"/>
    <w:rsid w:val="00FE0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20D4E"/>
  <w15:chartTrackingRefBased/>
  <w15:docId w15:val="{4F120019-0F6C-4AD5-AE6D-82EBEA41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69"/>
  </w:style>
  <w:style w:type="paragraph" w:styleId="Heading1">
    <w:name w:val="heading 1"/>
    <w:basedOn w:val="Normal"/>
    <w:next w:val="Normal"/>
    <w:link w:val="Heading1Char"/>
    <w:uiPriority w:val="9"/>
    <w:qFormat/>
    <w:rsid w:val="00FE0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C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C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C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C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C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C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C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C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C69"/>
    <w:rPr>
      <w:rFonts w:eastAsiaTheme="majorEastAsia" w:cstheme="majorBidi"/>
      <w:color w:val="272727" w:themeColor="text1" w:themeTint="D8"/>
    </w:rPr>
  </w:style>
  <w:style w:type="paragraph" w:styleId="Title">
    <w:name w:val="Title"/>
    <w:basedOn w:val="Normal"/>
    <w:next w:val="Normal"/>
    <w:link w:val="TitleChar"/>
    <w:uiPriority w:val="10"/>
    <w:qFormat/>
    <w:rsid w:val="00FE0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C69"/>
    <w:pPr>
      <w:spacing w:before="160"/>
      <w:jc w:val="center"/>
    </w:pPr>
    <w:rPr>
      <w:i/>
      <w:iCs/>
      <w:color w:val="404040" w:themeColor="text1" w:themeTint="BF"/>
    </w:rPr>
  </w:style>
  <w:style w:type="character" w:customStyle="1" w:styleId="QuoteChar">
    <w:name w:val="Quote Char"/>
    <w:basedOn w:val="DefaultParagraphFont"/>
    <w:link w:val="Quote"/>
    <w:uiPriority w:val="29"/>
    <w:rsid w:val="00FE0C6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FE0C69"/>
    <w:pPr>
      <w:ind w:left="720"/>
      <w:contextualSpacing/>
    </w:pPr>
  </w:style>
  <w:style w:type="character" w:styleId="IntenseEmphasis">
    <w:name w:val="Intense Emphasis"/>
    <w:basedOn w:val="DefaultParagraphFont"/>
    <w:uiPriority w:val="21"/>
    <w:qFormat/>
    <w:rsid w:val="00FE0C69"/>
    <w:rPr>
      <w:i/>
      <w:iCs/>
      <w:color w:val="0F4761" w:themeColor="accent1" w:themeShade="BF"/>
    </w:rPr>
  </w:style>
  <w:style w:type="paragraph" w:styleId="IntenseQuote">
    <w:name w:val="Intense Quote"/>
    <w:basedOn w:val="Normal"/>
    <w:next w:val="Normal"/>
    <w:link w:val="IntenseQuoteChar"/>
    <w:uiPriority w:val="30"/>
    <w:qFormat/>
    <w:rsid w:val="00FE0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C69"/>
    <w:rPr>
      <w:i/>
      <w:iCs/>
      <w:color w:val="0F4761" w:themeColor="accent1" w:themeShade="BF"/>
    </w:rPr>
  </w:style>
  <w:style w:type="character" w:styleId="IntenseReference">
    <w:name w:val="Intense Reference"/>
    <w:basedOn w:val="DefaultParagraphFont"/>
    <w:uiPriority w:val="32"/>
    <w:qFormat/>
    <w:rsid w:val="00FE0C69"/>
    <w:rPr>
      <w:b/>
      <w:bCs/>
      <w:smallCaps/>
      <w:color w:val="0F4761" w:themeColor="accent1" w:themeShade="BF"/>
      <w:spacing w:val="5"/>
    </w:rPr>
  </w:style>
  <w:style w:type="paragraph" w:customStyle="1" w:styleId="paragraph">
    <w:name w:val="paragraph"/>
    <w:basedOn w:val="Normal"/>
    <w:rsid w:val="00FE0C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E0C6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FE0C69"/>
  </w:style>
  <w:style w:type="character" w:styleId="Hyperlink">
    <w:name w:val="Hyperlink"/>
    <w:basedOn w:val="DefaultParagraphFont"/>
    <w:uiPriority w:val="99"/>
    <w:unhideWhenUsed/>
    <w:rsid w:val="00FE0C69"/>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FE0C69"/>
    <w:pPr>
      <w:spacing w:after="0" w:line="240" w:lineRule="auto"/>
    </w:pPr>
    <w:rPr>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FE0C69"/>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FE0C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0118315/18940/Prane%C5%A1imas_apie_pakeitimus_2025_02_21.pptx" TargetMode="External"/><Relationship Id="rId3" Type="http://schemas.openxmlformats.org/officeDocument/2006/relationships/settings" Target="settings.xml"/><Relationship Id="rId7" Type="http://schemas.openxmlformats.org/officeDocument/2006/relationships/hyperlink" Target="https://vpt.lrv.lt/public/canonical/1740118647/18941/Skelbimas_apie_pirkim%C4%85_2025_02_21.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public/canonical/1740118647/18941/Skelbimas_apie_pirkim%C4%85_2025_02_21.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5387</Characters>
  <Application>Microsoft Office Word</Application>
  <DocSecurity>0</DocSecurity>
  <Lines>44</Lines>
  <Paragraphs>12</Paragraphs>
  <ScaleCrop>false</ScaleCrop>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2025-03-07T08:28:00Z</dcterms:created>
  <dcterms:modified xsi:type="dcterms:W3CDTF">2025-03-07T08:29:00Z</dcterms:modified>
</cp:coreProperties>
</file>