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4303" w14:textId="7E19B26E" w:rsidR="009F391D" w:rsidRPr="00495FE7" w:rsidRDefault="009F391D" w:rsidP="002221FD">
      <w:pPr>
        <w:pStyle w:val="paragraph"/>
        <w:spacing w:before="0" w:beforeAutospacing="0" w:after="0" w:afterAutospacing="0" w:line="276" w:lineRule="auto"/>
        <w:textAlignment w:val="baseline"/>
        <w:rPr>
          <w:rFonts w:ascii="Calibri" w:hAnsi="Calibri" w:cs="Calibri"/>
          <w:lang w:val="lt-LT"/>
        </w:rPr>
      </w:pPr>
      <w:r w:rsidRPr="00495FE7">
        <w:rPr>
          <w:rStyle w:val="normaltextrun"/>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394ACB2" w14:textId="089A45F9" w:rsidR="009F391D" w:rsidRPr="00495FE7" w:rsidRDefault="009F391D" w:rsidP="00DA5C9F">
      <w:pPr>
        <w:pStyle w:val="paragraph"/>
        <w:spacing w:before="0" w:beforeAutospacing="0" w:after="0" w:afterAutospacing="0" w:line="276" w:lineRule="auto"/>
        <w:textAlignment w:val="baseline"/>
        <w:rPr>
          <w:rFonts w:ascii="Calibri" w:hAnsi="Calibri" w:cs="Calibri"/>
          <w:lang w:val="lt-LT"/>
        </w:rPr>
      </w:pPr>
      <w:r w:rsidRPr="00495FE7">
        <w:rPr>
          <w:rStyle w:val="normaltextrun"/>
          <w:rFonts w:ascii="Calibri" w:hAnsi="Calibri" w:cs="Calibri"/>
          <w:lang w:val="lt-LT"/>
        </w:rPr>
        <w:t xml:space="preserve">Vadovaujantis Tarnybai Įstatyme nustatyta pažeidimų prevencijos funkcija, šiuo metu atliekama </w:t>
      </w:r>
      <w:r w:rsidR="00CD284F" w:rsidRPr="00495FE7">
        <w:rPr>
          <w:rStyle w:val="normaltextrun"/>
          <w:rFonts w:ascii="Calibri" w:hAnsi="Calibri" w:cs="Calibri"/>
          <w:lang w:val="lt-LT"/>
        </w:rPr>
        <w:t xml:space="preserve">Kauno miesto savivaldybės administracijos </w:t>
      </w:r>
      <w:r w:rsidRPr="00495FE7">
        <w:rPr>
          <w:rStyle w:val="normaltextrun"/>
          <w:rFonts w:ascii="Calibri" w:hAnsi="Calibri" w:cs="Calibri"/>
          <w:lang w:val="lt-LT"/>
        </w:rPr>
        <w:t>(toliau – Perkančioji organizacija) vykdom</w:t>
      </w:r>
      <w:r w:rsidR="001413E6" w:rsidRPr="00495FE7">
        <w:rPr>
          <w:rStyle w:val="normaltextrun"/>
          <w:rFonts w:ascii="Calibri" w:hAnsi="Calibri" w:cs="Calibri"/>
          <w:lang w:val="lt-LT"/>
        </w:rPr>
        <w:t>ų</w:t>
      </w:r>
      <w:r w:rsidRPr="00495FE7">
        <w:rPr>
          <w:rStyle w:val="normaltextrun"/>
          <w:rFonts w:ascii="Calibri" w:hAnsi="Calibri" w:cs="Calibri"/>
          <w:lang w:val="lt-LT"/>
        </w:rPr>
        <w:t xml:space="preserve"> pirkim</w:t>
      </w:r>
      <w:r w:rsidR="001413E6" w:rsidRPr="00495FE7">
        <w:rPr>
          <w:rStyle w:val="normaltextrun"/>
          <w:rFonts w:ascii="Calibri" w:hAnsi="Calibri" w:cs="Calibri"/>
          <w:lang w:val="lt-LT"/>
        </w:rPr>
        <w:t>ų:</w:t>
      </w:r>
      <w:r w:rsidRPr="00495FE7">
        <w:rPr>
          <w:rStyle w:val="normaltextrun"/>
          <w:rFonts w:ascii="Calibri" w:hAnsi="Calibri" w:cs="Calibri"/>
          <w:lang w:val="lt-LT"/>
        </w:rPr>
        <w:t xml:space="preserve"> </w:t>
      </w:r>
      <w:r w:rsidRPr="00495FE7">
        <w:rPr>
          <w:rStyle w:val="normaltextrun"/>
          <w:rFonts w:ascii="Calibri" w:hAnsi="Calibri" w:cs="Calibri"/>
          <w:b/>
          <w:bCs/>
          <w:lang w:val="lt-LT"/>
        </w:rPr>
        <w:t>Nr.</w:t>
      </w:r>
      <w:r w:rsidRPr="00495FE7">
        <w:rPr>
          <w:rStyle w:val="normaltextrun"/>
          <w:rFonts w:ascii="Calibri" w:hAnsi="Calibri" w:cs="Calibri"/>
          <w:lang w:val="lt-LT"/>
        </w:rPr>
        <w:t xml:space="preserve"> </w:t>
      </w:r>
      <w:r w:rsidR="000A52F6" w:rsidRPr="00495FE7">
        <w:rPr>
          <w:rStyle w:val="normaltextrun"/>
          <w:rFonts w:ascii="Calibri" w:hAnsi="Calibri" w:cs="Calibri"/>
          <w:b/>
          <w:bCs/>
          <w:lang w:val="lt-LT"/>
        </w:rPr>
        <w:t>1203681</w:t>
      </w:r>
      <w:r w:rsidRPr="00495FE7">
        <w:rPr>
          <w:rStyle w:val="normaltextrun"/>
          <w:rFonts w:ascii="Calibri" w:hAnsi="Calibri" w:cs="Calibri"/>
          <w:b/>
          <w:bCs/>
          <w:lang w:val="lt-LT"/>
        </w:rPr>
        <w:t xml:space="preserve"> „</w:t>
      </w:r>
      <w:r w:rsidR="004E0219" w:rsidRPr="00495FE7">
        <w:rPr>
          <w:rStyle w:val="normaltextrun"/>
          <w:rFonts w:ascii="Calibri" w:hAnsi="Calibri" w:cs="Calibri"/>
          <w:b/>
          <w:bCs/>
          <w:lang w:val="lt-LT"/>
        </w:rPr>
        <w:t>Pastato Perkūno al. 4B, Kaune, kapitalinio remonto ir tvarkybos darbų pirkimas</w:t>
      </w:r>
      <w:r w:rsidRPr="00495FE7">
        <w:rPr>
          <w:rStyle w:val="normaltextrun"/>
          <w:rFonts w:ascii="Calibri" w:hAnsi="Calibri" w:cs="Calibri"/>
          <w:b/>
          <w:bCs/>
          <w:lang w:val="lt-LT"/>
        </w:rPr>
        <w:t>“</w:t>
      </w:r>
      <w:r w:rsidRPr="00495FE7">
        <w:rPr>
          <w:rStyle w:val="normaltextrun"/>
          <w:rFonts w:ascii="Calibri" w:hAnsi="Calibri" w:cs="Calibri"/>
          <w:lang w:val="lt-LT"/>
        </w:rPr>
        <w:t xml:space="preserve"> (toliau – 1 Pirkimas) ir pirkimo </w:t>
      </w:r>
      <w:r w:rsidRPr="00495FE7">
        <w:rPr>
          <w:rStyle w:val="normaltextrun"/>
          <w:rFonts w:ascii="Calibri" w:hAnsi="Calibri" w:cs="Calibri"/>
          <w:b/>
          <w:bCs/>
          <w:lang w:val="lt-LT"/>
        </w:rPr>
        <w:t>Nr.</w:t>
      </w:r>
      <w:r w:rsidRPr="00495FE7">
        <w:rPr>
          <w:rStyle w:val="normaltextrun"/>
          <w:rFonts w:ascii="Calibri" w:hAnsi="Calibri" w:cs="Calibri"/>
          <w:lang w:val="lt-LT"/>
        </w:rPr>
        <w:t xml:space="preserve"> </w:t>
      </w:r>
      <w:r w:rsidR="004E0219" w:rsidRPr="00495FE7">
        <w:rPr>
          <w:rStyle w:val="normaltextrun"/>
          <w:rFonts w:ascii="Calibri" w:hAnsi="Calibri" w:cs="Calibri"/>
          <w:b/>
          <w:bCs/>
          <w:lang w:val="lt-LT"/>
        </w:rPr>
        <w:t>1200137</w:t>
      </w:r>
      <w:r w:rsidR="00550E02" w:rsidRPr="00495FE7">
        <w:rPr>
          <w:rStyle w:val="normaltextrun"/>
          <w:rFonts w:ascii="Calibri" w:hAnsi="Calibri" w:cs="Calibri"/>
          <w:b/>
          <w:bCs/>
          <w:lang w:val="lt-LT"/>
        </w:rPr>
        <w:t xml:space="preserve"> </w:t>
      </w:r>
      <w:r w:rsidRPr="00495FE7">
        <w:rPr>
          <w:rStyle w:val="normaltextrun"/>
          <w:rFonts w:ascii="Calibri" w:hAnsi="Calibri" w:cs="Calibri"/>
          <w:b/>
          <w:bCs/>
          <w:lang w:val="lt-LT"/>
        </w:rPr>
        <w:t>„</w:t>
      </w:r>
      <w:r w:rsidR="00CD284F" w:rsidRPr="00495FE7">
        <w:rPr>
          <w:rStyle w:val="normaltextrun"/>
          <w:rFonts w:ascii="Calibri" w:hAnsi="Calibri" w:cs="Calibri"/>
          <w:b/>
          <w:bCs/>
          <w:lang w:val="lt-LT"/>
        </w:rPr>
        <w:t>Kauno miesto savivaldybės pastato Laisvės al. 96, Kaune, 1-ojo aukšto patalpų (fojė), lifto atkūrimo tvarkomųjų statybos darbų, paprastojo remonto ir tvarkybos darbų pirkimas</w:t>
      </w:r>
      <w:r w:rsidRPr="00495FE7">
        <w:rPr>
          <w:rStyle w:val="normaltextrun"/>
          <w:rFonts w:ascii="Calibri" w:hAnsi="Calibri" w:cs="Calibri"/>
          <w:b/>
          <w:bCs/>
          <w:lang w:val="lt-LT"/>
        </w:rPr>
        <w:t>“</w:t>
      </w:r>
      <w:r w:rsidRPr="00495FE7">
        <w:rPr>
          <w:rStyle w:val="normaltextrun"/>
          <w:rFonts w:ascii="Calibri" w:hAnsi="Calibri" w:cs="Calibri"/>
          <w:lang w:val="lt-LT"/>
        </w:rPr>
        <w:t xml:space="preserve"> (toliau – 2 Pirkimas) </w:t>
      </w:r>
      <w:r w:rsidR="00550E02" w:rsidRPr="00495FE7">
        <w:rPr>
          <w:rStyle w:val="normaltextrun"/>
          <w:rFonts w:ascii="Calibri" w:hAnsi="Calibri" w:cs="Calibri"/>
          <w:lang w:val="lt-LT"/>
        </w:rPr>
        <w:t xml:space="preserve">(toliau abu kartu – Pirkimai) </w:t>
      </w:r>
      <w:r w:rsidRPr="00495FE7">
        <w:rPr>
          <w:rStyle w:val="normaltextrun"/>
          <w:rFonts w:ascii="Calibri" w:hAnsi="Calibri" w:cs="Calibri"/>
          <w:lang w:val="lt-LT"/>
        </w:rPr>
        <w:t>dokumentų atitikties Įstatymui ir su jo įgyvendinimu susijusiems teisės aktams peržiūra (peržiūra prevenciniais tikslais atliekama tam tikra apimtimi).</w:t>
      </w:r>
    </w:p>
    <w:p w14:paraId="5FF25190" w14:textId="77777777" w:rsidR="000730AE" w:rsidRPr="00495FE7" w:rsidRDefault="000730AE" w:rsidP="000730AE">
      <w:pPr>
        <w:pBdr>
          <w:top w:val="none" w:sz="0" w:space="0" w:color="auto"/>
          <w:left w:val="none" w:sz="0" w:space="0" w:color="auto"/>
          <w:bottom w:val="none" w:sz="0" w:space="0" w:color="auto"/>
          <w:right w:val="none" w:sz="0" w:space="0" w:color="auto"/>
        </w:pBdr>
        <w:spacing w:line="276" w:lineRule="auto"/>
        <w:jc w:val="left"/>
        <w:rPr>
          <w:rFonts w:ascii="Calibri" w:eastAsiaTheme="minorHAnsi" w:hAnsi="Calibri" w:cs="Calibri"/>
          <w:sz w:val="24"/>
          <w:szCs w:val="24"/>
          <w:lang w:eastAsia="lt-LT"/>
        </w:rPr>
      </w:pPr>
    </w:p>
    <w:p w14:paraId="2A62B6A0" w14:textId="6E4815D9" w:rsidR="000730AE" w:rsidRPr="00495FE7" w:rsidRDefault="000730AE" w:rsidP="000730AE">
      <w:pPr>
        <w:pBdr>
          <w:top w:val="none" w:sz="0" w:space="0" w:color="auto"/>
          <w:left w:val="none" w:sz="0" w:space="0" w:color="auto"/>
          <w:bottom w:val="none" w:sz="0" w:space="0" w:color="auto"/>
          <w:right w:val="none" w:sz="0" w:space="0" w:color="auto"/>
        </w:pBdr>
        <w:spacing w:line="276" w:lineRule="auto"/>
        <w:jc w:val="left"/>
        <w:rPr>
          <w:rFonts w:ascii="Calibri" w:eastAsiaTheme="minorHAnsi" w:hAnsi="Calibri" w:cs="Calibri"/>
          <w:sz w:val="24"/>
          <w:szCs w:val="24"/>
          <w:lang w:eastAsia="lt-LT"/>
        </w:rPr>
      </w:pPr>
      <w:r w:rsidRPr="00495FE7">
        <w:rPr>
          <w:rFonts w:ascii="Calibri" w:eastAsiaTheme="minorHAnsi" w:hAnsi="Calibri" w:cs="Calibri"/>
          <w:sz w:val="24"/>
          <w:szCs w:val="24"/>
          <w:lang w:eastAsia="lt-LT"/>
        </w:rPr>
        <w:t xml:space="preserve">Tarnyba, prevencine tvarka peržiūrėjusi </w:t>
      </w:r>
      <w:r w:rsidR="003B694C" w:rsidRPr="00495FE7">
        <w:rPr>
          <w:rFonts w:ascii="Calibri" w:eastAsiaTheme="minorHAnsi" w:hAnsi="Calibri" w:cs="Calibri"/>
          <w:sz w:val="24"/>
          <w:szCs w:val="24"/>
          <w:lang w:eastAsia="lt-LT"/>
        </w:rPr>
        <w:t xml:space="preserve">Pirkimų </w:t>
      </w:r>
      <w:r w:rsidRPr="00495FE7">
        <w:rPr>
          <w:rFonts w:ascii="Calibri" w:eastAsiaTheme="minorHAnsi" w:hAnsi="Calibri" w:cs="Calibri"/>
          <w:sz w:val="24"/>
          <w:szCs w:val="24"/>
          <w:lang w:eastAsia="lt-LT"/>
        </w:rPr>
        <w:t xml:space="preserve">dokumentus ir atsižvelgdama į galiojantį teisinį reglamentavimą, teikia </w:t>
      </w:r>
      <w:r w:rsidR="00B95928" w:rsidRPr="00495FE7">
        <w:rPr>
          <w:rFonts w:ascii="Calibri" w:eastAsiaTheme="minorHAnsi" w:hAnsi="Calibri" w:cs="Calibri"/>
          <w:sz w:val="24"/>
          <w:szCs w:val="24"/>
          <w:lang w:eastAsia="lt-LT"/>
        </w:rPr>
        <w:t>klausim</w:t>
      </w:r>
      <w:r w:rsidR="0062435D" w:rsidRPr="00495FE7">
        <w:rPr>
          <w:rFonts w:ascii="Calibri" w:eastAsiaTheme="minorHAnsi" w:hAnsi="Calibri" w:cs="Calibri"/>
          <w:sz w:val="24"/>
          <w:szCs w:val="24"/>
          <w:lang w:eastAsia="lt-LT"/>
        </w:rPr>
        <w:t>us</w:t>
      </w:r>
      <w:r w:rsidR="00B95928" w:rsidRPr="00495FE7">
        <w:rPr>
          <w:rFonts w:ascii="Calibri" w:eastAsiaTheme="minorHAnsi" w:hAnsi="Calibri" w:cs="Calibri"/>
          <w:sz w:val="24"/>
          <w:szCs w:val="24"/>
          <w:lang w:eastAsia="lt-LT"/>
        </w:rPr>
        <w:t xml:space="preserve"> bei </w:t>
      </w:r>
      <w:r w:rsidRPr="00495FE7">
        <w:rPr>
          <w:rFonts w:ascii="Calibri" w:eastAsiaTheme="minorHAnsi" w:hAnsi="Calibri" w:cs="Calibri"/>
          <w:sz w:val="24"/>
          <w:szCs w:val="24"/>
          <w:lang w:eastAsia="lt-LT"/>
        </w:rPr>
        <w:t>pastabas ir rekomendacijas (toliau – Rekomendacija) dėl Pirkimų dokumentų nuostatų.</w:t>
      </w:r>
    </w:p>
    <w:p w14:paraId="0577A0A0" w14:textId="77777777" w:rsidR="000068CA" w:rsidRPr="00495FE7" w:rsidRDefault="000068CA" w:rsidP="00DA5C9F">
      <w:pPr>
        <w:pStyle w:val="paragraph"/>
        <w:spacing w:before="0" w:beforeAutospacing="0" w:after="0" w:afterAutospacing="0" w:line="276" w:lineRule="auto"/>
        <w:textAlignment w:val="baseline"/>
        <w:rPr>
          <w:rFonts w:ascii="Calibri" w:hAnsi="Calibri" w:cs="Calibri"/>
          <w:b/>
          <w:bCs/>
          <w:lang w:val="lt-LT" w:eastAsia="lt-LT"/>
        </w:rPr>
      </w:pPr>
    </w:p>
    <w:p w14:paraId="632C0171" w14:textId="56580A7A" w:rsidR="00550E02" w:rsidRPr="00495FE7" w:rsidRDefault="000068CA" w:rsidP="008144A6">
      <w:pPr>
        <w:pStyle w:val="paragraph"/>
        <w:numPr>
          <w:ilvl w:val="0"/>
          <w:numId w:val="12"/>
        </w:numPr>
        <w:tabs>
          <w:tab w:val="left" w:pos="567"/>
        </w:tabs>
        <w:spacing w:before="0" w:beforeAutospacing="0" w:after="0" w:afterAutospacing="0" w:line="276" w:lineRule="auto"/>
        <w:ind w:left="0" w:firstLine="0"/>
        <w:textAlignment w:val="baseline"/>
        <w:rPr>
          <w:rFonts w:ascii="Calibri" w:hAnsi="Calibri" w:cs="Calibri"/>
          <w:b/>
          <w:bCs/>
          <w:lang w:val="lt-LT" w:eastAsia="lt-LT"/>
        </w:rPr>
      </w:pPr>
      <w:r w:rsidRPr="00495FE7">
        <w:rPr>
          <w:rFonts w:ascii="Calibri" w:hAnsi="Calibri" w:cs="Calibri"/>
          <w:b/>
          <w:bCs/>
          <w:lang w:val="lt-LT" w:eastAsia="lt-LT"/>
        </w:rPr>
        <w:t>Dėl Pirkim</w:t>
      </w:r>
      <w:r w:rsidR="00BB7041" w:rsidRPr="00495FE7">
        <w:rPr>
          <w:rFonts w:ascii="Calibri" w:hAnsi="Calibri" w:cs="Calibri"/>
          <w:b/>
          <w:bCs/>
          <w:lang w:val="lt-LT" w:eastAsia="lt-LT"/>
        </w:rPr>
        <w:t>uose</w:t>
      </w:r>
      <w:r w:rsidRPr="00495FE7">
        <w:rPr>
          <w:rFonts w:ascii="Calibri" w:hAnsi="Calibri" w:cs="Calibri"/>
          <w:b/>
          <w:bCs/>
          <w:lang w:val="lt-LT" w:eastAsia="lt-LT"/>
        </w:rPr>
        <w:t xml:space="preserve"> </w:t>
      </w:r>
      <w:r w:rsidR="00BB7041" w:rsidRPr="00495FE7">
        <w:rPr>
          <w:rFonts w:ascii="Calibri" w:hAnsi="Calibri" w:cs="Calibri"/>
          <w:b/>
          <w:bCs/>
          <w:lang w:val="lt-LT" w:eastAsia="lt-LT"/>
        </w:rPr>
        <w:t>nustatytų kvalifikacijos reikalavimų</w:t>
      </w:r>
    </w:p>
    <w:p w14:paraId="7B1202A3" w14:textId="14ECB8E6" w:rsidR="00082654" w:rsidRPr="00495FE7" w:rsidRDefault="001B3EE6" w:rsidP="008144A6">
      <w:pPr>
        <w:pStyle w:val="paragraph"/>
        <w:numPr>
          <w:ilvl w:val="1"/>
          <w:numId w:val="12"/>
        </w:numPr>
        <w:tabs>
          <w:tab w:val="left" w:pos="567"/>
        </w:tabs>
        <w:spacing w:before="0" w:beforeAutospacing="0" w:after="0" w:afterAutospacing="0" w:line="276" w:lineRule="auto"/>
        <w:ind w:left="0" w:firstLine="0"/>
        <w:textAlignment w:val="baseline"/>
        <w:rPr>
          <w:rFonts w:ascii="Calibri" w:hAnsi="Calibri" w:cs="Calibri"/>
          <w:kern w:val="2"/>
          <w:lang w:val="lt-LT"/>
          <w14:ligatures w14:val="standardContextual"/>
        </w:rPr>
      </w:pPr>
      <w:r w:rsidRPr="00495FE7">
        <w:rPr>
          <w:rFonts w:ascii="Calibri" w:hAnsi="Calibri" w:cs="Calibri"/>
          <w:spacing w:val="2"/>
          <w:kern w:val="2"/>
          <w:shd w:val="clear" w:color="auto" w:fill="FFFFFF"/>
          <w:lang w:val="lt-LT"/>
          <w14:ligatures w14:val="standardContextual"/>
        </w:rPr>
        <w:t xml:space="preserve">Įstatymo 47 straipsnyje įtvirtinta perkančiųjų organizacijų pareiga įsitikinti </w:t>
      </w:r>
      <w:r w:rsidRPr="00495FE7">
        <w:rPr>
          <w:rFonts w:ascii="Calibri" w:hAnsi="Calibri" w:cs="Calibri"/>
          <w:b/>
          <w:bCs/>
          <w:spacing w:val="2"/>
          <w:kern w:val="2"/>
          <w:shd w:val="clear" w:color="auto" w:fill="FFFFFF"/>
          <w:lang w:val="lt-LT"/>
          <w14:ligatures w14:val="standardContextual"/>
        </w:rPr>
        <w:t xml:space="preserve">tinkama tiekėjų kvalifikacija, </w:t>
      </w:r>
      <w:r w:rsidRPr="00495FE7">
        <w:rPr>
          <w:rFonts w:ascii="Calibri" w:hAnsi="Calibri" w:cs="Calibri"/>
          <w:spacing w:val="2"/>
          <w:kern w:val="2"/>
          <w:shd w:val="clear" w:color="auto" w:fill="FFFFFF"/>
          <w:lang w:val="lt-LT"/>
          <w14:ligatures w14:val="standardContextual"/>
        </w:rPr>
        <w:t xml:space="preserve">t. y. „Perkančioji organizacija privalo išsiaiškinti, ar tiekėjas yra kompetentingas, patikimas ir pajėgus įvykdyti pirkimo sąlygas, todėl ji turi teisę skelbime apie pirkimą ar kituose pirkimo dokumentuose nustatyti </w:t>
      </w:r>
      <w:r w:rsidRPr="00495FE7">
        <w:rPr>
          <w:rFonts w:ascii="Calibri" w:hAnsi="Calibri" w:cs="Calibri"/>
          <w:b/>
          <w:bCs/>
          <w:spacing w:val="2"/>
          <w:kern w:val="2"/>
          <w:shd w:val="clear" w:color="auto" w:fill="FFFFFF"/>
          <w:lang w:val="lt-LT"/>
          <w14:ligatures w14:val="standardContextual"/>
        </w:rPr>
        <w:t>būtinus</w:t>
      </w:r>
      <w:r w:rsidRPr="00495FE7">
        <w:rPr>
          <w:rFonts w:ascii="Calibri" w:hAnsi="Calibri" w:cs="Calibri"/>
          <w:spacing w:val="2"/>
          <w:kern w:val="2"/>
          <w:shd w:val="clear" w:color="auto" w:fill="FFFFFF"/>
          <w:lang w:val="lt-LT"/>
          <w14:ligatures w14:val="standardContextual"/>
        </w:rPr>
        <w:t xml:space="preserve"> kandidatų ar dalyvių </w:t>
      </w:r>
      <w:r w:rsidRPr="00495FE7">
        <w:rPr>
          <w:rFonts w:ascii="Calibri" w:hAnsi="Calibri" w:cs="Calibri"/>
          <w:b/>
          <w:bCs/>
          <w:spacing w:val="2"/>
          <w:kern w:val="2"/>
          <w:shd w:val="clear" w:color="auto" w:fill="FFFFFF"/>
          <w:lang w:val="lt-LT"/>
          <w14:ligatures w14:val="standardContextual"/>
        </w:rPr>
        <w:t>kvalifikacijos reikalavimus</w:t>
      </w:r>
      <w:r w:rsidRPr="00495FE7">
        <w:rPr>
          <w:rFonts w:ascii="Calibri" w:hAnsi="Calibri" w:cs="Calibri"/>
          <w:spacing w:val="2"/>
          <w:kern w:val="2"/>
          <w:shd w:val="clear" w:color="auto" w:fill="FFFFFF"/>
          <w:lang w:val="lt-LT"/>
          <w14:ligatures w14:val="standardContextual"/>
        </w:rPr>
        <w:t xml:space="preserve"> ir šių reikalavimų atitiktį patvirtinančius dokumentus ar informaciją.</w:t>
      </w:r>
      <w:r w:rsidRPr="00495FE7">
        <w:rPr>
          <w:rFonts w:ascii="Calibri" w:hAnsi="Calibri" w:cs="Calibri"/>
          <w:kern w:val="2"/>
          <w:lang w:val="lt-LT"/>
          <w14:ligatures w14:val="standardContextual"/>
        </w:rPr>
        <w:t xml:space="preserve"> </w:t>
      </w:r>
      <w:r w:rsidRPr="00495FE7">
        <w:rPr>
          <w:rFonts w:ascii="Calibri" w:hAnsi="Calibri" w:cs="Calibri"/>
          <w:spacing w:val="2"/>
          <w:kern w:val="2"/>
          <w:shd w:val="clear" w:color="auto" w:fill="FFFFFF"/>
          <w:lang w:val="lt-LT"/>
          <w14:ligatures w14:val="standardContextual"/>
        </w:rPr>
        <w:t xml:space="preserve">Perkančiosios organizacijos nustatyti kandidatų ar dalyvių </w:t>
      </w:r>
      <w:r w:rsidRPr="00495FE7">
        <w:rPr>
          <w:rFonts w:ascii="Calibri" w:hAnsi="Calibri" w:cs="Calibri"/>
          <w:b/>
          <w:bCs/>
          <w:spacing w:val="2"/>
          <w:kern w:val="2"/>
          <w:shd w:val="clear" w:color="auto" w:fill="FFFFFF"/>
          <w:lang w:val="lt-LT"/>
          <w14:ligatures w14:val="standardContextual"/>
        </w:rPr>
        <w:t>kvalifikacijos reikalavimai</w:t>
      </w:r>
      <w:r w:rsidRPr="00495FE7">
        <w:rPr>
          <w:rFonts w:ascii="Calibri" w:hAnsi="Calibri" w:cs="Calibri"/>
          <w:spacing w:val="2"/>
          <w:kern w:val="2"/>
          <w:shd w:val="clear" w:color="auto" w:fill="FFFFFF"/>
          <w:lang w:val="lt-LT"/>
          <w14:ligatures w14:val="standardContextual"/>
        </w:rPr>
        <w:t xml:space="preserve"> negali dirbtinai riboti konkurencijos, turi būti proporcingi ir </w:t>
      </w:r>
      <w:r w:rsidRPr="00495FE7">
        <w:rPr>
          <w:rFonts w:ascii="Calibri" w:hAnsi="Calibri" w:cs="Calibri"/>
          <w:b/>
          <w:bCs/>
          <w:spacing w:val="2"/>
          <w:kern w:val="2"/>
          <w:shd w:val="clear" w:color="auto" w:fill="FFFFFF"/>
          <w:lang w:val="lt-LT"/>
          <w14:ligatures w14:val="standardContextual"/>
        </w:rPr>
        <w:t>susiję su pirkimo objektu, tikslūs ir aiškūs</w:t>
      </w:r>
      <w:r w:rsidRPr="00495FE7">
        <w:rPr>
          <w:rFonts w:ascii="Calibri" w:hAnsi="Calibri" w:cs="Calibri"/>
          <w:spacing w:val="2"/>
          <w:kern w:val="2"/>
          <w:shd w:val="clear" w:color="auto" w:fill="FFFFFF"/>
          <w:lang w:val="lt-LT"/>
          <w14:ligatures w14:val="standardContextual"/>
        </w:rPr>
        <w:t>. &lt;...&gt;“</w:t>
      </w:r>
      <w:r w:rsidRPr="00495FE7">
        <w:rPr>
          <w:rFonts w:ascii="Calibri" w:hAnsi="Calibri" w:cs="Calibri"/>
          <w:kern w:val="2"/>
          <w:lang w:val="lt-LT" w:eastAsia="lt-LT"/>
          <w14:ligatures w14:val="standardContextual"/>
        </w:rPr>
        <w:t xml:space="preserve"> Lietuvos Aukščiausiojo Teismo praktikoje išaiškinta, kad „Nors VPĮ perkančiajai organizacijai suteikiama tam tikra sprendimo laisvė ir teisė siekiant įsitikinti tiekėjo kvalifikacija taikyti vieną ar kitą kriterijų, vis dėlto ši pasirinkimo laisvė yra ribojama bendrųjų viešųjų pirkimų principų. Kaip neatitinkantys jų gali būti vertinami </w:t>
      </w:r>
      <w:r w:rsidRPr="00495FE7">
        <w:rPr>
          <w:rFonts w:ascii="Calibri" w:hAnsi="Calibri" w:cs="Calibri"/>
          <w:b/>
          <w:bCs/>
          <w:kern w:val="2"/>
          <w:lang w:val="lt-LT" w:eastAsia="lt-LT"/>
          <w14:ligatures w14:val="standardContextual"/>
        </w:rPr>
        <w:t>tiek per žemi, nepakankami užtikrinti</w:t>
      </w:r>
      <w:r w:rsidRPr="00495FE7">
        <w:rPr>
          <w:rFonts w:ascii="Calibri" w:hAnsi="Calibri" w:cs="Calibri"/>
          <w:kern w:val="2"/>
          <w:lang w:val="lt-LT" w:eastAsia="lt-LT"/>
          <w14:ligatures w14:val="standardContextual"/>
        </w:rPr>
        <w:t xml:space="preserve">, kad tiekėjas bus pajėgus įvykdyti pirkimą, </w:t>
      </w:r>
      <w:r w:rsidRPr="00495FE7">
        <w:rPr>
          <w:rFonts w:ascii="Calibri" w:hAnsi="Calibri" w:cs="Calibri"/>
          <w:b/>
          <w:bCs/>
          <w:kern w:val="2"/>
          <w:lang w:val="lt-LT" w:eastAsia="lt-LT"/>
          <w14:ligatures w14:val="standardContextual"/>
        </w:rPr>
        <w:t>kvalifikacijos kriterijai</w:t>
      </w:r>
      <w:r w:rsidRPr="00495FE7">
        <w:rPr>
          <w:rFonts w:ascii="Calibri" w:hAnsi="Calibri" w:cs="Calibri"/>
          <w:kern w:val="2"/>
          <w:lang w:val="lt-LT" w:eastAsia="lt-LT"/>
          <w14:ligatures w14:val="standardContextual"/>
        </w:rPr>
        <w:t xml:space="preserve">, </w:t>
      </w:r>
      <w:r w:rsidRPr="00495FE7">
        <w:rPr>
          <w:rFonts w:ascii="Calibri" w:hAnsi="Calibri" w:cs="Calibri"/>
          <w:b/>
          <w:bCs/>
          <w:kern w:val="2"/>
          <w:lang w:val="lt-LT" w:eastAsia="lt-LT"/>
          <w14:ligatures w14:val="standardContextual"/>
        </w:rPr>
        <w:t>tiek per aukšti</w:t>
      </w:r>
      <w:r w:rsidRPr="00495FE7">
        <w:rPr>
          <w:rFonts w:ascii="Calibri" w:hAnsi="Calibri" w:cs="Calibri"/>
          <w:kern w:val="2"/>
          <w:lang w:val="lt-LT" w:eastAsia="lt-LT"/>
          <w14:ligatures w14:val="standardContextual"/>
        </w:rPr>
        <w:t>, nepagrįstai ribojantys konkurenciją reikalavimai tiekėjų pajėgumui.&lt;...&gt;“</w:t>
      </w:r>
      <w:r w:rsidRPr="00495FE7">
        <w:rPr>
          <w:rFonts w:ascii="Calibri" w:hAnsi="Calibri" w:cs="Calibri"/>
          <w:vertAlign w:val="superscript"/>
          <w:lang w:val="lt-LT" w:eastAsia="lt-LT"/>
        </w:rPr>
        <w:footnoteReference w:id="2"/>
      </w:r>
      <w:r w:rsidRPr="00495FE7">
        <w:rPr>
          <w:rFonts w:ascii="Calibri" w:hAnsi="Calibri" w:cs="Calibri"/>
          <w:kern w:val="2"/>
          <w:lang w:val="lt-LT"/>
          <w14:ligatures w14:val="standardContextual"/>
        </w:rPr>
        <w:t>. Vadovaujantis Tiekėjo kvalifikacijos reikalavimų nustatymo metodikos</w:t>
      </w:r>
      <w:r w:rsidRPr="00495FE7">
        <w:rPr>
          <w:rFonts w:ascii="Calibri" w:hAnsi="Calibri" w:cs="Calibri"/>
          <w:vertAlign w:val="superscript"/>
          <w:lang w:val="lt-LT"/>
        </w:rPr>
        <w:footnoteReference w:id="3"/>
      </w:r>
      <w:r w:rsidRPr="00495FE7">
        <w:rPr>
          <w:rFonts w:ascii="Calibri" w:hAnsi="Calibri" w:cs="Calibri"/>
          <w:kern w:val="2"/>
          <w:lang w:val="lt-LT"/>
          <w14:ligatures w14:val="standardContextual"/>
        </w:rPr>
        <w:t xml:space="preserve"> (toliau – Metodika) 16 punktu „</w:t>
      </w:r>
      <w:r w:rsidRPr="00495FE7">
        <w:rPr>
          <w:rFonts w:ascii="Calibri" w:hAnsi="Calibri" w:cs="Calibri"/>
          <w:color w:val="000000" w:themeColor="text1"/>
          <w:kern w:val="2"/>
          <w:lang w:val="lt-LT"/>
          <w14:ligatures w14:val="standardContextual"/>
        </w:rPr>
        <w:t>Pirkimo vykdytojas turi įvertinti, kokia patirtis gali įrodyti tiekėjo gebėjimą tiekti panašias prekes, teikti panašias paslaugas, atlikti panašius darbus.&lt;...&gt;</w:t>
      </w:r>
      <w:r w:rsidRPr="00495FE7">
        <w:rPr>
          <w:rFonts w:ascii="Calibri" w:eastAsia="Calibri" w:hAnsi="Calibri" w:cs="Calibri"/>
          <w:color w:val="000000" w:themeColor="text1"/>
          <w:kern w:val="2"/>
          <w:lang w:val="lt-LT"/>
          <w14:ligatures w14:val="standardContextual"/>
        </w:rPr>
        <w:t xml:space="preserve"> </w:t>
      </w:r>
      <w:r w:rsidRPr="00495FE7">
        <w:rPr>
          <w:rFonts w:ascii="Calibri" w:hAnsi="Calibri" w:cs="Calibri"/>
          <w:color w:val="000000" w:themeColor="text1"/>
          <w:kern w:val="2"/>
          <w:lang w:val="lt-LT"/>
          <w14:ligatures w14:val="standardContextual"/>
        </w:rPr>
        <w:t xml:space="preserve">Reikalavimas gali būti apibrėžiamas pasiektu rezultatu (pavyzdžiui, pastatytas tam tikras inžinerinis įrenginys, suteiktos tam tikros paslaugos), pinigine verte </w:t>
      </w:r>
      <w:r w:rsidRPr="00495FE7">
        <w:rPr>
          <w:rFonts w:ascii="Calibri" w:hAnsi="Calibri" w:cs="Calibri"/>
          <w:color w:val="000000" w:themeColor="text1"/>
          <w:kern w:val="2"/>
          <w:lang w:val="lt-LT"/>
          <w14:ligatures w14:val="standardContextual"/>
        </w:rPr>
        <w:lastRenderedPageBreak/>
        <w:t xml:space="preserve">ar kitais požymiais – pirkimo vykdytojas turi patirtį apibrėžti ne visais galimais, bet tik </w:t>
      </w:r>
      <w:r w:rsidRPr="00495FE7">
        <w:rPr>
          <w:rFonts w:ascii="Calibri" w:hAnsi="Calibri" w:cs="Calibri"/>
          <w:b/>
          <w:bCs/>
          <w:color w:val="000000" w:themeColor="text1"/>
          <w:kern w:val="2"/>
          <w:lang w:val="lt-LT"/>
          <w14:ligatures w14:val="standardContextual"/>
        </w:rPr>
        <w:t>būtinais kriterijais</w:t>
      </w:r>
      <w:r w:rsidRPr="00495FE7">
        <w:rPr>
          <w:rFonts w:ascii="Calibri" w:hAnsi="Calibri" w:cs="Calibri"/>
          <w:color w:val="000000" w:themeColor="text1"/>
          <w:kern w:val="2"/>
          <w:lang w:val="lt-LT"/>
          <w14:ligatures w14:val="standardContextual"/>
        </w:rPr>
        <w:t xml:space="preserve">. Šis kvalifikacijos reikalavimas neturi būti siejamas su visais galimais parametrais (verte, kiekiu, apimtimi ir pan.), o tik su tokiais, kurie </w:t>
      </w:r>
      <w:r w:rsidRPr="00495FE7">
        <w:rPr>
          <w:rFonts w:ascii="Calibri" w:hAnsi="Calibri" w:cs="Calibri"/>
          <w:b/>
          <w:bCs/>
          <w:color w:val="000000" w:themeColor="text1"/>
          <w:kern w:val="2"/>
          <w:lang w:val="lt-LT"/>
          <w14:ligatures w14:val="standardContextual"/>
        </w:rPr>
        <w:t>geriausiai įrodo tiekėjo patirtį</w:t>
      </w:r>
      <w:r w:rsidRPr="00495FE7">
        <w:rPr>
          <w:rFonts w:ascii="Calibri" w:hAnsi="Calibri" w:cs="Calibri"/>
          <w:color w:val="000000" w:themeColor="text1"/>
          <w:kern w:val="2"/>
          <w:lang w:val="lt-LT"/>
          <w14:ligatures w14:val="standardContextual"/>
        </w:rPr>
        <w:t>.</w:t>
      </w:r>
      <w:r w:rsidRPr="00495FE7">
        <w:rPr>
          <w:rFonts w:ascii="Calibri" w:hAnsi="Calibri" w:cs="Calibri"/>
          <w:kern w:val="2"/>
          <w:lang w:val="lt-LT"/>
          <w14:ligatures w14:val="standardContextual"/>
        </w:rPr>
        <w:t>“</w:t>
      </w:r>
    </w:p>
    <w:p w14:paraId="0888164A" w14:textId="1EDEE020" w:rsidR="006D1E9E" w:rsidRPr="00495FE7" w:rsidRDefault="001B3EE6" w:rsidP="00082654">
      <w:pPr>
        <w:pStyle w:val="paragraph"/>
        <w:tabs>
          <w:tab w:val="left" w:pos="567"/>
        </w:tabs>
        <w:spacing w:before="0" w:beforeAutospacing="0" w:after="0" w:afterAutospacing="0" w:line="276" w:lineRule="auto"/>
        <w:textAlignment w:val="baseline"/>
        <w:rPr>
          <w:rFonts w:ascii="Calibri" w:hAnsi="Calibri" w:cs="Calibri"/>
          <w:kern w:val="2"/>
          <w:lang w:val="lt-LT" w:eastAsia="lt-LT"/>
          <w14:ligatures w14:val="standardContextual"/>
        </w:rPr>
      </w:pPr>
      <w:r w:rsidRPr="00495FE7">
        <w:rPr>
          <w:rFonts w:ascii="Calibri" w:hAnsi="Calibri" w:cs="Calibri"/>
          <w:kern w:val="2"/>
          <w:lang w:val="lt-LT" w:eastAsia="lt-LT"/>
          <w14:ligatures w14:val="standardContextual"/>
        </w:rPr>
        <w:t>Pirkim</w:t>
      </w:r>
      <w:r w:rsidR="00F43E5A" w:rsidRPr="00495FE7">
        <w:rPr>
          <w:rFonts w:ascii="Calibri" w:hAnsi="Calibri" w:cs="Calibri"/>
          <w:kern w:val="2"/>
          <w:lang w:val="lt-LT" w:eastAsia="lt-LT"/>
          <w14:ligatures w14:val="standardContextual"/>
        </w:rPr>
        <w:t>ų</w:t>
      </w:r>
      <w:r w:rsidRPr="00495FE7">
        <w:rPr>
          <w:rFonts w:ascii="Calibri" w:hAnsi="Calibri" w:cs="Calibri"/>
          <w:kern w:val="2"/>
          <w:lang w:val="lt-LT" w:eastAsia="lt-LT"/>
          <w14:ligatures w14:val="standardContextual"/>
        </w:rPr>
        <w:t xml:space="preserve"> sąlygų </w:t>
      </w:r>
      <w:r w:rsidR="00F43E5A" w:rsidRPr="00495FE7">
        <w:rPr>
          <w:rFonts w:ascii="Calibri" w:hAnsi="Calibri" w:cs="Calibri"/>
          <w:kern w:val="2"/>
          <w:lang w:val="lt-LT" w:eastAsia="lt-LT"/>
          <w14:ligatures w14:val="standardContextual"/>
        </w:rPr>
        <w:t>5 pried</w:t>
      </w:r>
      <w:r w:rsidR="00776B8E" w:rsidRPr="00495FE7">
        <w:rPr>
          <w:rFonts w:ascii="Calibri" w:hAnsi="Calibri" w:cs="Calibri"/>
          <w:kern w:val="2"/>
          <w:lang w:val="lt-LT" w:eastAsia="lt-LT"/>
          <w14:ligatures w14:val="standardContextual"/>
        </w:rPr>
        <w:t>ų</w:t>
      </w:r>
      <w:r w:rsidR="00A86CAE" w:rsidRPr="00495FE7">
        <w:rPr>
          <w:rFonts w:ascii="Calibri" w:hAnsi="Calibri" w:cs="Calibri"/>
          <w:kern w:val="2"/>
          <w:lang w:val="lt-LT" w:eastAsia="lt-LT"/>
          <w14:ligatures w14:val="standardContextual"/>
        </w:rPr>
        <w:t xml:space="preserve"> </w:t>
      </w:r>
      <w:r w:rsidR="00720996" w:rsidRPr="00495FE7">
        <w:rPr>
          <w:rFonts w:ascii="Calibri" w:hAnsi="Calibri" w:cs="Calibri"/>
          <w:kern w:val="2"/>
          <w:lang w:val="lt-LT" w:eastAsia="lt-LT"/>
          <w14:ligatures w14:val="standardContextual"/>
        </w:rPr>
        <w:t>„Tiekėjų kvalifikacijos reikalavimai ir reikalaujami kokybės bei aplinkos apsaugos vadybos sistemų standartai“</w:t>
      </w:r>
      <w:r w:rsidR="005517D1" w:rsidRPr="00495FE7">
        <w:rPr>
          <w:rFonts w:ascii="Calibri" w:hAnsi="Calibri" w:cs="Calibri"/>
          <w:kern w:val="2"/>
          <w:lang w:val="lt-LT" w:eastAsia="lt-LT"/>
          <w14:ligatures w14:val="standardContextual"/>
        </w:rPr>
        <w:t xml:space="preserve"> (toliau – Kvalifikacijos reikalavimai)</w:t>
      </w:r>
      <w:r w:rsidR="00720996" w:rsidRPr="00495FE7">
        <w:rPr>
          <w:rFonts w:ascii="Calibri" w:hAnsi="Calibri" w:cs="Calibri"/>
          <w:kern w:val="2"/>
          <w:lang w:val="lt-LT" w:eastAsia="lt-LT"/>
          <w14:ligatures w14:val="standardContextual"/>
        </w:rPr>
        <w:t xml:space="preserve"> lentel</w:t>
      </w:r>
      <w:r w:rsidR="00776B8E" w:rsidRPr="00495FE7">
        <w:rPr>
          <w:rFonts w:ascii="Calibri" w:hAnsi="Calibri" w:cs="Calibri"/>
          <w:kern w:val="2"/>
          <w:lang w:val="lt-LT" w:eastAsia="lt-LT"/>
          <w14:ligatures w14:val="standardContextual"/>
        </w:rPr>
        <w:t>ių</w:t>
      </w:r>
      <w:r w:rsidR="00720996" w:rsidRPr="00495FE7">
        <w:rPr>
          <w:rFonts w:ascii="Calibri" w:hAnsi="Calibri" w:cs="Calibri"/>
          <w:kern w:val="2"/>
          <w:lang w:val="lt-LT" w:eastAsia="lt-LT"/>
          <w14:ligatures w14:val="standardContextual"/>
        </w:rPr>
        <w:t xml:space="preserve"> </w:t>
      </w:r>
      <w:r w:rsidR="00130914" w:rsidRPr="00495FE7">
        <w:rPr>
          <w:rFonts w:ascii="Calibri" w:hAnsi="Calibri" w:cs="Calibri"/>
          <w:kern w:val="2"/>
          <w:lang w:val="lt-LT" w:eastAsia="lt-LT"/>
          <w14:ligatures w14:val="standardContextual"/>
        </w:rPr>
        <w:t xml:space="preserve">3.1 punktuose </w:t>
      </w:r>
      <w:r w:rsidRPr="00495FE7">
        <w:rPr>
          <w:rFonts w:ascii="Calibri" w:hAnsi="Calibri" w:cs="Calibri"/>
          <w:kern w:val="2"/>
          <w:lang w:val="lt-LT" w:eastAsia="lt-LT"/>
          <w14:ligatures w14:val="standardContextual"/>
        </w:rPr>
        <w:t>nustatyt</w:t>
      </w:r>
      <w:r w:rsidR="003B0D96" w:rsidRPr="00495FE7">
        <w:rPr>
          <w:rFonts w:ascii="Calibri" w:hAnsi="Calibri" w:cs="Calibri"/>
          <w:kern w:val="2"/>
          <w:lang w:val="lt-LT" w:eastAsia="lt-LT"/>
          <w14:ligatures w14:val="standardContextual"/>
        </w:rPr>
        <w:t>i</w:t>
      </w:r>
      <w:r w:rsidRPr="00495FE7">
        <w:rPr>
          <w:rFonts w:ascii="Calibri" w:hAnsi="Calibri" w:cs="Calibri"/>
          <w:kern w:val="2"/>
          <w:lang w:val="lt-LT" w:eastAsia="lt-LT"/>
          <w14:ligatures w14:val="standardContextual"/>
        </w:rPr>
        <w:t xml:space="preserve"> kvalifikacijos reikalavim</w:t>
      </w:r>
      <w:r w:rsidR="003B0D96" w:rsidRPr="00495FE7">
        <w:rPr>
          <w:rFonts w:ascii="Calibri" w:hAnsi="Calibri" w:cs="Calibri"/>
          <w:kern w:val="2"/>
          <w:lang w:val="lt-LT" w:eastAsia="lt-LT"/>
          <w14:ligatures w14:val="standardContextual"/>
        </w:rPr>
        <w:t>ai</w:t>
      </w:r>
      <w:r w:rsidR="006D1E9E" w:rsidRPr="00495FE7">
        <w:rPr>
          <w:rFonts w:ascii="Calibri" w:hAnsi="Calibri" w:cs="Calibri"/>
          <w:kern w:val="2"/>
          <w:lang w:val="lt-LT" w:eastAsia="lt-LT"/>
          <w14:ligatures w14:val="standardContextual"/>
        </w:rPr>
        <w:t>:</w:t>
      </w:r>
    </w:p>
    <w:p w14:paraId="669BEFDF" w14:textId="7BE16847" w:rsidR="001B3EE6" w:rsidRPr="00495FE7" w:rsidRDefault="006D1E9E" w:rsidP="00082654">
      <w:pPr>
        <w:pStyle w:val="paragraph"/>
        <w:tabs>
          <w:tab w:val="left" w:pos="567"/>
        </w:tabs>
        <w:spacing w:before="0" w:beforeAutospacing="0" w:after="0" w:afterAutospacing="0" w:line="276" w:lineRule="auto"/>
        <w:textAlignment w:val="baseline"/>
        <w:rPr>
          <w:rFonts w:ascii="Calibri" w:hAnsi="Calibri" w:cs="Calibri"/>
          <w:kern w:val="2"/>
          <w:lang w:val="lt-LT" w:eastAsia="lt-LT"/>
          <w14:ligatures w14:val="standardContextual"/>
        </w:rPr>
      </w:pPr>
      <w:r w:rsidRPr="00495FE7">
        <w:rPr>
          <w:rFonts w:ascii="Calibri" w:hAnsi="Calibri" w:cs="Calibri"/>
          <w:b/>
          <w:bCs/>
          <w:kern w:val="2"/>
          <w:lang w:val="lt-LT" w:eastAsia="lt-LT"/>
          <w14:ligatures w14:val="standardContextual"/>
        </w:rPr>
        <w:t>1 Pirkimas</w:t>
      </w:r>
      <w:r w:rsidR="009D5CB4" w:rsidRPr="00495FE7">
        <w:rPr>
          <w:rFonts w:ascii="Calibri" w:hAnsi="Calibri" w:cs="Calibri"/>
          <w:b/>
          <w:bCs/>
          <w:kern w:val="2"/>
          <w:lang w:val="lt-LT" w:eastAsia="lt-LT"/>
          <w14:ligatures w14:val="standardContextual"/>
        </w:rPr>
        <w:t>.</w:t>
      </w:r>
      <w:r w:rsidR="001B3EE6" w:rsidRPr="00495FE7">
        <w:rPr>
          <w:rFonts w:ascii="Calibri" w:hAnsi="Calibri" w:cs="Calibri"/>
          <w:kern w:val="2"/>
          <w:lang w:val="lt-LT" w:eastAsia="lt-LT"/>
          <w14:ligatures w14:val="standardContextual"/>
        </w:rPr>
        <w:t xml:space="preserve"> „</w:t>
      </w:r>
      <w:r w:rsidR="003B0D96" w:rsidRPr="00495FE7">
        <w:rPr>
          <w:rFonts w:ascii="Calibri" w:hAnsi="Calibri" w:cs="Calibri"/>
          <w:kern w:val="2"/>
          <w:lang w:val="lt-LT" w:eastAsia="lt-LT"/>
          <w14:ligatures w14:val="standardContextual"/>
        </w:rPr>
        <w:t>Tiekėjas, tiekėjo grupės partneriai, ūkio subjektai, kurių pajėgumais tiekėjas remiasi, per paskutinius 5 metus iki pasiūlymo pateikimo termino pabaigos dienos pagal vieną ar daugiau sutarčių savo jėgomis</w:t>
      </w:r>
      <w:r w:rsidR="003B0D96" w:rsidRPr="00CB17B7">
        <w:rPr>
          <w:rFonts w:ascii="Calibri" w:hAnsi="Calibri" w:cs="Calibri"/>
          <w:kern w:val="2"/>
          <w:vertAlign w:val="superscript"/>
          <w:lang w:val="lt-LT" w:eastAsia="lt-LT"/>
          <w14:ligatures w14:val="standardContextual"/>
        </w:rPr>
        <w:t>1</w:t>
      </w:r>
      <w:r w:rsidR="003B0D96" w:rsidRPr="00495FE7">
        <w:rPr>
          <w:rFonts w:ascii="Calibri" w:hAnsi="Calibri" w:cs="Calibri"/>
          <w:kern w:val="2"/>
          <w:lang w:val="lt-LT" w:eastAsia="lt-LT"/>
          <w14:ligatures w14:val="standardContextual"/>
        </w:rPr>
        <w:t xml:space="preserve"> yra atlikęs </w:t>
      </w:r>
      <w:r w:rsidR="003B0D96" w:rsidRPr="00495FE7">
        <w:rPr>
          <w:rFonts w:ascii="Calibri" w:hAnsi="Calibri" w:cs="Calibri"/>
          <w:b/>
          <w:bCs/>
          <w:kern w:val="2"/>
          <w:lang w:val="lt-LT" w:eastAsia="lt-LT"/>
          <w14:ligatures w14:val="standardContextual"/>
        </w:rPr>
        <w:t xml:space="preserve">naujos statybos ir (ar) rekonstravimo ir (ar) kapitalinio remonto ir (ar) tvarkybos darbų, </w:t>
      </w:r>
      <w:r w:rsidR="003B0D96" w:rsidRPr="00495FE7">
        <w:rPr>
          <w:rFonts w:ascii="Calibri" w:hAnsi="Calibri" w:cs="Calibri"/>
          <w:kern w:val="2"/>
          <w:lang w:val="lt-LT" w:eastAsia="lt-LT"/>
          <w14:ligatures w14:val="standardContextual"/>
        </w:rPr>
        <w:t xml:space="preserve">kurių vertė </w:t>
      </w:r>
      <w:r w:rsidR="003B0D96" w:rsidRPr="00495FE7">
        <w:rPr>
          <w:rFonts w:ascii="Calibri" w:hAnsi="Calibri" w:cs="Calibri"/>
          <w:b/>
          <w:bCs/>
          <w:kern w:val="2"/>
          <w:lang w:val="lt-LT" w:eastAsia="lt-LT"/>
          <w14:ligatures w14:val="standardContextual"/>
        </w:rPr>
        <w:t>ne mažesnė kaip 500 000 Eur (be PVM).</w:t>
      </w:r>
      <w:r w:rsidR="001B3EE6" w:rsidRPr="00495FE7">
        <w:rPr>
          <w:rFonts w:ascii="Calibri" w:hAnsi="Calibri" w:cs="Calibri"/>
          <w:kern w:val="2"/>
          <w:lang w:val="lt-LT" w:eastAsia="lt-LT"/>
          <w14:ligatures w14:val="standardContextual"/>
        </w:rPr>
        <w:t>“</w:t>
      </w:r>
      <w:r w:rsidR="003B0D96" w:rsidRPr="00495FE7">
        <w:rPr>
          <w:rFonts w:ascii="Calibri" w:hAnsi="Calibri" w:cs="Calibri"/>
          <w:kern w:val="2"/>
          <w:lang w:val="lt-LT" w:eastAsia="lt-LT"/>
          <w14:ligatures w14:val="standardContextual"/>
        </w:rPr>
        <w:t xml:space="preserve"> </w:t>
      </w:r>
    </w:p>
    <w:p w14:paraId="0C5B50E3" w14:textId="77777777" w:rsidR="006D6C54" w:rsidRPr="00495FE7" w:rsidRDefault="009D5CB4" w:rsidP="006D6C54">
      <w:pPr>
        <w:pStyle w:val="paragraph"/>
        <w:tabs>
          <w:tab w:val="left" w:pos="567"/>
        </w:tabs>
        <w:spacing w:before="0" w:beforeAutospacing="0" w:after="0" w:afterAutospacing="0" w:line="276" w:lineRule="auto"/>
        <w:textAlignment w:val="baseline"/>
        <w:rPr>
          <w:rFonts w:ascii="Calibri" w:hAnsi="Calibri" w:cs="Calibri"/>
          <w:b/>
          <w:bCs/>
          <w:kern w:val="2"/>
          <w:lang w:val="lt-LT" w:eastAsia="lt-LT"/>
          <w14:ligatures w14:val="standardContextual"/>
        </w:rPr>
      </w:pPr>
      <w:r w:rsidRPr="00495FE7">
        <w:rPr>
          <w:rFonts w:ascii="Calibri" w:hAnsi="Calibri" w:cs="Calibri"/>
          <w:b/>
          <w:bCs/>
          <w:kern w:val="2"/>
          <w:lang w:val="lt-LT" w:eastAsia="lt-LT"/>
          <w14:ligatures w14:val="standardContextual"/>
        </w:rPr>
        <w:t>2 Pirkimas.</w:t>
      </w:r>
      <w:r w:rsidRPr="00495FE7">
        <w:rPr>
          <w:rFonts w:ascii="Calibri" w:hAnsi="Calibri" w:cs="Calibri"/>
          <w:kern w:val="2"/>
          <w:lang w:val="lt-LT" w:eastAsia="lt-LT"/>
          <w14:ligatures w14:val="standardContextual"/>
        </w:rPr>
        <w:t xml:space="preserve"> „Tiekėjas, tiekėjo grupės partneriai, ūkio subjektai, kurių pajėgumais tiekėjas remiasi, per paskutinius 5 metus iki pasiūlymo pateikimo termino pabaigos dienos pagal vieną ar daugiau sutarčių savo jėgomis</w:t>
      </w:r>
      <w:r w:rsidRPr="00F2412C">
        <w:rPr>
          <w:rFonts w:ascii="Calibri" w:hAnsi="Calibri" w:cs="Calibri"/>
          <w:kern w:val="2"/>
          <w:vertAlign w:val="superscript"/>
          <w:lang w:val="lt-LT" w:eastAsia="lt-LT"/>
          <w14:ligatures w14:val="standardContextual"/>
        </w:rPr>
        <w:t>1</w:t>
      </w:r>
      <w:r w:rsidRPr="00495FE7">
        <w:rPr>
          <w:rFonts w:ascii="Calibri" w:hAnsi="Calibri" w:cs="Calibri"/>
          <w:kern w:val="2"/>
          <w:lang w:val="lt-LT" w:eastAsia="lt-LT"/>
          <w14:ligatures w14:val="standardContextual"/>
        </w:rPr>
        <w:t xml:space="preserve"> yra atlikęs </w:t>
      </w:r>
      <w:r w:rsidRPr="00495FE7">
        <w:rPr>
          <w:rFonts w:ascii="Calibri" w:hAnsi="Calibri" w:cs="Calibri"/>
          <w:b/>
          <w:bCs/>
          <w:kern w:val="2"/>
          <w:lang w:val="lt-LT" w:eastAsia="lt-LT"/>
          <w14:ligatures w14:val="standardContextual"/>
        </w:rPr>
        <w:t>naujos statybos ir (ar) rekonstravimo ir (ar) remonto  ir (ar) tvarkybos darbų</w:t>
      </w:r>
      <w:r w:rsidRPr="00495FE7">
        <w:rPr>
          <w:rFonts w:ascii="Calibri" w:hAnsi="Calibri" w:cs="Calibri"/>
          <w:kern w:val="2"/>
          <w:lang w:val="lt-LT" w:eastAsia="lt-LT"/>
          <w14:ligatures w14:val="standardContextual"/>
        </w:rPr>
        <w:t xml:space="preserve"> kurių vertė </w:t>
      </w:r>
      <w:r w:rsidRPr="00495FE7">
        <w:rPr>
          <w:rFonts w:ascii="Calibri" w:hAnsi="Calibri" w:cs="Calibri"/>
          <w:b/>
          <w:bCs/>
          <w:kern w:val="2"/>
          <w:lang w:val="lt-LT" w:eastAsia="lt-LT"/>
          <w14:ligatures w14:val="standardContextual"/>
        </w:rPr>
        <w:t>ne mažesnė kaip 400 000 Eur (be PVM).“</w:t>
      </w:r>
    </w:p>
    <w:p w14:paraId="5F79385E" w14:textId="7F449516" w:rsidR="001B3EE6" w:rsidRPr="00495FE7" w:rsidRDefault="001B3EE6" w:rsidP="006D6C54">
      <w:pPr>
        <w:pStyle w:val="paragraph"/>
        <w:tabs>
          <w:tab w:val="left" w:pos="567"/>
        </w:tabs>
        <w:spacing w:before="0" w:beforeAutospacing="0" w:after="0" w:afterAutospacing="0" w:line="276" w:lineRule="auto"/>
        <w:textAlignment w:val="baseline"/>
        <w:rPr>
          <w:rFonts w:ascii="Calibri" w:hAnsi="Calibri" w:cs="Calibri"/>
          <w:kern w:val="2"/>
          <w:lang w:val="lt-LT" w:eastAsia="lt-LT"/>
          <w14:ligatures w14:val="standardContextual"/>
        </w:rPr>
      </w:pPr>
      <w:r w:rsidRPr="00495FE7">
        <w:rPr>
          <w:rFonts w:ascii="Calibri" w:hAnsi="Calibri" w:cs="Calibri"/>
          <w:kern w:val="2"/>
          <w:lang w:val="lt-LT" w:eastAsia="lt-LT"/>
          <w14:ligatures w14:val="standardContextual"/>
        </w:rPr>
        <w:t>Pažymėtina, kad šiuo atveju formuluojant kvalifikacijos reikalavim</w:t>
      </w:r>
      <w:r w:rsidR="006D6C54" w:rsidRPr="00495FE7">
        <w:rPr>
          <w:rFonts w:ascii="Calibri" w:hAnsi="Calibri" w:cs="Calibri"/>
          <w:kern w:val="2"/>
          <w:lang w:val="lt-LT" w:eastAsia="lt-LT"/>
          <w14:ligatures w14:val="standardContextual"/>
        </w:rPr>
        <w:t>us</w:t>
      </w:r>
      <w:r w:rsidRPr="00495FE7">
        <w:rPr>
          <w:rFonts w:ascii="Calibri" w:hAnsi="Calibri" w:cs="Calibri"/>
          <w:kern w:val="2"/>
          <w:lang w:val="lt-LT" w:eastAsia="lt-LT"/>
          <w14:ligatures w14:val="standardContextual"/>
        </w:rPr>
        <w:t xml:space="preserve"> Perkančioji organizacija aiškiai nenurodė kokiais konkrečiai kriterijais apibrėžiama tiekėjo kvalifikacija, t. y. nėra apibrėžti panašūs į pirkimo objektą darbai, todėl šiuo atveju tiekėjo kvalifikacija turės būti vertinama kaip tinkama ir tais atvejais jei jis faktiškai bus atlikęs pvz. kelių statybos darbus už </w:t>
      </w:r>
      <w:r w:rsidR="00767431" w:rsidRPr="00495FE7">
        <w:rPr>
          <w:rFonts w:ascii="Calibri" w:hAnsi="Calibri" w:cs="Calibri"/>
          <w:kern w:val="2"/>
          <w:lang w:val="lt-LT" w:eastAsia="lt-LT"/>
          <w14:ligatures w14:val="standardContextual"/>
        </w:rPr>
        <w:t>500</w:t>
      </w:r>
      <w:r w:rsidRPr="00495FE7">
        <w:rPr>
          <w:rFonts w:ascii="Calibri" w:hAnsi="Calibri" w:cs="Calibri"/>
          <w:kern w:val="2"/>
          <w:lang w:val="lt-LT" w:eastAsia="lt-LT"/>
          <w14:ligatures w14:val="standardContextual"/>
        </w:rPr>
        <w:t> 000 Eur be PVM</w:t>
      </w:r>
      <w:r w:rsidR="00767431" w:rsidRPr="00495FE7">
        <w:rPr>
          <w:rFonts w:ascii="Calibri" w:hAnsi="Calibri" w:cs="Calibri"/>
          <w:kern w:val="2"/>
          <w:lang w:val="lt-LT" w:eastAsia="lt-LT"/>
          <w14:ligatures w14:val="standardContextual"/>
        </w:rPr>
        <w:t xml:space="preserve"> (1 Pirkimo atveju) arba 400</w:t>
      </w:r>
      <w:r w:rsidR="00B916DD" w:rsidRPr="00495FE7">
        <w:rPr>
          <w:rFonts w:ascii="Calibri" w:hAnsi="Calibri" w:cs="Calibri"/>
          <w:kern w:val="2"/>
          <w:lang w:val="lt-LT" w:eastAsia="lt-LT"/>
          <w14:ligatures w14:val="standardContextual"/>
        </w:rPr>
        <w:t> 000 Eur be PVM (2 Pirkimo atveju)</w:t>
      </w:r>
      <w:r w:rsidRPr="00495FE7">
        <w:rPr>
          <w:rFonts w:ascii="Calibri" w:hAnsi="Calibri" w:cs="Calibri"/>
          <w:kern w:val="2"/>
          <w:lang w:val="lt-LT" w:eastAsia="lt-LT"/>
          <w14:ligatures w14:val="standardContextual"/>
        </w:rPr>
        <w:t>, nors ši</w:t>
      </w:r>
      <w:r w:rsidR="00B916DD" w:rsidRPr="00495FE7">
        <w:rPr>
          <w:rFonts w:ascii="Calibri" w:hAnsi="Calibri" w:cs="Calibri"/>
          <w:kern w:val="2"/>
          <w:lang w:val="lt-LT" w:eastAsia="lt-LT"/>
          <w14:ligatures w14:val="standardContextual"/>
        </w:rPr>
        <w:t>ais</w:t>
      </w:r>
      <w:r w:rsidRPr="00495FE7">
        <w:rPr>
          <w:rFonts w:ascii="Calibri" w:hAnsi="Calibri" w:cs="Calibri"/>
          <w:kern w:val="2"/>
          <w:lang w:val="lt-LT" w:eastAsia="lt-LT"/>
          <w14:ligatures w14:val="standardContextual"/>
        </w:rPr>
        <w:t xml:space="preserve"> Pirkim</w:t>
      </w:r>
      <w:r w:rsidR="00B916DD" w:rsidRPr="00495FE7">
        <w:rPr>
          <w:rFonts w:ascii="Calibri" w:hAnsi="Calibri" w:cs="Calibri"/>
          <w:kern w:val="2"/>
          <w:lang w:val="lt-LT" w:eastAsia="lt-LT"/>
          <w14:ligatures w14:val="standardContextual"/>
        </w:rPr>
        <w:t>ais</w:t>
      </w:r>
      <w:r w:rsidRPr="00495FE7">
        <w:rPr>
          <w:rFonts w:ascii="Calibri" w:hAnsi="Calibri" w:cs="Calibri"/>
          <w:kern w:val="2"/>
          <w:lang w:val="lt-LT" w:eastAsia="lt-LT"/>
          <w14:ligatures w14:val="standardContextual"/>
        </w:rPr>
        <w:t xml:space="preserve"> yra perkami pastat</w:t>
      </w:r>
      <w:r w:rsidR="003F1344" w:rsidRPr="00495FE7">
        <w:rPr>
          <w:rFonts w:ascii="Calibri" w:hAnsi="Calibri" w:cs="Calibri"/>
          <w:kern w:val="2"/>
          <w:lang w:val="lt-LT" w:eastAsia="lt-LT"/>
          <w14:ligatures w14:val="standardContextual"/>
        </w:rPr>
        <w:t>ų</w:t>
      </w:r>
      <w:r w:rsidRPr="00495FE7">
        <w:rPr>
          <w:rFonts w:ascii="Calibri" w:hAnsi="Calibri" w:cs="Calibri"/>
          <w:kern w:val="2"/>
          <w:lang w:val="lt-LT" w:eastAsia="lt-LT"/>
          <w14:ligatures w14:val="standardContextual"/>
        </w:rPr>
        <w:t xml:space="preserve"> remonto darbai. </w:t>
      </w:r>
      <w:r w:rsidR="00504E99" w:rsidRPr="00495FE7">
        <w:rPr>
          <w:rFonts w:ascii="Calibri" w:hAnsi="Calibri" w:cs="Calibri"/>
          <w:kern w:val="2"/>
          <w:lang w:val="lt-LT" w:eastAsia="lt-LT"/>
          <w14:ligatures w14:val="standardContextual"/>
        </w:rPr>
        <w:t xml:space="preserve">Atsižvelgiant į tai kyla klausimas, ar tikrai šiuo atveju pats reikalavimas suformuluotas </w:t>
      </w:r>
      <w:r w:rsidR="00F76E5D">
        <w:rPr>
          <w:rFonts w:ascii="Calibri" w:hAnsi="Calibri" w:cs="Calibri"/>
          <w:kern w:val="2"/>
          <w:lang w:val="lt-LT" w:eastAsia="lt-LT"/>
          <w14:ligatures w14:val="standardContextual"/>
        </w:rPr>
        <w:t xml:space="preserve">aiškiai ir </w:t>
      </w:r>
      <w:r w:rsidR="00504E99" w:rsidRPr="00495FE7">
        <w:rPr>
          <w:rFonts w:ascii="Calibri" w:hAnsi="Calibri" w:cs="Calibri"/>
          <w:kern w:val="2"/>
          <w:lang w:val="lt-LT" w:eastAsia="lt-LT"/>
          <w14:ligatures w14:val="standardContextual"/>
        </w:rPr>
        <w:t xml:space="preserve">tinkamai, o tiekėjo kvalifikaciją </w:t>
      </w:r>
      <w:r w:rsidR="00F76E5D">
        <w:rPr>
          <w:rFonts w:ascii="Calibri" w:hAnsi="Calibri" w:cs="Calibri"/>
          <w:kern w:val="2"/>
          <w:lang w:val="lt-LT" w:eastAsia="lt-LT"/>
          <w14:ligatures w14:val="standardContextual"/>
        </w:rPr>
        <w:t xml:space="preserve">(pvz. ją grindžiant kelių statybos ar kt. darbais) </w:t>
      </w:r>
      <w:r w:rsidR="00504E99" w:rsidRPr="00495FE7">
        <w:rPr>
          <w:rFonts w:ascii="Calibri" w:hAnsi="Calibri" w:cs="Calibri"/>
          <w:kern w:val="2"/>
          <w:lang w:val="lt-LT" w:eastAsia="lt-LT"/>
          <w14:ligatures w14:val="standardContextual"/>
        </w:rPr>
        <w:t>bus pakankama tam, kad jis galėtų tinkamai įvykdyti Pirkimo sutart</w:t>
      </w:r>
      <w:r w:rsidR="00F76E5D">
        <w:rPr>
          <w:rFonts w:ascii="Calibri" w:hAnsi="Calibri" w:cs="Calibri"/>
          <w:kern w:val="2"/>
          <w:lang w:val="lt-LT" w:eastAsia="lt-LT"/>
          <w14:ligatures w14:val="standardContextual"/>
        </w:rPr>
        <w:t>is</w:t>
      </w:r>
      <w:r w:rsidR="00504E99" w:rsidRPr="00495FE7">
        <w:rPr>
          <w:rFonts w:ascii="Calibri" w:hAnsi="Calibri" w:cs="Calibri"/>
          <w:kern w:val="2"/>
          <w:lang w:val="lt-LT" w:eastAsia="lt-LT"/>
          <w14:ligatures w14:val="standardContextual"/>
        </w:rPr>
        <w:t>?</w:t>
      </w:r>
    </w:p>
    <w:p w14:paraId="5B23DADF" w14:textId="32A8FF76" w:rsidR="002F43B6" w:rsidRPr="00495FE7" w:rsidRDefault="00A07373" w:rsidP="00686A7A">
      <w:pPr>
        <w:pStyle w:val="paragraph"/>
        <w:numPr>
          <w:ilvl w:val="1"/>
          <w:numId w:val="12"/>
        </w:numPr>
        <w:tabs>
          <w:tab w:val="left" w:pos="567"/>
        </w:tabs>
        <w:spacing w:before="0" w:beforeAutospacing="0" w:after="0" w:afterAutospacing="0" w:line="276" w:lineRule="auto"/>
        <w:ind w:left="0" w:firstLine="0"/>
        <w:textAlignment w:val="baseline"/>
        <w:rPr>
          <w:rFonts w:ascii="Calibri" w:hAnsi="Calibri" w:cs="Calibri"/>
          <w:kern w:val="2"/>
          <w:lang w:val="lt-LT" w:eastAsia="lt-LT"/>
          <w14:ligatures w14:val="standardContextual"/>
        </w:rPr>
      </w:pPr>
      <w:r w:rsidRPr="00495FE7">
        <w:rPr>
          <w:rFonts w:ascii="Calibri" w:hAnsi="Calibri" w:cs="Calibri"/>
          <w:kern w:val="2"/>
          <w:lang w:val="lt-LT" w:eastAsia="lt-LT"/>
          <w14:ligatures w14:val="standardContextual"/>
        </w:rPr>
        <w:t xml:space="preserve">Kvalifikacijos reikalavimų lentelių </w:t>
      </w:r>
      <w:r w:rsidR="00E4282A" w:rsidRPr="00495FE7">
        <w:rPr>
          <w:rFonts w:ascii="Calibri" w:hAnsi="Calibri" w:cs="Calibri"/>
          <w:kern w:val="2"/>
          <w:lang w:val="lt-LT" w:eastAsia="lt-LT"/>
          <w14:ligatures w14:val="standardContextual"/>
        </w:rPr>
        <w:t>3.2.2</w:t>
      </w:r>
      <w:r w:rsidR="005517D1" w:rsidRPr="00495FE7">
        <w:rPr>
          <w:rFonts w:ascii="Calibri" w:hAnsi="Calibri" w:cs="Calibri"/>
          <w:kern w:val="2"/>
          <w:lang w:val="lt-LT" w:eastAsia="lt-LT"/>
          <w14:ligatures w14:val="standardContextual"/>
        </w:rPr>
        <w:t xml:space="preserve"> p</w:t>
      </w:r>
      <w:r w:rsidR="00E4282A" w:rsidRPr="00495FE7">
        <w:rPr>
          <w:rFonts w:ascii="Calibri" w:hAnsi="Calibri" w:cs="Calibri"/>
          <w:kern w:val="2"/>
          <w:lang w:val="lt-LT" w:eastAsia="lt-LT"/>
          <w14:ligatures w14:val="standardContextual"/>
        </w:rPr>
        <w:t>apunk</w:t>
      </w:r>
      <w:r w:rsidR="00324729" w:rsidRPr="00495FE7">
        <w:rPr>
          <w:rFonts w:ascii="Calibri" w:hAnsi="Calibri" w:cs="Calibri"/>
          <w:kern w:val="2"/>
          <w:lang w:val="lt-LT" w:eastAsia="lt-LT"/>
          <w14:ligatures w14:val="standardContextual"/>
        </w:rPr>
        <w:t>čių skilty</w:t>
      </w:r>
      <w:r w:rsidR="009B42E5" w:rsidRPr="00495FE7">
        <w:rPr>
          <w:rFonts w:ascii="Calibri" w:hAnsi="Calibri" w:cs="Calibri"/>
          <w:kern w:val="2"/>
          <w:lang w:val="lt-LT" w:eastAsia="lt-LT"/>
          <w14:ligatures w14:val="standardContextual"/>
        </w:rPr>
        <w:t xml:space="preserve">je </w:t>
      </w:r>
      <w:r w:rsidR="00324729" w:rsidRPr="00495FE7">
        <w:rPr>
          <w:rFonts w:ascii="Calibri" w:hAnsi="Calibri" w:cs="Calibri"/>
          <w:kern w:val="2"/>
          <w:lang w:val="lt-LT" w:eastAsia="lt-LT"/>
          <w14:ligatures w14:val="standardContextual"/>
        </w:rPr>
        <w:t>„Atitiktį reikalavimui įrodantys dokumentai“</w:t>
      </w:r>
      <w:r w:rsidR="009B42E5" w:rsidRPr="00495FE7">
        <w:rPr>
          <w:rFonts w:ascii="Calibri" w:hAnsi="Calibri" w:cs="Calibri"/>
          <w:kern w:val="2"/>
          <w:lang w:val="lt-LT" w:eastAsia="lt-LT"/>
          <w14:ligatures w14:val="standardContextual"/>
        </w:rPr>
        <w:t xml:space="preserve"> </w:t>
      </w:r>
      <w:r w:rsidR="005517D1" w:rsidRPr="00495FE7">
        <w:rPr>
          <w:rFonts w:ascii="Calibri" w:hAnsi="Calibri" w:cs="Calibri"/>
          <w:kern w:val="2"/>
          <w:lang w:val="lt-LT" w:eastAsia="lt-LT"/>
          <w14:ligatures w14:val="standardContextual"/>
        </w:rPr>
        <w:t xml:space="preserve">nurodyta </w:t>
      </w:r>
      <w:r w:rsidR="00C202F5" w:rsidRPr="00495FE7">
        <w:rPr>
          <w:rFonts w:ascii="Calibri" w:hAnsi="Calibri" w:cs="Calibri"/>
          <w:kern w:val="2"/>
          <w:lang w:val="lt-LT" w:eastAsia="lt-LT"/>
          <w14:ligatures w14:val="standardContextual"/>
        </w:rPr>
        <w:t>„</w:t>
      </w:r>
      <w:r w:rsidR="00C202F5" w:rsidRPr="00495FE7">
        <w:rPr>
          <w:rFonts w:ascii="Calibri" w:hAnsi="Calibri" w:cs="Calibri"/>
          <w:b/>
          <w:bCs/>
          <w:kern w:val="2"/>
          <w:lang w:val="lt-LT" w:eastAsia="lt-LT"/>
          <w14:ligatures w14:val="standardContextual"/>
        </w:rPr>
        <w:t>Kultūros paveldo departamento prie Kultūros ministerijos išduotas Nekilnojamojo kultūros paveldo apsaugos specialisto atestatas</w:t>
      </w:r>
      <w:r w:rsidR="00C202F5" w:rsidRPr="00495FE7">
        <w:rPr>
          <w:rFonts w:ascii="Calibri" w:hAnsi="Calibri" w:cs="Calibri"/>
          <w:kern w:val="2"/>
          <w:lang w:val="lt-LT" w:eastAsia="lt-LT"/>
          <w14:ligatures w14:val="standardContextual"/>
        </w:rPr>
        <w:t xml:space="preserve"> su atitinkama veiklos rūšimi ir specializacija.“</w:t>
      </w:r>
      <w:r w:rsidR="002F43B6" w:rsidRPr="00495FE7">
        <w:rPr>
          <w:rFonts w:ascii="Calibri" w:hAnsi="Calibri" w:cs="Calibri"/>
          <w:kern w:val="2"/>
          <w:lang w:val="lt-LT" w:eastAsia="lt-LT"/>
          <w14:ligatures w14:val="standardContextual"/>
        </w:rPr>
        <w:t xml:space="preserve"> </w:t>
      </w:r>
      <w:r w:rsidR="006407DD" w:rsidRPr="00495FE7">
        <w:rPr>
          <w:rFonts w:ascii="Calibri" w:hAnsi="Calibri" w:cs="Calibri"/>
          <w:lang w:val="lt-LT"/>
        </w:rPr>
        <w:t xml:space="preserve">Tarnyba pažymi, kad </w:t>
      </w:r>
      <w:r w:rsidR="002F43B6" w:rsidRPr="00495FE7">
        <w:rPr>
          <w:rFonts w:ascii="Calibri" w:hAnsi="Calibri" w:cs="Calibri"/>
          <w:lang w:val="lt-LT"/>
        </w:rPr>
        <w:t xml:space="preserve">Kultūros paveldo departamentas prie Kultūros ministerijos </w:t>
      </w:r>
      <w:r w:rsidR="006407DD" w:rsidRPr="00495FE7">
        <w:rPr>
          <w:rFonts w:ascii="Calibri" w:hAnsi="Calibri" w:cs="Calibri"/>
          <w:lang w:val="lt-LT"/>
        </w:rPr>
        <w:t xml:space="preserve">neišduoda </w:t>
      </w:r>
      <w:r w:rsidR="002F43B6" w:rsidRPr="00495FE7">
        <w:rPr>
          <w:rFonts w:ascii="Calibri" w:hAnsi="Calibri" w:cs="Calibri"/>
          <w:lang w:val="lt-LT"/>
        </w:rPr>
        <w:t>nekilnojamojo kultūros paveldo apsaugos specialist</w:t>
      </w:r>
      <w:r w:rsidR="009D6B85" w:rsidRPr="00495FE7">
        <w:rPr>
          <w:rFonts w:ascii="Calibri" w:hAnsi="Calibri" w:cs="Calibri"/>
          <w:lang w:val="lt-LT"/>
        </w:rPr>
        <w:t>o</w:t>
      </w:r>
      <w:r w:rsidR="002F43B6" w:rsidRPr="00495FE7">
        <w:rPr>
          <w:rFonts w:ascii="Calibri" w:hAnsi="Calibri" w:cs="Calibri"/>
          <w:lang w:val="lt-LT"/>
        </w:rPr>
        <w:t xml:space="preserve"> atestatų</w:t>
      </w:r>
      <w:r w:rsidR="009D6B85" w:rsidRPr="00495FE7">
        <w:rPr>
          <w:rFonts w:ascii="Calibri" w:hAnsi="Calibri" w:cs="Calibri"/>
          <w:lang w:val="lt-LT"/>
        </w:rPr>
        <w:t xml:space="preserve">. </w:t>
      </w:r>
      <w:r w:rsidR="00673F93" w:rsidRPr="00495FE7">
        <w:rPr>
          <w:rFonts w:ascii="Calibri" w:hAnsi="Calibri" w:cs="Calibri"/>
          <w:lang w:val="lt-LT"/>
        </w:rPr>
        <w:t>Pagal Lietuvos Respublikos nekilnojamojo kultūros paveldo apsaugos įstatymo 23</w:t>
      </w:r>
      <w:r w:rsidR="00673F93" w:rsidRPr="00495FE7">
        <w:rPr>
          <w:rFonts w:ascii="Calibri" w:hAnsi="Calibri" w:cs="Calibri"/>
          <w:vertAlign w:val="superscript"/>
          <w:lang w:val="lt-LT"/>
        </w:rPr>
        <w:t>1</w:t>
      </w:r>
      <w:r w:rsidR="00673F93" w:rsidRPr="00495FE7">
        <w:rPr>
          <w:rFonts w:ascii="Calibri" w:hAnsi="Calibri" w:cs="Calibri"/>
          <w:lang w:val="lt-LT"/>
        </w:rPr>
        <w:t xml:space="preserve"> straipsnio nuostatas, kurios įsigaliojo nuo 2017 m. sausio 1 d., Nekilnojamojo kultūros paveldo apsaugos specialistų kvalifikacijos atestatus Nekilnojamojo kultūros paveldo apsaugos specialistų atestavimo komisijos teikimu išduoda ir keičia, atestatų galiojimą sustabdo, galiojimo sustabdymą panaikina ir galiojimą panaikina </w:t>
      </w:r>
      <w:r w:rsidR="00673F93" w:rsidRPr="00495FE7">
        <w:rPr>
          <w:rFonts w:ascii="Calibri" w:hAnsi="Calibri" w:cs="Calibri"/>
          <w:b/>
          <w:bCs/>
          <w:lang w:val="lt-LT"/>
        </w:rPr>
        <w:t>kultūros ministras.</w:t>
      </w:r>
      <w:r w:rsidR="00B0736B" w:rsidRPr="00495FE7">
        <w:rPr>
          <w:rFonts w:ascii="Calibri" w:hAnsi="Calibri" w:cs="Calibri"/>
          <w:b/>
          <w:bCs/>
          <w:lang w:val="lt-LT"/>
        </w:rPr>
        <w:t xml:space="preserve"> </w:t>
      </w:r>
      <w:r w:rsidR="00B0736B" w:rsidRPr="00495FE7">
        <w:rPr>
          <w:rFonts w:ascii="Calibri" w:hAnsi="Calibri" w:cs="Calibri"/>
          <w:lang w:val="lt-LT"/>
        </w:rPr>
        <w:t>A</w:t>
      </w:r>
      <w:r w:rsidR="00564B97" w:rsidRPr="00495FE7">
        <w:rPr>
          <w:rFonts w:ascii="Calibri" w:hAnsi="Calibri" w:cs="Calibri"/>
          <w:lang w:val="lt-LT"/>
        </w:rPr>
        <w:t>tsižvelgiant į tai, kas išdėstyta</w:t>
      </w:r>
      <w:r w:rsidR="008B00B7" w:rsidRPr="00495FE7">
        <w:rPr>
          <w:rFonts w:ascii="Calibri" w:hAnsi="Calibri" w:cs="Calibri"/>
          <w:lang w:val="lt-LT"/>
        </w:rPr>
        <w:t>,</w:t>
      </w:r>
      <w:r w:rsidR="00564B97" w:rsidRPr="00495FE7">
        <w:rPr>
          <w:rFonts w:ascii="Calibri" w:hAnsi="Calibri" w:cs="Calibri"/>
          <w:lang w:val="lt-LT"/>
        </w:rPr>
        <w:t xml:space="preserve"> Tarnyba </w:t>
      </w:r>
      <w:r w:rsidR="002D1EA2" w:rsidRPr="00495FE7">
        <w:rPr>
          <w:rFonts w:ascii="Calibri" w:hAnsi="Calibri" w:cs="Calibri"/>
          <w:lang w:val="lt-LT"/>
        </w:rPr>
        <w:t>rekomenduoja pakartotinai peržiūrėti ir</w:t>
      </w:r>
      <w:r w:rsidR="00F76E5D">
        <w:rPr>
          <w:rFonts w:ascii="Calibri" w:hAnsi="Calibri" w:cs="Calibri"/>
          <w:lang w:val="lt-LT"/>
        </w:rPr>
        <w:t xml:space="preserve">, esant poreikiui) </w:t>
      </w:r>
      <w:r w:rsidR="002D1EA2" w:rsidRPr="00495FE7">
        <w:rPr>
          <w:rFonts w:ascii="Calibri" w:hAnsi="Calibri" w:cs="Calibri"/>
          <w:lang w:val="lt-LT"/>
        </w:rPr>
        <w:t xml:space="preserve">patikslinti Kvalifikacijos reikalavimų lentelių 3.2.2 papunkčių skiltyje „Atitiktį reikalavimui įrodantys dokumentai“ pateiktą informaciją. </w:t>
      </w:r>
    </w:p>
    <w:p w14:paraId="7E5D343E" w14:textId="77777777" w:rsidR="00550E02" w:rsidRPr="00495FE7" w:rsidRDefault="00550E02" w:rsidP="00DA5C9F">
      <w:pPr>
        <w:pStyle w:val="paragraph"/>
        <w:spacing w:before="0" w:beforeAutospacing="0" w:after="0" w:afterAutospacing="0" w:line="276" w:lineRule="auto"/>
        <w:textAlignment w:val="baseline"/>
        <w:rPr>
          <w:rFonts w:ascii="Calibri" w:hAnsi="Calibri" w:cs="Calibri"/>
          <w:b/>
          <w:bCs/>
          <w:lang w:val="lt-LT" w:eastAsia="lt-LT"/>
        </w:rPr>
      </w:pPr>
    </w:p>
    <w:p w14:paraId="7E94CE37" w14:textId="42E55B95" w:rsidR="00996305" w:rsidRPr="00996305" w:rsidRDefault="00062580" w:rsidP="00996305">
      <w:pPr>
        <w:pStyle w:val="paragraph"/>
        <w:numPr>
          <w:ilvl w:val="0"/>
          <w:numId w:val="12"/>
        </w:numPr>
        <w:tabs>
          <w:tab w:val="left" w:pos="284"/>
        </w:tabs>
        <w:spacing w:before="0" w:beforeAutospacing="0" w:after="0" w:afterAutospacing="0" w:line="276" w:lineRule="auto"/>
        <w:textAlignment w:val="baseline"/>
        <w:rPr>
          <w:rFonts w:ascii="Calibri" w:hAnsi="Calibri" w:cs="Calibri"/>
          <w:lang w:val="lt-LT"/>
        </w:rPr>
      </w:pPr>
      <w:r w:rsidRPr="00495FE7">
        <w:rPr>
          <w:rFonts w:ascii="Calibri" w:hAnsi="Calibri" w:cs="Calibri"/>
          <w:b/>
          <w:bCs/>
          <w:lang w:val="lt-LT" w:eastAsia="lt-LT"/>
        </w:rPr>
        <w:t xml:space="preserve">Dėl </w:t>
      </w:r>
      <w:r w:rsidR="00145C7E" w:rsidRPr="00495FE7">
        <w:rPr>
          <w:rFonts w:ascii="Calibri" w:hAnsi="Calibri" w:cs="Calibri"/>
          <w:b/>
          <w:bCs/>
          <w:lang w:val="lt-LT" w:eastAsia="lt-LT"/>
        </w:rPr>
        <w:t xml:space="preserve">Pirkimų </w:t>
      </w:r>
      <w:r w:rsidRPr="00495FE7">
        <w:rPr>
          <w:rFonts w:ascii="Calibri" w:hAnsi="Calibri" w:cs="Calibri"/>
          <w:b/>
          <w:bCs/>
          <w:lang w:val="lt-LT" w:eastAsia="lt-LT"/>
        </w:rPr>
        <w:t>sutar</w:t>
      </w:r>
      <w:r w:rsidR="00680552" w:rsidRPr="00495FE7">
        <w:rPr>
          <w:rFonts w:ascii="Calibri" w:hAnsi="Calibri" w:cs="Calibri"/>
          <w:b/>
          <w:bCs/>
          <w:lang w:val="lt-LT" w:eastAsia="lt-LT"/>
        </w:rPr>
        <w:t>čių</w:t>
      </w:r>
      <w:r w:rsidRPr="00495FE7">
        <w:rPr>
          <w:rFonts w:ascii="Calibri" w:hAnsi="Calibri" w:cs="Calibri"/>
          <w:b/>
          <w:bCs/>
          <w:lang w:val="lt-LT" w:eastAsia="lt-LT"/>
        </w:rPr>
        <w:t xml:space="preserve"> projekt</w:t>
      </w:r>
      <w:r w:rsidR="00680552" w:rsidRPr="00495FE7">
        <w:rPr>
          <w:rFonts w:ascii="Calibri" w:hAnsi="Calibri" w:cs="Calibri"/>
          <w:b/>
          <w:bCs/>
          <w:lang w:val="lt-LT" w:eastAsia="lt-LT"/>
        </w:rPr>
        <w:t>ų</w:t>
      </w:r>
      <w:r w:rsidRPr="00495FE7">
        <w:rPr>
          <w:rFonts w:ascii="Calibri" w:hAnsi="Calibri" w:cs="Calibri"/>
          <w:b/>
          <w:bCs/>
          <w:lang w:val="lt-LT" w:eastAsia="lt-LT"/>
        </w:rPr>
        <w:t xml:space="preserve"> nuostatų</w:t>
      </w:r>
    </w:p>
    <w:p w14:paraId="04A2DB8E" w14:textId="0518622F" w:rsidR="00145722" w:rsidRDefault="00B556EA" w:rsidP="00DA5C9F">
      <w:pPr>
        <w:pStyle w:val="paragraph"/>
        <w:spacing w:before="0" w:beforeAutospacing="0" w:after="0" w:afterAutospacing="0" w:line="276" w:lineRule="auto"/>
        <w:textAlignment w:val="baseline"/>
        <w:rPr>
          <w:rFonts w:ascii="Calibri" w:hAnsi="Calibri" w:cs="Calibri"/>
          <w:lang w:val="lt-LT" w:eastAsia="lt-LT"/>
        </w:rPr>
      </w:pPr>
      <w:r w:rsidRPr="00B556EA">
        <w:rPr>
          <w:rFonts w:ascii="Calibri" w:hAnsi="Calibri" w:cs="Calibri"/>
          <w:lang w:val="lt-LT" w:eastAsia="lt-LT"/>
        </w:rPr>
        <w:t>Sutar</w:t>
      </w:r>
      <w:r w:rsidR="00FC6DAB">
        <w:rPr>
          <w:rFonts w:ascii="Calibri" w:hAnsi="Calibri" w:cs="Calibri"/>
          <w:lang w:val="lt-LT" w:eastAsia="lt-LT"/>
        </w:rPr>
        <w:t>čių</w:t>
      </w:r>
      <w:r w:rsidRPr="00B556EA">
        <w:rPr>
          <w:rFonts w:ascii="Calibri" w:hAnsi="Calibri" w:cs="Calibri"/>
          <w:lang w:val="lt-LT" w:eastAsia="lt-LT"/>
        </w:rPr>
        <w:t xml:space="preserve"> projektų 68.5 papunktyje nustatyta, jog „paslaugų Įkainiai (Inžinerinių paslaugų / </w:t>
      </w:r>
      <w:r w:rsidRPr="00CA48E4">
        <w:rPr>
          <w:rFonts w:ascii="Calibri" w:hAnsi="Calibri" w:cs="Calibri"/>
          <w:b/>
          <w:bCs/>
          <w:lang w:val="lt-LT" w:eastAsia="lt-LT"/>
        </w:rPr>
        <w:t>Darbo projekto</w:t>
      </w:r>
      <w:r w:rsidRPr="00B556EA">
        <w:rPr>
          <w:rFonts w:ascii="Calibri" w:hAnsi="Calibri" w:cs="Calibri"/>
          <w:lang w:val="lt-LT" w:eastAsia="lt-LT"/>
        </w:rPr>
        <w:t>) gali būti perskaičiuojami</w:t>
      </w:r>
      <w:r w:rsidR="00F76E5D">
        <w:rPr>
          <w:rFonts w:ascii="Calibri" w:hAnsi="Calibri" w:cs="Calibri"/>
          <w:lang w:val="lt-LT" w:eastAsia="lt-LT"/>
        </w:rPr>
        <w:t xml:space="preserve"> </w:t>
      </w:r>
      <w:r w:rsidRPr="00B556EA">
        <w:rPr>
          <w:rFonts w:ascii="Calibri" w:hAnsi="Calibri" w:cs="Calibri"/>
          <w:lang w:val="lt-LT" w:eastAsia="lt-LT"/>
        </w:rPr>
        <w:t>&lt;…&gt;”. Kadangi ši</w:t>
      </w:r>
      <w:r w:rsidR="001A6A51">
        <w:rPr>
          <w:rFonts w:ascii="Calibri" w:hAnsi="Calibri" w:cs="Calibri"/>
          <w:lang w:val="lt-LT" w:eastAsia="lt-LT"/>
        </w:rPr>
        <w:t>ais</w:t>
      </w:r>
      <w:r w:rsidRPr="00B556EA">
        <w:rPr>
          <w:rFonts w:ascii="Calibri" w:hAnsi="Calibri" w:cs="Calibri"/>
          <w:lang w:val="lt-LT" w:eastAsia="lt-LT"/>
        </w:rPr>
        <w:t xml:space="preserve"> atvej</w:t>
      </w:r>
      <w:r w:rsidR="001A6A51">
        <w:rPr>
          <w:rFonts w:ascii="Calibri" w:hAnsi="Calibri" w:cs="Calibri"/>
          <w:lang w:val="lt-LT" w:eastAsia="lt-LT"/>
        </w:rPr>
        <w:t>ais</w:t>
      </w:r>
      <w:r w:rsidRPr="00B556EA">
        <w:rPr>
          <w:rFonts w:ascii="Calibri" w:hAnsi="Calibri" w:cs="Calibri"/>
          <w:lang w:val="lt-LT" w:eastAsia="lt-LT"/>
        </w:rPr>
        <w:t xml:space="preserve"> </w:t>
      </w:r>
      <w:r w:rsidR="00F76E5D">
        <w:rPr>
          <w:rFonts w:ascii="Calibri" w:hAnsi="Calibri" w:cs="Calibri"/>
          <w:lang w:val="lt-LT" w:eastAsia="lt-LT"/>
        </w:rPr>
        <w:t xml:space="preserve">Pirkimais </w:t>
      </w:r>
      <w:r w:rsidRPr="00B556EA">
        <w:rPr>
          <w:rFonts w:ascii="Calibri" w:hAnsi="Calibri" w:cs="Calibri"/>
          <w:lang w:val="lt-LT" w:eastAsia="lt-LT"/>
        </w:rPr>
        <w:t>Darbo projekto rengim</w:t>
      </w:r>
      <w:r w:rsidR="00F76E5D">
        <w:rPr>
          <w:rFonts w:ascii="Calibri" w:hAnsi="Calibri" w:cs="Calibri"/>
          <w:lang w:val="lt-LT" w:eastAsia="lt-LT"/>
        </w:rPr>
        <w:t>o paslaugos nėra perkamos</w:t>
      </w:r>
      <w:r w:rsidRPr="00B556EA">
        <w:rPr>
          <w:rFonts w:ascii="Calibri" w:hAnsi="Calibri" w:cs="Calibri"/>
          <w:lang w:val="lt-LT" w:eastAsia="lt-LT"/>
        </w:rPr>
        <w:t>, Tarnyba rekomenduoja atsisakyti neaktualios informacijos.</w:t>
      </w:r>
    </w:p>
    <w:p w14:paraId="707ABEAA" w14:textId="77777777" w:rsidR="00CA48E4" w:rsidRDefault="00CA48E4" w:rsidP="00DA5C9F">
      <w:pPr>
        <w:pStyle w:val="paragraph"/>
        <w:spacing w:before="0" w:beforeAutospacing="0" w:after="0" w:afterAutospacing="0" w:line="276" w:lineRule="auto"/>
        <w:textAlignment w:val="baseline"/>
        <w:rPr>
          <w:rFonts w:ascii="Calibri" w:hAnsi="Calibri" w:cs="Calibri"/>
          <w:lang w:val="lt-LT" w:eastAsia="lt-LT"/>
        </w:rPr>
      </w:pPr>
    </w:p>
    <w:p w14:paraId="74D690E5" w14:textId="77777777" w:rsidR="004E0D98" w:rsidRPr="00495FE7" w:rsidRDefault="004E0D98" w:rsidP="00DA5C9F">
      <w:pPr>
        <w:pStyle w:val="paragraph"/>
        <w:spacing w:before="0" w:beforeAutospacing="0" w:after="0" w:afterAutospacing="0" w:line="276" w:lineRule="auto"/>
        <w:textAlignment w:val="baseline"/>
        <w:rPr>
          <w:rFonts w:ascii="Calibri" w:hAnsi="Calibri" w:cs="Calibri"/>
          <w:lang w:val="lt-LT" w:eastAsia="lt-LT"/>
        </w:rPr>
      </w:pPr>
    </w:p>
    <w:p w14:paraId="3B1A2983" w14:textId="77777777" w:rsidR="00550E76" w:rsidRPr="00550E76" w:rsidRDefault="00C47A81" w:rsidP="00550E76">
      <w:pPr>
        <w:pStyle w:val="paragraph"/>
        <w:numPr>
          <w:ilvl w:val="0"/>
          <w:numId w:val="12"/>
        </w:numPr>
        <w:spacing w:before="240" w:beforeAutospacing="0" w:after="240" w:afterAutospacing="0" w:line="276" w:lineRule="auto"/>
        <w:textAlignment w:val="baseline"/>
        <w:rPr>
          <w:rFonts w:asciiTheme="minorHAnsi" w:hAnsiTheme="minorHAnsi" w:cstheme="minorHAnsi"/>
          <w:lang w:val="lt-LT" w:eastAsia="lt-LT"/>
        </w:rPr>
      </w:pPr>
      <w:r w:rsidRPr="00C47A81">
        <w:rPr>
          <w:rFonts w:asciiTheme="minorHAnsi" w:hAnsiTheme="minorHAnsi" w:cstheme="minorHAnsi"/>
          <w:b/>
          <w:bCs/>
          <w:lang w:val="lt-LT" w:eastAsia="lt-LT"/>
        </w:rPr>
        <w:t xml:space="preserve">Dėl </w:t>
      </w:r>
      <w:r w:rsidR="00A64B3A">
        <w:rPr>
          <w:rFonts w:asciiTheme="minorHAnsi" w:hAnsiTheme="minorHAnsi" w:cstheme="minorHAnsi"/>
          <w:b/>
          <w:bCs/>
          <w:lang w:val="lt-LT" w:eastAsia="lt-LT"/>
        </w:rPr>
        <w:t xml:space="preserve">reikalavimų, susijusių su </w:t>
      </w:r>
      <w:r w:rsidR="00052CA5">
        <w:rPr>
          <w:rFonts w:asciiTheme="minorHAnsi" w:hAnsiTheme="minorHAnsi" w:cstheme="minorHAnsi"/>
          <w:b/>
          <w:bCs/>
          <w:lang w:val="lt-LT" w:eastAsia="lt-LT"/>
        </w:rPr>
        <w:t>nacionalini</w:t>
      </w:r>
      <w:r w:rsidR="00A64B3A">
        <w:rPr>
          <w:rFonts w:asciiTheme="minorHAnsi" w:hAnsiTheme="minorHAnsi" w:cstheme="minorHAnsi"/>
          <w:b/>
          <w:bCs/>
          <w:lang w:val="lt-LT" w:eastAsia="lt-LT"/>
        </w:rPr>
        <w:t>u</w:t>
      </w:r>
      <w:r w:rsidR="00052CA5">
        <w:rPr>
          <w:rFonts w:asciiTheme="minorHAnsi" w:hAnsiTheme="minorHAnsi" w:cstheme="minorHAnsi"/>
          <w:b/>
          <w:bCs/>
          <w:lang w:val="lt-LT" w:eastAsia="lt-LT"/>
        </w:rPr>
        <w:t xml:space="preserve"> saugum</w:t>
      </w:r>
      <w:r w:rsidR="00A64B3A">
        <w:rPr>
          <w:rFonts w:asciiTheme="minorHAnsi" w:hAnsiTheme="minorHAnsi" w:cstheme="minorHAnsi"/>
          <w:b/>
          <w:bCs/>
          <w:lang w:val="lt-LT" w:eastAsia="lt-LT"/>
        </w:rPr>
        <w:t>u</w:t>
      </w:r>
      <w:r w:rsidR="00052CA5">
        <w:rPr>
          <w:rFonts w:asciiTheme="minorHAnsi" w:hAnsiTheme="minorHAnsi" w:cstheme="minorHAnsi"/>
          <w:b/>
          <w:bCs/>
          <w:lang w:val="lt-LT" w:eastAsia="lt-LT"/>
        </w:rPr>
        <w:t xml:space="preserve"> </w:t>
      </w:r>
      <w:r w:rsidRPr="00C47A81">
        <w:rPr>
          <w:rFonts w:asciiTheme="minorHAnsi" w:hAnsiTheme="minorHAnsi" w:cstheme="minorHAnsi"/>
          <w:b/>
          <w:bCs/>
          <w:lang w:val="lt-LT" w:eastAsia="lt-LT"/>
        </w:rPr>
        <w:t>1 Pirkim</w:t>
      </w:r>
      <w:r w:rsidR="00052CA5">
        <w:rPr>
          <w:rFonts w:asciiTheme="minorHAnsi" w:hAnsiTheme="minorHAnsi" w:cstheme="minorHAnsi"/>
          <w:b/>
          <w:bCs/>
          <w:lang w:val="lt-LT" w:eastAsia="lt-LT"/>
        </w:rPr>
        <w:t>e</w:t>
      </w:r>
    </w:p>
    <w:p w14:paraId="6ADA4999" w14:textId="137B5BDA" w:rsidR="008446C9" w:rsidRPr="00550E76" w:rsidRDefault="00C47A81" w:rsidP="00550E76">
      <w:pPr>
        <w:pStyle w:val="paragraph"/>
        <w:spacing w:before="240" w:beforeAutospacing="0" w:after="240" w:afterAutospacing="0" w:line="276" w:lineRule="auto"/>
        <w:textAlignment w:val="baseline"/>
        <w:rPr>
          <w:rFonts w:asciiTheme="minorHAnsi" w:hAnsiTheme="minorHAnsi" w:cstheme="minorHAnsi"/>
          <w:lang w:val="lt-LT" w:eastAsia="lt-LT"/>
        </w:rPr>
      </w:pPr>
      <w:r w:rsidRPr="00C47A81">
        <w:rPr>
          <w:rFonts w:ascii="Calibri" w:hAnsi="Calibri" w:cs="Calibri"/>
          <w:lang w:val="lt-LT" w:eastAsia="lt-LT"/>
        </w:rPr>
        <w:t xml:space="preserve">Atkreiptinas dėmesys, jog Specialiųjų pirkimo sąlygų 5 dalyje nustatyta, kad </w:t>
      </w:r>
      <w:r w:rsidRPr="00C47A81">
        <w:rPr>
          <w:rFonts w:ascii="Calibri" w:hAnsi="Calibri" w:cs="Calibri"/>
          <w:b/>
          <w:bCs/>
          <w:lang w:val="lt-LT" w:eastAsia="lt-LT"/>
        </w:rPr>
        <w:t>reikalavimai, susiję su nacionaliniu saugumu netaikomi</w:t>
      </w:r>
      <w:r w:rsidRPr="00C47A81">
        <w:rPr>
          <w:rFonts w:ascii="Calibri" w:hAnsi="Calibri" w:cs="Calibri"/>
          <w:lang w:val="lt-LT" w:eastAsia="lt-LT"/>
        </w:rPr>
        <w:t>, tačiau Sutarties projekto 10.6 papunktyje nustatyta, jog Užsakovas „ne vėliau kaip per 5 darbo dienas įvertina Rangovo pagal VPĮ 39 straipsnio 3 dalį pateiktus dokumentus dėl prekių, kurios patenka į viešojo pirkimo objektų, nurodytų VPĮ 37 straipsnio 9 dalyje ir 47 straipsnio 9 dalyje, bendrojo viešųjų pirkimų žodyno kodų sąrašą, patvirtintą Lietuvos Respublikos Vyriausybės 2022 m. kovo 30 d. nutarimu Nr. 280 „Dėl Lietuvos Respublikos viešųjų pirkimų įstatymo 92 straipsnio 13, 14 ir 15 dalių nuostatų įgyvendinimo“ (pvz., vaizdo kameros, nenutrūkstamojo maitinimo šaltiniai ir pan.), ir informuoja Rangovą apie įvertinimo rezultatus. Rangovo pateikti dokumentai, nurodyti VPĮ 39 straipsnio 3 dalyje, turi leisti įsitikinti, kad prekių gamintojas ar jį kontroliuojantis asmuo nėra registruoti (jeigu gamintojas ar jį kontroliuojantis asmuo yra fizinis asmuo – nuolat gyvenantis ar turintis pilietybę) VPĮ 92 straipsnio 14 dalyje numatytame sąraše nurodytose valstybėse ar teritorijose ar yra iš jų”. Tarnyba rekomenduoja įvertinti nustatytas sąlygas ir</w:t>
      </w:r>
      <w:r w:rsidR="00F76E5D">
        <w:rPr>
          <w:rFonts w:ascii="Calibri" w:hAnsi="Calibri" w:cs="Calibri"/>
          <w:lang w:val="lt-LT" w:eastAsia="lt-LT"/>
        </w:rPr>
        <w:t>,</w:t>
      </w:r>
      <w:r w:rsidRPr="00C47A81">
        <w:rPr>
          <w:rFonts w:ascii="Calibri" w:hAnsi="Calibri" w:cs="Calibri"/>
          <w:lang w:val="lt-LT" w:eastAsia="lt-LT"/>
        </w:rPr>
        <w:t xml:space="preserve"> esant poreikiui</w:t>
      </w:r>
      <w:r w:rsidR="00F76E5D">
        <w:rPr>
          <w:rFonts w:ascii="Calibri" w:hAnsi="Calibri" w:cs="Calibri"/>
          <w:lang w:val="lt-LT" w:eastAsia="lt-LT"/>
        </w:rPr>
        <w:t>,</w:t>
      </w:r>
      <w:r w:rsidRPr="00C47A81">
        <w:rPr>
          <w:rFonts w:ascii="Calibri" w:hAnsi="Calibri" w:cs="Calibri"/>
          <w:lang w:val="lt-LT" w:eastAsia="lt-LT"/>
        </w:rPr>
        <w:t xml:space="preserve"> patikslinti </w:t>
      </w:r>
      <w:r w:rsidR="00F76E5D">
        <w:rPr>
          <w:rFonts w:ascii="Calibri" w:hAnsi="Calibri" w:cs="Calibri"/>
          <w:lang w:val="lt-LT" w:eastAsia="lt-LT"/>
        </w:rPr>
        <w:t>1 P</w:t>
      </w:r>
      <w:r w:rsidRPr="00C47A81">
        <w:rPr>
          <w:rFonts w:ascii="Calibri" w:hAnsi="Calibri" w:cs="Calibri"/>
          <w:lang w:val="lt-LT" w:eastAsia="lt-LT"/>
        </w:rPr>
        <w:t>irkimo dokumentus.</w:t>
      </w:r>
    </w:p>
    <w:p w14:paraId="581C022F" w14:textId="5847452F" w:rsidR="00EF252D" w:rsidRPr="00495FE7" w:rsidRDefault="00EF252D" w:rsidP="00DA5C9F">
      <w:pPr>
        <w:pBdr>
          <w:top w:val="none" w:sz="0" w:space="0" w:color="auto"/>
          <w:left w:val="none" w:sz="0" w:space="0" w:color="auto"/>
          <w:bottom w:val="none" w:sz="0" w:space="0" w:color="auto"/>
          <w:right w:val="none" w:sz="0" w:space="0" w:color="auto"/>
        </w:pBdr>
        <w:tabs>
          <w:tab w:val="left" w:pos="567"/>
          <w:tab w:val="left" w:pos="993"/>
        </w:tabs>
        <w:spacing w:line="276" w:lineRule="auto"/>
        <w:jc w:val="left"/>
        <w:rPr>
          <w:rFonts w:ascii="Calibri" w:eastAsiaTheme="minorHAnsi" w:hAnsi="Calibri" w:cs="Calibri"/>
          <w:sz w:val="24"/>
          <w:szCs w:val="24"/>
        </w:rPr>
      </w:pPr>
      <w:r w:rsidRPr="00495FE7">
        <w:rPr>
          <w:rFonts w:ascii="Calibri" w:eastAsiaTheme="minorHAnsi" w:hAnsi="Calibri" w:cs="Calibri"/>
          <w:sz w:val="24"/>
          <w:szCs w:val="24"/>
        </w:rPr>
        <w:t>Atsižvelgdama į tai, kas nurodyta, Tarnyba rekomenduoja peržiūrėti ir patikslinti Pirkimų dokumentus pagal šioje Rekomendacijoje pateiktas pastabas. Primename, kad P</w:t>
      </w:r>
      <w:r w:rsidR="00F76E5D">
        <w:rPr>
          <w:rFonts w:ascii="Calibri" w:eastAsiaTheme="minorHAnsi" w:hAnsi="Calibri" w:cs="Calibri"/>
          <w:sz w:val="24"/>
          <w:szCs w:val="24"/>
        </w:rPr>
        <w:t xml:space="preserve">erkančioji organizacija </w:t>
      </w:r>
      <w:r w:rsidRPr="00495FE7">
        <w:rPr>
          <w:rFonts w:ascii="Calibri" w:eastAsiaTheme="minorHAnsi" w:hAnsi="Calibri" w:cs="Calibri"/>
          <w:sz w:val="24"/>
          <w:szCs w:val="24"/>
        </w:rPr>
        <w:t>, patikslin</w:t>
      </w:r>
      <w:r w:rsidR="00F76E5D">
        <w:rPr>
          <w:rFonts w:ascii="Calibri" w:eastAsiaTheme="minorHAnsi" w:hAnsi="Calibri" w:cs="Calibri"/>
          <w:sz w:val="24"/>
          <w:szCs w:val="24"/>
        </w:rPr>
        <w:t>usi</w:t>
      </w:r>
      <w:r w:rsidRPr="00495FE7">
        <w:rPr>
          <w:rFonts w:ascii="Calibri" w:eastAsiaTheme="minorHAnsi" w:hAnsi="Calibri" w:cs="Calibri"/>
          <w:sz w:val="24"/>
          <w:szCs w:val="24"/>
        </w:rPr>
        <w:t xml:space="preserve"> Pirkimų dokumentus, turi visus pakeitimus paskelbti viešai Centrinėje viešųjų pirkimų informacinėje sistemoje (CVP IS) ir </w:t>
      </w:r>
      <w:r w:rsidR="00F76E5D">
        <w:rPr>
          <w:rFonts w:ascii="Calibri" w:eastAsiaTheme="minorHAnsi" w:hAnsi="Calibri" w:cs="Calibri"/>
          <w:sz w:val="24"/>
          <w:szCs w:val="24"/>
        </w:rPr>
        <w:t xml:space="preserve">spręsti klausimą dėl </w:t>
      </w:r>
      <w:r w:rsidRPr="00495FE7">
        <w:rPr>
          <w:rFonts w:ascii="Calibri" w:eastAsiaTheme="minorHAnsi" w:hAnsi="Calibri" w:cs="Calibri"/>
          <w:sz w:val="24"/>
          <w:szCs w:val="24"/>
        </w:rPr>
        <w:t xml:space="preserve"> pasiūlymų pateikimų termin</w:t>
      </w:r>
      <w:r w:rsidR="00F76E5D">
        <w:rPr>
          <w:rFonts w:ascii="Calibri" w:eastAsiaTheme="minorHAnsi" w:hAnsi="Calibri" w:cs="Calibri"/>
          <w:sz w:val="24"/>
          <w:szCs w:val="24"/>
        </w:rPr>
        <w:t xml:space="preserve">ų pratęsimo </w:t>
      </w:r>
      <w:r w:rsidRPr="00495FE7">
        <w:rPr>
          <w:rFonts w:ascii="Calibri" w:eastAsiaTheme="minorHAnsi" w:hAnsi="Calibri" w:cs="Calibri"/>
          <w:sz w:val="24"/>
          <w:szCs w:val="24"/>
        </w:rPr>
        <w:t>protingam laikotarpiui, per kurį potencialūs tiekėjai galėtų susipažinti su patikslintomis Pirkimų sąlygomis.</w:t>
      </w:r>
    </w:p>
    <w:p w14:paraId="458CB52B" w14:textId="0686EB9F" w:rsidR="00EF252D" w:rsidRPr="00495FE7" w:rsidRDefault="00EF252D" w:rsidP="00DA5C9F">
      <w:pPr>
        <w:pBdr>
          <w:top w:val="none" w:sz="0" w:space="0" w:color="auto"/>
          <w:left w:val="none" w:sz="0" w:space="0" w:color="auto"/>
          <w:bottom w:val="none" w:sz="0" w:space="0" w:color="auto"/>
          <w:right w:val="none" w:sz="0" w:space="0" w:color="auto"/>
        </w:pBdr>
        <w:tabs>
          <w:tab w:val="left" w:pos="567"/>
          <w:tab w:val="left" w:pos="993"/>
        </w:tabs>
        <w:spacing w:line="276" w:lineRule="auto"/>
        <w:jc w:val="left"/>
        <w:rPr>
          <w:rFonts w:ascii="Calibri" w:eastAsiaTheme="minorHAnsi" w:hAnsi="Calibri" w:cs="Calibri"/>
          <w:sz w:val="24"/>
          <w:szCs w:val="24"/>
        </w:rPr>
      </w:pPr>
      <w:r w:rsidRPr="00495FE7">
        <w:rPr>
          <w:rFonts w:ascii="Calibri" w:eastAsiaTheme="minorHAnsi" w:hAnsi="Calibri" w:cs="Calibri"/>
          <w:sz w:val="24"/>
          <w:szCs w:val="24"/>
        </w:rPr>
        <w:t>Pažymėtina, kad visais atvejais sprendimą dėl tolimesnio Pirkimų procedūrų vykdymo ar nutraukimo priima pats Pirkimų vykdytojas, vadovaudamasis Įstatymo 41 straipsnio 3</w:t>
      </w:r>
      <w:r w:rsidRPr="00495FE7">
        <w:rPr>
          <w:rFonts w:ascii="Calibri" w:eastAsiaTheme="minorHAnsi" w:hAnsi="Calibri" w:cs="Calibri"/>
          <w:sz w:val="24"/>
          <w:szCs w:val="24"/>
          <w:vertAlign w:val="superscript"/>
        </w:rPr>
        <w:footnoteReference w:id="4"/>
      </w:r>
      <w:r w:rsidRPr="00495FE7">
        <w:rPr>
          <w:rFonts w:ascii="Calibri" w:eastAsiaTheme="minorHAnsi" w:hAnsi="Calibri" w:cs="Calibri"/>
          <w:sz w:val="24"/>
          <w:szCs w:val="24"/>
        </w:rPr>
        <w:t xml:space="preserve"> ir 4</w:t>
      </w:r>
      <w:r w:rsidRPr="00495FE7">
        <w:rPr>
          <w:rFonts w:ascii="Calibri" w:eastAsiaTheme="minorHAnsi" w:hAnsi="Calibri" w:cs="Calibri"/>
          <w:sz w:val="24"/>
          <w:szCs w:val="24"/>
          <w:vertAlign w:val="superscript"/>
        </w:rPr>
        <w:footnoteReference w:id="5"/>
      </w:r>
      <w:r w:rsidRPr="00495FE7">
        <w:rPr>
          <w:rFonts w:ascii="Calibri" w:eastAsiaTheme="minorHAnsi" w:hAnsi="Calibri" w:cs="Calibri"/>
          <w:sz w:val="24"/>
          <w:szCs w:val="24"/>
        </w:rPr>
        <w:t xml:space="preserve"> dalių nuostatomis.</w:t>
      </w:r>
    </w:p>
    <w:p w14:paraId="3D533494" w14:textId="77777777" w:rsidR="001967BA" w:rsidRPr="00495FE7" w:rsidRDefault="001967BA" w:rsidP="00DA5C9F">
      <w:pPr>
        <w:pBdr>
          <w:top w:val="none" w:sz="0" w:space="0" w:color="auto"/>
          <w:left w:val="none" w:sz="0" w:space="0" w:color="auto"/>
          <w:bottom w:val="none" w:sz="0" w:space="0" w:color="auto"/>
          <w:right w:val="none" w:sz="0" w:space="0" w:color="auto"/>
        </w:pBdr>
        <w:spacing w:line="276" w:lineRule="auto"/>
        <w:jc w:val="left"/>
        <w:rPr>
          <w:rFonts w:ascii="Calibri" w:hAnsi="Calibri" w:cs="Calibri"/>
          <w:kern w:val="2"/>
          <w:sz w:val="24"/>
          <w:szCs w:val="24"/>
          <w14:ligatures w14:val="standardContextual"/>
        </w:rPr>
      </w:pPr>
    </w:p>
    <w:p w14:paraId="7862F737" w14:textId="35C37629" w:rsidR="00C60017" w:rsidRPr="00495FE7" w:rsidRDefault="00C60017" w:rsidP="0062208B">
      <w:pPr>
        <w:pBdr>
          <w:top w:val="none" w:sz="0" w:space="0" w:color="auto"/>
          <w:left w:val="none" w:sz="0" w:space="0" w:color="auto"/>
          <w:bottom w:val="none" w:sz="0" w:space="0" w:color="auto"/>
          <w:right w:val="none" w:sz="0" w:space="0" w:color="auto"/>
        </w:pBdr>
        <w:spacing w:line="276" w:lineRule="auto"/>
        <w:jc w:val="left"/>
        <w:rPr>
          <w:rFonts w:ascii="Calibri" w:hAnsi="Calibri" w:cs="Calibri"/>
          <w:kern w:val="2"/>
          <w:sz w:val="24"/>
          <w:szCs w:val="24"/>
          <w14:ligatures w14:val="standardContextual"/>
        </w:rPr>
      </w:pPr>
    </w:p>
    <w:sectPr w:rsidR="00C60017" w:rsidRPr="00495FE7" w:rsidSect="00B17834">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BF77" w14:textId="77777777" w:rsidR="00A64476" w:rsidRDefault="00A64476" w:rsidP="000E1FC6">
      <w:r>
        <w:separator/>
      </w:r>
    </w:p>
  </w:endnote>
  <w:endnote w:type="continuationSeparator" w:id="0">
    <w:p w14:paraId="01EEA467" w14:textId="77777777" w:rsidR="00A64476" w:rsidRDefault="00A64476" w:rsidP="000E1FC6">
      <w:r>
        <w:continuationSeparator/>
      </w:r>
    </w:p>
  </w:endnote>
  <w:endnote w:type="continuationNotice" w:id="1">
    <w:p w14:paraId="30E360FF" w14:textId="77777777" w:rsidR="00A64476" w:rsidRDefault="00A64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5EF0" w14:textId="77777777" w:rsidR="00A64476" w:rsidRDefault="00A64476" w:rsidP="000E1FC6">
      <w:r>
        <w:separator/>
      </w:r>
    </w:p>
  </w:footnote>
  <w:footnote w:type="continuationSeparator" w:id="0">
    <w:p w14:paraId="7D44338A" w14:textId="77777777" w:rsidR="00A64476" w:rsidRDefault="00A64476" w:rsidP="000E1FC6">
      <w:r>
        <w:continuationSeparator/>
      </w:r>
    </w:p>
  </w:footnote>
  <w:footnote w:type="continuationNotice" w:id="1">
    <w:p w14:paraId="341E3B71" w14:textId="77777777" w:rsidR="00A64476" w:rsidRDefault="00A64476"/>
  </w:footnote>
  <w:footnote w:id="2">
    <w:p w14:paraId="116B8FDB" w14:textId="77777777" w:rsidR="001B3EE6" w:rsidRPr="007E4886" w:rsidRDefault="001B3EE6" w:rsidP="001B3EE6">
      <w:pPr>
        <w:pStyle w:val="FootnoteText"/>
        <w:rPr>
          <w:rFonts w:cstheme="minorHAnsi"/>
        </w:rPr>
      </w:pPr>
      <w:r w:rsidRPr="007E4886">
        <w:rPr>
          <w:rStyle w:val="FootnoteReference"/>
          <w:rFonts w:cstheme="minorHAnsi"/>
        </w:rPr>
        <w:footnoteRef/>
      </w:r>
      <w:r w:rsidRPr="007E4886">
        <w:rPr>
          <w:rFonts w:cstheme="minorHAnsi"/>
        </w:rPr>
        <w:t xml:space="preserve"> Lietuvos Aukščiausiojo Teismo 2023-02-02 nutartis civilinėje byloje Nr. e3k-3-10-469/2023. </w:t>
      </w:r>
    </w:p>
  </w:footnote>
  <w:footnote w:id="3">
    <w:p w14:paraId="667A74E3" w14:textId="77777777" w:rsidR="001B3EE6" w:rsidRPr="007E4886" w:rsidRDefault="001B3EE6" w:rsidP="001B3EE6">
      <w:pPr>
        <w:pStyle w:val="FootnoteText"/>
        <w:rPr>
          <w:rFonts w:cstheme="minorHAnsi"/>
        </w:rPr>
      </w:pPr>
      <w:r w:rsidRPr="007E4886">
        <w:rPr>
          <w:rStyle w:val="FootnoteReference"/>
          <w:rFonts w:cstheme="minorHAnsi"/>
        </w:rPr>
        <w:footnoteRef/>
      </w:r>
      <w:r w:rsidRPr="007E4886">
        <w:rPr>
          <w:rFonts w:cstheme="minorHAnsi"/>
        </w:rPr>
        <w:t xml:space="preserve"> </w:t>
      </w:r>
      <w:r w:rsidRPr="007E4886">
        <w:rPr>
          <w:rFonts w:cstheme="minorHAnsi"/>
        </w:rPr>
        <w:t xml:space="preserve">Patvirtinta Viešųjų pirkimų tarnybos direktoriaus 2017 m. birželio 29 d. įsakymu Nr. 1S-105 „Dėl Tiekėjo kvalifikacijos reikalavimų nustatymo metodikos patvirtinimo“ (aktuali redakcija nuo 2022-04-01). </w:t>
      </w:r>
    </w:p>
  </w:footnote>
  <w:footnote w:id="4">
    <w:p w14:paraId="547A3264" w14:textId="77777777" w:rsidR="00EF252D" w:rsidRPr="00B832FD" w:rsidRDefault="00EF252D" w:rsidP="002221FD">
      <w:pPr>
        <w:pStyle w:val="FootnoteText"/>
        <w:rPr>
          <w:rFonts w:cstheme="minorHAnsi"/>
        </w:rPr>
      </w:pPr>
      <w:r w:rsidRPr="00B832FD">
        <w:rPr>
          <w:rStyle w:val="FootnoteReference"/>
          <w:rFonts w:cstheme="minorHAnsi"/>
        </w:rPr>
        <w:footnoteRef/>
      </w:r>
      <w:r w:rsidRPr="00B832FD">
        <w:rPr>
          <w:rFonts w:cstheme="minorHAnsi"/>
        </w:rPr>
        <w:t xml:space="preserve"> </w:t>
      </w:r>
      <w:r w:rsidRPr="00B832FD">
        <w:rPr>
          <w:rFonts w:cstheme="minorHAnsi"/>
        </w:rPr>
        <w:t>Įstatymo 41 straipsnio 3 dalis „Perkantysis subjektas privalo nutraukti pradėtas pirkimo ar projekto konkurso procedūras, jeigu buvo pažeisti šio įstatymo 29 straipsnio 1 dalyje nustatyti principai ir atitinkamos padėties negalima ištaisyti“.</w:t>
      </w:r>
    </w:p>
  </w:footnote>
  <w:footnote w:id="5">
    <w:p w14:paraId="6EEC0E53" w14:textId="77777777" w:rsidR="00EF252D" w:rsidRPr="00B832FD" w:rsidRDefault="00EF252D" w:rsidP="002221FD">
      <w:pPr>
        <w:pStyle w:val="FootnoteText"/>
        <w:rPr>
          <w:rFonts w:cstheme="minorHAnsi"/>
        </w:rPr>
      </w:pPr>
      <w:r w:rsidRPr="00B832FD">
        <w:rPr>
          <w:rStyle w:val="FootnoteReference"/>
          <w:rFonts w:cstheme="minorHAnsi"/>
        </w:rPr>
        <w:footnoteRef/>
      </w:r>
      <w:r w:rsidRPr="00B832FD">
        <w:rPr>
          <w:rFonts w:cstheme="minorHAnsi"/>
        </w:rPr>
        <w:t xml:space="preserve"> </w:t>
      </w:r>
      <w:r w:rsidRPr="00B832FD">
        <w:rPr>
          <w:rFonts w:cstheme="minorHAnsi"/>
        </w:rPr>
        <w:t>Įstatymo 41 straipsnio 4 dalis „Perkantysis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6F40"/>
    <w:multiLevelType w:val="multilevel"/>
    <w:tmpl w:val="6BFAD0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sz w:val="24"/>
        <w:szCs w:val="24"/>
      </w:rPr>
    </w:lvl>
    <w:lvl w:ilvl="2">
      <w:start w:val="1"/>
      <w:numFmt w:val="decimal"/>
      <w:isLgl/>
      <w:lvlText w:val="%1.%2.%3."/>
      <w:lvlJc w:val="left"/>
      <w:pPr>
        <w:ind w:left="1080" w:hanging="720"/>
      </w:pPr>
      <w:rPr>
        <w:rFonts w:asciiTheme="minorHAnsi" w:hAnsiTheme="minorHAnsi" w:cstheme="minorBidi" w:hint="default"/>
        <w:sz w:val="22"/>
      </w:rPr>
    </w:lvl>
    <w:lvl w:ilvl="3">
      <w:start w:val="1"/>
      <w:numFmt w:val="decimal"/>
      <w:isLgl/>
      <w:lvlText w:val="%1.%2.%3.%4."/>
      <w:lvlJc w:val="left"/>
      <w:pPr>
        <w:ind w:left="1080" w:hanging="720"/>
      </w:pPr>
      <w:rPr>
        <w:rFonts w:asciiTheme="minorHAnsi" w:hAnsiTheme="minorHAnsi" w:cstheme="minorBidi" w:hint="default"/>
        <w:sz w:val="22"/>
      </w:rPr>
    </w:lvl>
    <w:lvl w:ilvl="4">
      <w:start w:val="1"/>
      <w:numFmt w:val="decimal"/>
      <w:isLgl/>
      <w:lvlText w:val="%1.%2.%3.%4.%5."/>
      <w:lvlJc w:val="left"/>
      <w:pPr>
        <w:ind w:left="1440" w:hanging="1080"/>
      </w:pPr>
      <w:rPr>
        <w:rFonts w:asciiTheme="minorHAnsi" w:hAnsiTheme="minorHAnsi" w:cstheme="minorBidi" w:hint="default"/>
        <w:sz w:val="22"/>
      </w:rPr>
    </w:lvl>
    <w:lvl w:ilvl="5">
      <w:start w:val="1"/>
      <w:numFmt w:val="decimal"/>
      <w:isLgl/>
      <w:lvlText w:val="%1.%2.%3.%4.%5.%6."/>
      <w:lvlJc w:val="left"/>
      <w:pPr>
        <w:ind w:left="1440" w:hanging="1080"/>
      </w:pPr>
      <w:rPr>
        <w:rFonts w:asciiTheme="minorHAnsi" w:hAnsiTheme="minorHAnsi" w:cstheme="minorBidi" w:hint="default"/>
        <w:sz w:val="22"/>
      </w:rPr>
    </w:lvl>
    <w:lvl w:ilvl="6">
      <w:start w:val="1"/>
      <w:numFmt w:val="decimal"/>
      <w:isLgl/>
      <w:lvlText w:val="%1.%2.%3.%4.%5.%6.%7."/>
      <w:lvlJc w:val="left"/>
      <w:pPr>
        <w:ind w:left="1800" w:hanging="1440"/>
      </w:pPr>
      <w:rPr>
        <w:rFonts w:asciiTheme="minorHAnsi" w:hAnsiTheme="minorHAnsi" w:cstheme="minorBidi" w:hint="default"/>
        <w:sz w:val="22"/>
      </w:rPr>
    </w:lvl>
    <w:lvl w:ilvl="7">
      <w:start w:val="1"/>
      <w:numFmt w:val="decimal"/>
      <w:isLgl/>
      <w:lvlText w:val="%1.%2.%3.%4.%5.%6.%7.%8."/>
      <w:lvlJc w:val="left"/>
      <w:pPr>
        <w:ind w:left="1800" w:hanging="1440"/>
      </w:pPr>
      <w:rPr>
        <w:rFonts w:asciiTheme="minorHAnsi" w:hAnsiTheme="minorHAnsi" w:cstheme="minorBidi" w:hint="default"/>
        <w:sz w:val="22"/>
      </w:rPr>
    </w:lvl>
    <w:lvl w:ilvl="8">
      <w:start w:val="1"/>
      <w:numFmt w:val="decimal"/>
      <w:isLgl/>
      <w:lvlText w:val="%1.%2.%3.%4.%5.%6.%7.%8.%9."/>
      <w:lvlJc w:val="left"/>
      <w:pPr>
        <w:ind w:left="2160" w:hanging="1800"/>
      </w:pPr>
      <w:rPr>
        <w:rFonts w:asciiTheme="minorHAnsi" w:hAnsiTheme="minorHAnsi" w:cstheme="minorBidi" w:hint="default"/>
        <w:sz w:val="22"/>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60681D"/>
    <w:multiLevelType w:val="multilevel"/>
    <w:tmpl w:val="C870E704"/>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CA4326"/>
    <w:multiLevelType w:val="multilevel"/>
    <w:tmpl w:val="E25470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15:restartNumberingAfterBreak="0">
    <w:nsid w:val="4D7C4EB9"/>
    <w:multiLevelType w:val="multilevel"/>
    <w:tmpl w:val="224C3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013D5C"/>
    <w:multiLevelType w:val="multilevel"/>
    <w:tmpl w:val="035C3B82"/>
    <w:lvl w:ilvl="0">
      <w:start w:val="1"/>
      <w:numFmt w:val="decimal"/>
      <w:lvlText w:val="%1."/>
      <w:lvlJc w:val="left"/>
      <w:pPr>
        <w:ind w:left="1140" w:hanging="360"/>
      </w:pPr>
      <w:rPr>
        <w:rFonts w:eastAsia="Calibri" w:hint="default"/>
        <w:b/>
        <w:bCs/>
      </w:rPr>
    </w:lvl>
    <w:lvl w:ilvl="1">
      <w:start w:val="1"/>
      <w:numFmt w:val="decimal"/>
      <w:isLgl/>
      <w:lvlText w:val="%1.%2."/>
      <w:lvlJc w:val="left"/>
      <w:pPr>
        <w:ind w:left="1305" w:hanging="525"/>
      </w:pPr>
      <w:rPr>
        <w:rFonts w:ascii="Times New Roman" w:hAnsi="Times New Roman" w:cs="Times New Roman" w:hint="default"/>
        <w:b w:val="0"/>
        <w:bCs/>
        <w:i w:val="0"/>
        <w:iCs w:val="0"/>
        <w:sz w:val="24"/>
        <w:szCs w:val="24"/>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8"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9" w15:restartNumberingAfterBreak="0">
    <w:nsid w:val="6F8878A7"/>
    <w:multiLevelType w:val="hybridMultilevel"/>
    <w:tmpl w:val="CFBCFA50"/>
    <w:lvl w:ilvl="0" w:tplc="D52E02E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11"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abstractNum w:abstractNumId="12"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262859">
    <w:abstractNumId w:val="2"/>
  </w:num>
  <w:num w:numId="2" w16cid:durableId="1349720750">
    <w:abstractNumId w:val="12"/>
  </w:num>
  <w:num w:numId="3" w16cid:durableId="1898587526">
    <w:abstractNumId w:val="9"/>
  </w:num>
  <w:num w:numId="4" w16cid:durableId="1577323030">
    <w:abstractNumId w:val="5"/>
  </w:num>
  <w:num w:numId="5" w16cid:durableId="1111783380">
    <w:abstractNumId w:val="1"/>
  </w:num>
  <w:num w:numId="6" w16cid:durableId="1192957671">
    <w:abstractNumId w:val="4"/>
  </w:num>
  <w:num w:numId="7" w16cid:durableId="600182067">
    <w:abstractNumId w:val="7"/>
  </w:num>
  <w:num w:numId="8" w16cid:durableId="1862277364">
    <w:abstractNumId w:val="11"/>
  </w:num>
  <w:num w:numId="9" w16cid:durableId="1669357846">
    <w:abstractNumId w:val="8"/>
  </w:num>
  <w:num w:numId="10" w16cid:durableId="337343529">
    <w:abstractNumId w:val="10"/>
  </w:num>
  <w:num w:numId="11" w16cid:durableId="1962033026">
    <w:abstractNumId w:val="6"/>
  </w:num>
  <w:num w:numId="12" w16cid:durableId="1219048995">
    <w:abstractNumId w:val="3"/>
  </w:num>
  <w:num w:numId="13" w16cid:durableId="197998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378A"/>
    <w:rsid w:val="00004CAF"/>
    <w:rsid w:val="000068CA"/>
    <w:rsid w:val="00011469"/>
    <w:rsid w:val="00014377"/>
    <w:rsid w:val="00014F0E"/>
    <w:rsid w:val="000160EC"/>
    <w:rsid w:val="00021504"/>
    <w:rsid w:val="000224AA"/>
    <w:rsid w:val="00025C13"/>
    <w:rsid w:val="00033AEC"/>
    <w:rsid w:val="0003680B"/>
    <w:rsid w:val="000512A3"/>
    <w:rsid w:val="00052CA5"/>
    <w:rsid w:val="00053A09"/>
    <w:rsid w:val="000578A0"/>
    <w:rsid w:val="0006214A"/>
    <w:rsid w:val="00062580"/>
    <w:rsid w:val="0006431F"/>
    <w:rsid w:val="000730AE"/>
    <w:rsid w:val="000757F4"/>
    <w:rsid w:val="00076F67"/>
    <w:rsid w:val="00077FD0"/>
    <w:rsid w:val="00082654"/>
    <w:rsid w:val="0008314A"/>
    <w:rsid w:val="0009267E"/>
    <w:rsid w:val="00094819"/>
    <w:rsid w:val="000A110F"/>
    <w:rsid w:val="000A4531"/>
    <w:rsid w:val="000A52F6"/>
    <w:rsid w:val="000B15FA"/>
    <w:rsid w:val="000B69BA"/>
    <w:rsid w:val="000B6A98"/>
    <w:rsid w:val="000B76AA"/>
    <w:rsid w:val="000C0DCE"/>
    <w:rsid w:val="000E1FC6"/>
    <w:rsid w:val="000E67AD"/>
    <w:rsid w:val="000F46E5"/>
    <w:rsid w:val="00100766"/>
    <w:rsid w:val="00101C3C"/>
    <w:rsid w:val="00101E6B"/>
    <w:rsid w:val="00106441"/>
    <w:rsid w:val="00110C2E"/>
    <w:rsid w:val="00122264"/>
    <w:rsid w:val="00125055"/>
    <w:rsid w:val="00130914"/>
    <w:rsid w:val="00140709"/>
    <w:rsid w:val="001413E6"/>
    <w:rsid w:val="00145656"/>
    <w:rsid w:val="00145722"/>
    <w:rsid w:val="00145C7E"/>
    <w:rsid w:val="0014671D"/>
    <w:rsid w:val="0015364B"/>
    <w:rsid w:val="0016112E"/>
    <w:rsid w:val="00165387"/>
    <w:rsid w:val="00170551"/>
    <w:rsid w:val="00172D63"/>
    <w:rsid w:val="001779C3"/>
    <w:rsid w:val="0019065E"/>
    <w:rsid w:val="001912E7"/>
    <w:rsid w:val="0019383B"/>
    <w:rsid w:val="00194F43"/>
    <w:rsid w:val="001967BA"/>
    <w:rsid w:val="001A2260"/>
    <w:rsid w:val="001A5646"/>
    <w:rsid w:val="001A5760"/>
    <w:rsid w:val="001A6A51"/>
    <w:rsid w:val="001A7118"/>
    <w:rsid w:val="001B3EE6"/>
    <w:rsid w:val="001B60D3"/>
    <w:rsid w:val="001B65B2"/>
    <w:rsid w:val="001C0197"/>
    <w:rsid w:val="001D073F"/>
    <w:rsid w:val="001D0E01"/>
    <w:rsid w:val="001D12EC"/>
    <w:rsid w:val="001D689B"/>
    <w:rsid w:val="001D76F0"/>
    <w:rsid w:val="001E033C"/>
    <w:rsid w:val="001E3202"/>
    <w:rsid w:val="001E3426"/>
    <w:rsid w:val="001F7E69"/>
    <w:rsid w:val="00202CCA"/>
    <w:rsid w:val="0020484F"/>
    <w:rsid w:val="00206E99"/>
    <w:rsid w:val="002148FE"/>
    <w:rsid w:val="00220096"/>
    <w:rsid w:val="002221FD"/>
    <w:rsid w:val="00233459"/>
    <w:rsid w:val="0024322B"/>
    <w:rsid w:val="00243F0B"/>
    <w:rsid w:val="002503F4"/>
    <w:rsid w:val="00257C3C"/>
    <w:rsid w:val="00262622"/>
    <w:rsid w:val="00272E36"/>
    <w:rsid w:val="00273FE5"/>
    <w:rsid w:val="002804BA"/>
    <w:rsid w:val="002852FC"/>
    <w:rsid w:val="00285486"/>
    <w:rsid w:val="00291DEE"/>
    <w:rsid w:val="002B4201"/>
    <w:rsid w:val="002C542F"/>
    <w:rsid w:val="002D1B99"/>
    <w:rsid w:val="002D1EA2"/>
    <w:rsid w:val="002D6142"/>
    <w:rsid w:val="002E180B"/>
    <w:rsid w:val="002E5381"/>
    <w:rsid w:val="002E64B1"/>
    <w:rsid w:val="002E6A1C"/>
    <w:rsid w:val="002E7029"/>
    <w:rsid w:val="002F1FD0"/>
    <w:rsid w:val="002F43B6"/>
    <w:rsid w:val="00303BA7"/>
    <w:rsid w:val="00304C11"/>
    <w:rsid w:val="00310941"/>
    <w:rsid w:val="0031256A"/>
    <w:rsid w:val="00317246"/>
    <w:rsid w:val="0032225F"/>
    <w:rsid w:val="003236E3"/>
    <w:rsid w:val="00324729"/>
    <w:rsid w:val="003319BE"/>
    <w:rsid w:val="00332757"/>
    <w:rsid w:val="00336D6E"/>
    <w:rsid w:val="0035425C"/>
    <w:rsid w:val="00354E2B"/>
    <w:rsid w:val="00361DC4"/>
    <w:rsid w:val="003724A8"/>
    <w:rsid w:val="00372717"/>
    <w:rsid w:val="003741BC"/>
    <w:rsid w:val="0038259F"/>
    <w:rsid w:val="0038652D"/>
    <w:rsid w:val="00394E93"/>
    <w:rsid w:val="00396481"/>
    <w:rsid w:val="003A5B03"/>
    <w:rsid w:val="003A6F1A"/>
    <w:rsid w:val="003B0D96"/>
    <w:rsid w:val="003B1540"/>
    <w:rsid w:val="003B1720"/>
    <w:rsid w:val="003B199B"/>
    <w:rsid w:val="003B1C5C"/>
    <w:rsid w:val="003B5C19"/>
    <w:rsid w:val="003B694C"/>
    <w:rsid w:val="003C3E63"/>
    <w:rsid w:val="003D10BE"/>
    <w:rsid w:val="003D71C6"/>
    <w:rsid w:val="003E1C6C"/>
    <w:rsid w:val="003E3BF6"/>
    <w:rsid w:val="003E45EB"/>
    <w:rsid w:val="003E5E33"/>
    <w:rsid w:val="003F1344"/>
    <w:rsid w:val="003F29F6"/>
    <w:rsid w:val="003F7244"/>
    <w:rsid w:val="003F79FE"/>
    <w:rsid w:val="00403A87"/>
    <w:rsid w:val="0042042B"/>
    <w:rsid w:val="00421450"/>
    <w:rsid w:val="0043774F"/>
    <w:rsid w:val="004516D5"/>
    <w:rsid w:val="00452038"/>
    <w:rsid w:val="00457122"/>
    <w:rsid w:val="004623AE"/>
    <w:rsid w:val="00463C1B"/>
    <w:rsid w:val="004769C5"/>
    <w:rsid w:val="004948FC"/>
    <w:rsid w:val="00495FE7"/>
    <w:rsid w:val="00497BD0"/>
    <w:rsid w:val="004A6B81"/>
    <w:rsid w:val="004A7E21"/>
    <w:rsid w:val="004B15CF"/>
    <w:rsid w:val="004B60BB"/>
    <w:rsid w:val="004C7081"/>
    <w:rsid w:val="004D48E2"/>
    <w:rsid w:val="004D7AB9"/>
    <w:rsid w:val="004E0219"/>
    <w:rsid w:val="004E0D98"/>
    <w:rsid w:val="004E7917"/>
    <w:rsid w:val="00503DC5"/>
    <w:rsid w:val="00504E99"/>
    <w:rsid w:val="00505524"/>
    <w:rsid w:val="005058D6"/>
    <w:rsid w:val="005078EA"/>
    <w:rsid w:val="005104E2"/>
    <w:rsid w:val="00511F4B"/>
    <w:rsid w:val="00527CCF"/>
    <w:rsid w:val="00534E00"/>
    <w:rsid w:val="005355D9"/>
    <w:rsid w:val="00541DB4"/>
    <w:rsid w:val="00543D2A"/>
    <w:rsid w:val="00544ACC"/>
    <w:rsid w:val="005502C1"/>
    <w:rsid w:val="00550E02"/>
    <w:rsid w:val="00550E76"/>
    <w:rsid w:val="005517D1"/>
    <w:rsid w:val="00551C14"/>
    <w:rsid w:val="0055211A"/>
    <w:rsid w:val="00555F0C"/>
    <w:rsid w:val="0055760E"/>
    <w:rsid w:val="00563176"/>
    <w:rsid w:val="00564B97"/>
    <w:rsid w:val="00570F2E"/>
    <w:rsid w:val="00580D50"/>
    <w:rsid w:val="00582670"/>
    <w:rsid w:val="005872EE"/>
    <w:rsid w:val="005A3423"/>
    <w:rsid w:val="005A7173"/>
    <w:rsid w:val="005B191C"/>
    <w:rsid w:val="005C23AD"/>
    <w:rsid w:val="005C28D4"/>
    <w:rsid w:val="005C2E25"/>
    <w:rsid w:val="005C708E"/>
    <w:rsid w:val="005D1175"/>
    <w:rsid w:val="005E3922"/>
    <w:rsid w:val="005E6218"/>
    <w:rsid w:val="005F3DBB"/>
    <w:rsid w:val="00603495"/>
    <w:rsid w:val="00610240"/>
    <w:rsid w:val="0062208B"/>
    <w:rsid w:val="00622C7B"/>
    <w:rsid w:val="006242EB"/>
    <w:rsid w:val="0062435D"/>
    <w:rsid w:val="00624381"/>
    <w:rsid w:val="00625EC9"/>
    <w:rsid w:val="00634AFE"/>
    <w:rsid w:val="00636698"/>
    <w:rsid w:val="006373F0"/>
    <w:rsid w:val="00637E23"/>
    <w:rsid w:val="006407DD"/>
    <w:rsid w:val="00646ED4"/>
    <w:rsid w:val="00650D94"/>
    <w:rsid w:val="0067185A"/>
    <w:rsid w:val="006737F4"/>
    <w:rsid w:val="00673F93"/>
    <w:rsid w:val="00680552"/>
    <w:rsid w:val="00681D1F"/>
    <w:rsid w:val="00686A7A"/>
    <w:rsid w:val="006905FE"/>
    <w:rsid w:val="00690F78"/>
    <w:rsid w:val="00692235"/>
    <w:rsid w:val="00692725"/>
    <w:rsid w:val="0069521A"/>
    <w:rsid w:val="006A361B"/>
    <w:rsid w:val="006A6590"/>
    <w:rsid w:val="006B25AF"/>
    <w:rsid w:val="006C70D7"/>
    <w:rsid w:val="006D1E9E"/>
    <w:rsid w:val="006D66A4"/>
    <w:rsid w:val="006D6C54"/>
    <w:rsid w:val="006E0A20"/>
    <w:rsid w:val="006E3809"/>
    <w:rsid w:val="006E4CDC"/>
    <w:rsid w:val="006E501E"/>
    <w:rsid w:val="006F3A62"/>
    <w:rsid w:val="006F7893"/>
    <w:rsid w:val="006F7B0E"/>
    <w:rsid w:val="00706876"/>
    <w:rsid w:val="00713701"/>
    <w:rsid w:val="00714244"/>
    <w:rsid w:val="00720996"/>
    <w:rsid w:val="00734DBB"/>
    <w:rsid w:val="00740F1A"/>
    <w:rsid w:val="0074468B"/>
    <w:rsid w:val="007513E0"/>
    <w:rsid w:val="00753C7A"/>
    <w:rsid w:val="0075401D"/>
    <w:rsid w:val="007559AF"/>
    <w:rsid w:val="00755A6E"/>
    <w:rsid w:val="00767431"/>
    <w:rsid w:val="00776B8E"/>
    <w:rsid w:val="00783409"/>
    <w:rsid w:val="0078497F"/>
    <w:rsid w:val="007849C1"/>
    <w:rsid w:val="00792564"/>
    <w:rsid w:val="00795213"/>
    <w:rsid w:val="0079686F"/>
    <w:rsid w:val="007A16DE"/>
    <w:rsid w:val="007B24EF"/>
    <w:rsid w:val="007B4082"/>
    <w:rsid w:val="007C69D5"/>
    <w:rsid w:val="007C77B3"/>
    <w:rsid w:val="007C7ECD"/>
    <w:rsid w:val="007D2DD1"/>
    <w:rsid w:val="007E0ED9"/>
    <w:rsid w:val="007E5B27"/>
    <w:rsid w:val="007F3F51"/>
    <w:rsid w:val="008034E0"/>
    <w:rsid w:val="008050D8"/>
    <w:rsid w:val="00810824"/>
    <w:rsid w:val="0081159A"/>
    <w:rsid w:val="0081369F"/>
    <w:rsid w:val="008144A6"/>
    <w:rsid w:val="00830F6E"/>
    <w:rsid w:val="00831A79"/>
    <w:rsid w:val="00831E47"/>
    <w:rsid w:val="008359AF"/>
    <w:rsid w:val="008444E0"/>
    <w:rsid w:val="008446C9"/>
    <w:rsid w:val="00845418"/>
    <w:rsid w:val="00847E40"/>
    <w:rsid w:val="0085466B"/>
    <w:rsid w:val="00857989"/>
    <w:rsid w:val="00857CBD"/>
    <w:rsid w:val="00857E3B"/>
    <w:rsid w:val="008604C3"/>
    <w:rsid w:val="008626DE"/>
    <w:rsid w:val="00866435"/>
    <w:rsid w:val="00871025"/>
    <w:rsid w:val="00873DC5"/>
    <w:rsid w:val="008821A3"/>
    <w:rsid w:val="00884E89"/>
    <w:rsid w:val="0089164C"/>
    <w:rsid w:val="00891FFB"/>
    <w:rsid w:val="00896779"/>
    <w:rsid w:val="008A7D3E"/>
    <w:rsid w:val="008B00B7"/>
    <w:rsid w:val="008B1784"/>
    <w:rsid w:val="008B5BED"/>
    <w:rsid w:val="008C339F"/>
    <w:rsid w:val="008C65C5"/>
    <w:rsid w:val="008D0ACD"/>
    <w:rsid w:val="008D3029"/>
    <w:rsid w:val="008E1EB3"/>
    <w:rsid w:val="008E592E"/>
    <w:rsid w:val="008E6418"/>
    <w:rsid w:val="008E700E"/>
    <w:rsid w:val="008F0162"/>
    <w:rsid w:val="008F03BA"/>
    <w:rsid w:val="008F1EE1"/>
    <w:rsid w:val="008F69AC"/>
    <w:rsid w:val="00900D3F"/>
    <w:rsid w:val="00903AF3"/>
    <w:rsid w:val="0091071D"/>
    <w:rsid w:val="00911874"/>
    <w:rsid w:val="009128B5"/>
    <w:rsid w:val="009218DC"/>
    <w:rsid w:val="009267E8"/>
    <w:rsid w:val="00927BB4"/>
    <w:rsid w:val="00934871"/>
    <w:rsid w:val="00940A47"/>
    <w:rsid w:val="00947D33"/>
    <w:rsid w:val="0095508C"/>
    <w:rsid w:val="00956759"/>
    <w:rsid w:val="0096237D"/>
    <w:rsid w:val="00963DF7"/>
    <w:rsid w:val="00996305"/>
    <w:rsid w:val="009A1F38"/>
    <w:rsid w:val="009A4394"/>
    <w:rsid w:val="009A56C3"/>
    <w:rsid w:val="009B42E5"/>
    <w:rsid w:val="009B5A86"/>
    <w:rsid w:val="009B6614"/>
    <w:rsid w:val="009C0A15"/>
    <w:rsid w:val="009C2929"/>
    <w:rsid w:val="009C582E"/>
    <w:rsid w:val="009C61CF"/>
    <w:rsid w:val="009D1D87"/>
    <w:rsid w:val="009D5CB4"/>
    <w:rsid w:val="009D6B85"/>
    <w:rsid w:val="009E33D5"/>
    <w:rsid w:val="009E517D"/>
    <w:rsid w:val="009F2A72"/>
    <w:rsid w:val="009F391D"/>
    <w:rsid w:val="009F7DDE"/>
    <w:rsid w:val="00A039A1"/>
    <w:rsid w:val="00A07373"/>
    <w:rsid w:val="00A1585B"/>
    <w:rsid w:val="00A21BF9"/>
    <w:rsid w:val="00A26ED4"/>
    <w:rsid w:val="00A30365"/>
    <w:rsid w:val="00A32B98"/>
    <w:rsid w:val="00A3421B"/>
    <w:rsid w:val="00A45A7F"/>
    <w:rsid w:val="00A5750A"/>
    <w:rsid w:val="00A64476"/>
    <w:rsid w:val="00A64B3A"/>
    <w:rsid w:val="00A67258"/>
    <w:rsid w:val="00A70142"/>
    <w:rsid w:val="00A71CBF"/>
    <w:rsid w:val="00A73D7F"/>
    <w:rsid w:val="00A77160"/>
    <w:rsid w:val="00A817F0"/>
    <w:rsid w:val="00A82104"/>
    <w:rsid w:val="00A86CAE"/>
    <w:rsid w:val="00A906F9"/>
    <w:rsid w:val="00A92885"/>
    <w:rsid w:val="00A93ED9"/>
    <w:rsid w:val="00AA74DF"/>
    <w:rsid w:val="00AA79EA"/>
    <w:rsid w:val="00AB2A53"/>
    <w:rsid w:val="00AC6AE6"/>
    <w:rsid w:val="00AC727F"/>
    <w:rsid w:val="00AE1CBB"/>
    <w:rsid w:val="00AE7A5D"/>
    <w:rsid w:val="00AF3402"/>
    <w:rsid w:val="00B00226"/>
    <w:rsid w:val="00B0461A"/>
    <w:rsid w:val="00B0736B"/>
    <w:rsid w:val="00B1541E"/>
    <w:rsid w:val="00B17834"/>
    <w:rsid w:val="00B21CC4"/>
    <w:rsid w:val="00B22FAD"/>
    <w:rsid w:val="00B231DB"/>
    <w:rsid w:val="00B530F5"/>
    <w:rsid w:val="00B556EA"/>
    <w:rsid w:val="00B56DC7"/>
    <w:rsid w:val="00B70CDE"/>
    <w:rsid w:val="00B832FD"/>
    <w:rsid w:val="00B84493"/>
    <w:rsid w:val="00B916DD"/>
    <w:rsid w:val="00B95928"/>
    <w:rsid w:val="00B975CD"/>
    <w:rsid w:val="00BA72EF"/>
    <w:rsid w:val="00BB1DD7"/>
    <w:rsid w:val="00BB7041"/>
    <w:rsid w:val="00BC1349"/>
    <w:rsid w:val="00BC2087"/>
    <w:rsid w:val="00BC4974"/>
    <w:rsid w:val="00BC6FA7"/>
    <w:rsid w:val="00BD375A"/>
    <w:rsid w:val="00BD5549"/>
    <w:rsid w:val="00BE17BA"/>
    <w:rsid w:val="00BE4FA2"/>
    <w:rsid w:val="00BE7CB7"/>
    <w:rsid w:val="00BF05D0"/>
    <w:rsid w:val="00BF5573"/>
    <w:rsid w:val="00C00DFA"/>
    <w:rsid w:val="00C03AF4"/>
    <w:rsid w:val="00C111DD"/>
    <w:rsid w:val="00C11244"/>
    <w:rsid w:val="00C120E3"/>
    <w:rsid w:val="00C14B6F"/>
    <w:rsid w:val="00C202F5"/>
    <w:rsid w:val="00C209C5"/>
    <w:rsid w:val="00C24622"/>
    <w:rsid w:val="00C247D4"/>
    <w:rsid w:val="00C30DF6"/>
    <w:rsid w:val="00C3611A"/>
    <w:rsid w:val="00C3612C"/>
    <w:rsid w:val="00C4738F"/>
    <w:rsid w:val="00C47A81"/>
    <w:rsid w:val="00C60017"/>
    <w:rsid w:val="00C724CC"/>
    <w:rsid w:val="00C73E67"/>
    <w:rsid w:val="00C76D94"/>
    <w:rsid w:val="00C80F22"/>
    <w:rsid w:val="00C8298C"/>
    <w:rsid w:val="00C83B2C"/>
    <w:rsid w:val="00C847C1"/>
    <w:rsid w:val="00C86CAC"/>
    <w:rsid w:val="00CA48E4"/>
    <w:rsid w:val="00CA4C49"/>
    <w:rsid w:val="00CA5A80"/>
    <w:rsid w:val="00CB17B7"/>
    <w:rsid w:val="00CC2DB1"/>
    <w:rsid w:val="00CD04D6"/>
    <w:rsid w:val="00CD19DB"/>
    <w:rsid w:val="00CD284F"/>
    <w:rsid w:val="00CD7E71"/>
    <w:rsid w:val="00CE0DF4"/>
    <w:rsid w:val="00D010A7"/>
    <w:rsid w:val="00D0764B"/>
    <w:rsid w:val="00D0778E"/>
    <w:rsid w:val="00D12227"/>
    <w:rsid w:val="00D20E58"/>
    <w:rsid w:val="00D21293"/>
    <w:rsid w:val="00D21A07"/>
    <w:rsid w:val="00D2270C"/>
    <w:rsid w:val="00D22AEF"/>
    <w:rsid w:val="00D25885"/>
    <w:rsid w:val="00D26E48"/>
    <w:rsid w:val="00D26EED"/>
    <w:rsid w:val="00D31AE0"/>
    <w:rsid w:val="00D321C2"/>
    <w:rsid w:val="00D3650A"/>
    <w:rsid w:val="00D366FF"/>
    <w:rsid w:val="00D53097"/>
    <w:rsid w:val="00D54F99"/>
    <w:rsid w:val="00D575A4"/>
    <w:rsid w:val="00D70526"/>
    <w:rsid w:val="00D74731"/>
    <w:rsid w:val="00D761CA"/>
    <w:rsid w:val="00D861C8"/>
    <w:rsid w:val="00D86FBF"/>
    <w:rsid w:val="00D9328D"/>
    <w:rsid w:val="00DA01AC"/>
    <w:rsid w:val="00DA080C"/>
    <w:rsid w:val="00DA1D4A"/>
    <w:rsid w:val="00DA3693"/>
    <w:rsid w:val="00DA5C9F"/>
    <w:rsid w:val="00DB3370"/>
    <w:rsid w:val="00DB3B99"/>
    <w:rsid w:val="00DB620A"/>
    <w:rsid w:val="00DC29F3"/>
    <w:rsid w:val="00DC329C"/>
    <w:rsid w:val="00DC5A1F"/>
    <w:rsid w:val="00DD0E30"/>
    <w:rsid w:val="00DD429D"/>
    <w:rsid w:val="00DE28C6"/>
    <w:rsid w:val="00E00EB8"/>
    <w:rsid w:val="00E02173"/>
    <w:rsid w:val="00E053C8"/>
    <w:rsid w:val="00E12D81"/>
    <w:rsid w:val="00E160F3"/>
    <w:rsid w:val="00E20E0B"/>
    <w:rsid w:val="00E26F4B"/>
    <w:rsid w:val="00E352DA"/>
    <w:rsid w:val="00E37A6C"/>
    <w:rsid w:val="00E41EEF"/>
    <w:rsid w:val="00E4282A"/>
    <w:rsid w:val="00E47AF0"/>
    <w:rsid w:val="00E5237F"/>
    <w:rsid w:val="00E5705E"/>
    <w:rsid w:val="00E60EE7"/>
    <w:rsid w:val="00E63B50"/>
    <w:rsid w:val="00E66B70"/>
    <w:rsid w:val="00E705DD"/>
    <w:rsid w:val="00E75A1C"/>
    <w:rsid w:val="00E765C2"/>
    <w:rsid w:val="00E7719D"/>
    <w:rsid w:val="00E776EC"/>
    <w:rsid w:val="00E840C0"/>
    <w:rsid w:val="00E87940"/>
    <w:rsid w:val="00E93544"/>
    <w:rsid w:val="00E936B4"/>
    <w:rsid w:val="00EA516A"/>
    <w:rsid w:val="00EA6677"/>
    <w:rsid w:val="00EA7893"/>
    <w:rsid w:val="00EB006B"/>
    <w:rsid w:val="00EB051D"/>
    <w:rsid w:val="00EB1E8B"/>
    <w:rsid w:val="00EB47B4"/>
    <w:rsid w:val="00EC1A4A"/>
    <w:rsid w:val="00EC4927"/>
    <w:rsid w:val="00ED1920"/>
    <w:rsid w:val="00ED3A61"/>
    <w:rsid w:val="00ED57EC"/>
    <w:rsid w:val="00ED7785"/>
    <w:rsid w:val="00EE3BBC"/>
    <w:rsid w:val="00EE7730"/>
    <w:rsid w:val="00EF252D"/>
    <w:rsid w:val="00EF5151"/>
    <w:rsid w:val="00EF6FB1"/>
    <w:rsid w:val="00EF77D4"/>
    <w:rsid w:val="00EF7CE4"/>
    <w:rsid w:val="00F0071D"/>
    <w:rsid w:val="00F00C56"/>
    <w:rsid w:val="00F03DCB"/>
    <w:rsid w:val="00F03EBC"/>
    <w:rsid w:val="00F046FE"/>
    <w:rsid w:val="00F074A5"/>
    <w:rsid w:val="00F12A3C"/>
    <w:rsid w:val="00F21785"/>
    <w:rsid w:val="00F2412C"/>
    <w:rsid w:val="00F26C8E"/>
    <w:rsid w:val="00F2784A"/>
    <w:rsid w:val="00F31512"/>
    <w:rsid w:val="00F413EF"/>
    <w:rsid w:val="00F43E5A"/>
    <w:rsid w:val="00F443D8"/>
    <w:rsid w:val="00F54971"/>
    <w:rsid w:val="00F57CA9"/>
    <w:rsid w:val="00F60546"/>
    <w:rsid w:val="00F618C9"/>
    <w:rsid w:val="00F637A9"/>
    <w:rsid w:val="00F67AD5"/>
    <w:rsid w:val="00F70CA3"/>
    <w:rsid w:val="00F76CE0"/>
    <w:rsid w:val="00F76E5D"/>
    <w:rsid w:val="00F77460"/>
    <w:rsid w:val="00F80E59"/>
    <w:rsid w:val="00F817AC"/>
    <w:rsid w:val="00F81845"/>
    <w:rsid w:val="00F82A65"/>
    <w:rsid w:val="00F862E9"/>
    <w:rsid w:val="00F90CC4"/>
    <w:rsid w:val="00FA0DF8"/>
    <w:rsid w:val="00FB01D7"/>
    <w:rsid w:val="00FB45BD"/>
    <w:rsid w:val="00FC496E"/>
    <w:rsid w:val="00FC59DD"/>
    <w:rsid w:val="00FC6DAB"/>
    <w:rsid w:val="00FD2A51"/>
    <w:rsid w:val="00FE3E6A"/>
    <w:rsid w:val="00FE6C2F"/>
    <w:rsid w:val="00FF14C0"/>
    <w:rsid w:val="00FF46CE"/>
    <w:rsid w:val="00FF608D"/>
    <w:rsid w:val="00FF7374"/>
    <w:rsid w:val="02703B52"/>
    <w:rsid w:val="1E233F98"/>
    <w:rsid w:val="1F9FBEF6"/>
    <w:rsid w:val="39DBAAC7"/>
    <w:rsid w:val="3DC5A6AB"/>
    <w:rsid w:val="43797B02"/>
    <w:rsid w:val="4443541D"/>
    <w:rsid w:val="473BFC51"/>
    <w:rsid w:val="4CBF6868"/>
    <w:rsid w:val="4D921578"/>
    <w:rsid w:val="75153860"/>
    <w:rsid w:val="7D1B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A1D63520-8330-4538-8812-E3AE2ABD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0E3"/>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014377"/>
    <w:pPr>
      <w:spacing w:after="0" w:line="240" w:lineRule="auto"/>
    </w:pPr>
    <w:rPr>
      <w:rFonts w:ascii="Times New Roman" w:eastAsia="Times New Roman" w:hAnsi="Times New Roman" w:cs="Times New Roman"/>
      <w:kern w:val="0"/>
      <w:lang w:val="lt-LT"/>
      <w14:ligatures w14:val="none"/>
    </w:rPr>
  </w:style>
  <w:style w:type="paragraph" w:styleId="CommentSubject">
    <w:name w:val="annotation subject"/>
    <w:basedOn w:val="CommentText"/>
    <w:next w:val="CommentText"/>
    <w:link w:val="CommentSubjectChar"/>
    <w:uiPriority w:val="99"/>
    <w:semiHidden/>
    <w:unhideWhenUsed/>
    <w:rsid w:val="0075401D"/>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75401D"/>
    <w:rPr>
      <w:rFonts w:ascii="Times New Roman" w:eastAsia="Times New Roman" w:hAnsi="Times New Roman" w:cs="Times New Roman"/>
      <w:b/>
      <w:bCs/>
      <w:kern w:val="0"/>
      <w:sz w:val="2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A4531"/>
    <w:rPr>
      <w:rFonts w:ascii="Times New Roman" w:eastAsia="Times New Roman" w:hAnsi="Times New Roman" w:cs="Times New Roman"/>
      <w:kern w:val="0"/>
      <w:lang w:val="lt-LT"/>
      <w14:ligatures w14:val="none"/>
    </w:rPr>
  </w:style>
  <w:style w:type="paragraph" w:styleId="Header">
    <w:name w:val="header"/>
    <w:basedOn w:val="Normal"/>
    <w:link w:val="HeaderChar"/>
    <w:uiPriority w:val="99"/>
    <w:semiHidden/>
    <w:unhideWhenUsed/>
    <w:rsid w:val="00C86CAC"/>
    <w:pPr>
      <w:tabs>
        <w:tab w:val="center" w:pos="4680"/>
        <w:tab w:val="right" w:pos="9360"/>
      </w:tabs>
    </w:pPr>
  </w:style>
  <w:style w:type="character" w:customStyle="1" w:styleId="HeaderChar">
    <w:name w:val="Header Char"/>
    <w:basedOn w:val="DefaultParagraphFont"/>
    <w:link w:val="Header"/>
    <w:uiPriority w:val="99"/>
    <w:semiHidden/>
    <w:rsid w:val="00C86CAC"/>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C86CAC"/>
    <w:pPr>
      <w:tabs>
        <w:tab w:val="center" w:pos="4680"/>
        <w:tab w:val="right" w:pos="9360"/>
      </w:tabs>
    </w:pPr>
  </w:style>
  <w:style w:type="character" w:customStyle="1" w:styleId="FooterChar">
    <w:name w:val="Footer Char"/>
    <w:basedOn w:val="DefaultParagraphFont"/>
    <w:link w:val="Footer"/>
    <w:uiPriority w:val="99"/>
    <w:semiHidden/>
    <w:rsid w:val="00C86CAC"/>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2.xml><?xml version="1.0" encoding="utf-8"?>
<ds:datastoreItem xmlns:ds="http://schemas.openxmlformats.org/officeDocument/2006/customXml" ds:itemID="{554D5BB6-7998-4103-8853-1250502A5EF5}">
  <ds:schemaRefs>
    <ds:schemaRef ds:uri="http://schemas.microsoft.com/sharepoint/v3/contenttype/forms"/>
  </ds:schemaRefs>
</ds:datastoreItem>
</file>

<file path=customXml/itemProps3.xml><?xml version="1.0" encoding="utf-8"?>
<ds:datastoreItem xmlns:ds="http://schemas.openxmlformats.org/officeDocument/2006/customXml" ds:itemID="{7A213738-3D2B-4EDE-83C8-BE6AA636D33A}">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BD575304-C7D2-4255-8779-1605B98CF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1242</Words>
  <Characters>7082</Characters>
  <Application>Microsoft Office Word</Application>
  <DocSecurity>0</DocSecurity>
  <Lines>59</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8308</CharactersWithSpaces>
  <SharedDoc>false</SharedDoc>
  <HLinks>
    <vt:vector size="24" baseType="variant">
      <vt:variant>
        <vt:i4>196705</vt:i4>
      </vt:variant>
      <vt:variant>
        <vt:i4>6</vt:i4>
      </vt:variant>
      <vt:variant>
        <vt:i4>0</vt:i4>
      </vt:variant>
      <vt:variant>
        <vt:i4>5</vt:i4>
      </vt:variant>
      <vt:variant>
        <vt:lpwstr>mailto:Greta.Malisauskiene@vpt.lt</vt:lpwstr>
      </vt:variant>
      <vt:variant>
        <vt:lpwstr/>
      </vt:variant>
      <vt:variant>
        <vt:i4>458848</vt:i4>
      </vt:variant>
      <vt:variant>
        <vt:i4>3</vt:i4>
      </vt:variant>
      <vt:variant>
        <vt:i4>0</vt:i4>
      </vt:variant>
      <vt:variant>
        <vt:i4>5</vt:i4>
      </vt:variant>
      <vt:variant>
        <vt:lpwstr>mailto:jolanta.klimantaviciene@vpt.lt</vt:lpwstr>
      </vt:variant>
      <vt:variant>
        <vt:lpwstr/>
      </vt:variant>
      <vt:variant>
        <vt:i4>2293873</vt:i4>
      </vt:variant>
      <vt:variant>
        <vt:i4>0</vt:i4>
      </vt:variant>
      <vt:variant>
        <vt:i4>0</vt:i4>
      </vt:variant>
      <vt:variant>
        <vt:i4>5</vt:i4>
      </vt:variant>
      <vt:variant>
        <vt:lpwstr>https://vpt.lrv.lt/uploads/vpt/documents/files/LT_versija/CVP_IS/Mokymu_medziaga/Perkanciosioms_organizacijoms/%C5%BDVP pirkim%C5%B3 skelbim%C5%B3 pildymo instrukcija1 (1).pdf</vt:lpwstr>
      </vt:variant>
      <vt:variant>
        <vt:lpwstr/>
      </vt:variant>
      <vt:variant>
        <vt:i4>5111827</vt:i4>
      </vt:variant>
      <vt:variant>
        <vt:i4>0</vt:i4>
      </vt:variant>
      <vt:variant>
        <vt:i4>0</vt:i4>
      </vt:variant>
      <vt:variant>
        <vt:i4>5</vt:i4>
      </vt:variant>
      <vt:variant>
        <vt:lpwstr>https://www.e-tar.lt/portal/lt/legalAct/412980b0d2b311eba2bad9a0748ee64d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Asta Pelėdaitė</cp:lastModifiedBy>
  <cp:revision>4</cp:revision>
  <dcterms:created xsi:type="dcterms:W3CDTF">2025-02-28T09:58:00Z</dcterms:created>
  <dcterms:modified xsi:type="dcterms:W3CDTF">2025-03-03T05:19:00Z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