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EB8D" w14:textId="77777777" w:rsidR="002D4906" w:rsidRDefault="002D4906" w:rsidP="002D4906">
      <w:pPr>
        <w:spacing w:line="276" w:lineRule="auto"/>
        <w:ind w:firstLine="567"/>
        <w:rPr>
          <w:color w:val="000000"/>
        </w:rPr>
      </w:pPr>
      <w:r>
        <w:rPr>
          <w:color w:val="000000"/>
          <w:sz w:val="24"/>
          <w:szCs w:val="24"/>
          <w:lang w:val="lt-LT"/>
        </w:rPr>
        <w:t xml:space="preserve">Viešųjų pirkimų tarnyba (toliau – Tarnyba), vadovaudamasi Lietuvos Respublikos viešųjų pirkimų įstatymo (toliau – Įstatymas) 95 straipsnio 1 dalies 2 punktu, vykdydama Įstatymo ir su jo įgyvendinimu susijusių teisės aktų pažeidimų prevenciją, atliko vertinimą dėl neskelbiamų derybų būdo pasirinkimo pagrįstumo </w:t>
      </w:r>
      <w:r>
        <w:rPr>
          <w:b/>
          <w:bCs/>
          <w:color w:val="000000"/>
          <w:sz w:val="24"/>
          <w:szCs w:val="24"/>
          <w:lang w:val="lt-LT"/>
        </w:rPr>
        <w:t xml:space="preserve">Kretingos rajono savivaldybės administracijai </w:t>
      </w:r>
      <w:r>
        <w:rPr>
          <w:color w:val="000000"/>
          <w:sz w:val="24"/>
          <w:szCs w:val="24"/>
          <w:lang w:val="lt-LT"/>
        </w:rPr>
        <w:t>(toliau – Perkančioji organizacija) vykdant pirkimą</w:t>
      </w:r>
      <w:r>
        <w:rPr>
          <w:b/>
          <w:bCs/>
          <w:color w:val="000000"/>
          <w:sz w:val="24"/>
          <w:szCs w:val="24"/>
          <w:lang w:val="lt-LT"/>
        </w:rPr>
        <w:t xml:space="preserve"> „Rotušės aikštės ir jos prieigų tvarkymo techninio projekto parengimo paslaugos“</w:t>
      </w:r>
      <w:r>
        <w:rPr>
          <w:color w:val="000000"/>
          <w:sz w:val="24"/>
          <w:szCs w:val="24"/>
          <w:lang w:val="lt-LT"/>
        </w:rPr>
        <w:t xml:space="preserve"> </w:t>
      </w:r>
      <w:r>
        <w:rPr>
          <w:b/>
          <w:bCs/>
          <w:color w:val="000000"/>
          <w:sz w:val="24"/>
          <w:szCs w:val="24"/>
          <w:lang w:val="lt-LT"/>
        </w:rPr>
        <w:t>Nr. 727508</w:t>
      </w:r>
      <w:r>
        <w:rPr>
          <w:color w:val="000000"/>
          <w:sz w:val="24"/>
          <w:szCs w:val="24"/>
          <w:lang w:val="lt-LT"/>
        </w:rPr>
        <w:t xml:space="preserve">, paskelbtus </w:t>
      </w:r>
      <w:proofErr w:type="spellStart"/>
      <w:r>
        <w:rPr>
          <w:color w:val="000000"/>
          <w:sz w:val="24"/>
          <w:szCs w:val="24"/>
          <w:lang w:val="lt-LT"/>
        </w:rPr>
        <w:t>ex</w:t>
      </w:r>
      <w:proofErr w:type="spellEnd"/>
      <w:r>
        <w:rPr>
          <w:color w:val="000000"/>
          <w:sz w:val="24"/>
          <w:szCs w:val="24"/>
          <w:lang w:val="lt-LT"/>
        </w:rPr>
        <w:t xml:space="preserve"> ante</w:t>
      </w:r>
      <w:r>
        <w:rPr>
          <w:i/>
          <w:iCs/>
          <w:color w:val="000000"/>
          <w:sz w:val="24"/>
          <w:szCs w:val="24"/>
          <w:lang w:val="lt-LT"/>
        </w:rPr>
        <w:t xml:space="preserve"> </w:t>
      </w:r>
      <w:r>
        <w:rPr>
          <w:color w:val="000000"/>
          <w:sz w:val="24"/>
          <w:szCs w:val="24"/>
          <w:lang w:val="lt-LT"/>
        </w:rPr>
        <w:t>skaidrumo skelbimą, (toliau – Pirkimas).  </w:t>
      </w:r>
    </w:p>
    <w:p w14:paraId="12E012EE" w14:textId="0A10DDE9" w:rsidR="002D4906" w:rsidRDefault="002D4906" w:rsidP="002D4906">
      <w:pPr>
        <w:spacing w:line="276" w:lineRule="auto"/>
        <w:ind w:firstLine="567"/>
        <w:rPr>
          <w:color w:val="000000"/>
        </w:rPr>
      </w:pPr>
      <w:r>
        <w:rPr>
          <w:color w:val="000000"/>
          <w:sz w:val="24"/>
          <w:szCs w:val="24"/>
          <w:lang w:val="lt-LT"/>
        </w:rPr>
        <w:t> Pirkimo specialiųjų sąlygų 1.10 papunktyje nurodyta, kad Pirkimas vykdomas vadovaujantis Įstatymo 71 straipsnio 4 dalimi – „Neskelbiamų derybų būdu paslaugos taip pat gali būti perkamos po projekto konkurso, vykdyto laikantis šio įstatymo nustatytų reikalavimų, jeigu pirkimo sutartis sudaroma pagal projekto konkurse nustatytas taisykles ir perkama iš projekto konkurso laimėtojo arba vieno iš jų. Pastaruoju atveju į derybas kviečiami visi laimėtojai“.</w:t>
      </w:r>
    </w:p>
    <w:p w14:paraId="55CE9F1C" w14:textId="441DEBFE" w:rsidR="002D4906" w:rsidRDefault="002D4906" w:rsidP="002D4906">
      <w:pPr>
        <w:spacing w:line="276" w:lineRule="auto"/>
        <w:ind w:firstLine="567"/>
        <w:rPr>
          <w:color w:val="000000"/>
        </w:rPr>
      </w:pPr>
      <w:r>
        <w:rPr>
          <w:color w:val="000000"/>
          <w:sz w:val="24"/>
          <w:szCs w:val="24"/>
          <w:lang w:val="lt-LT"/>
        </w:rPr>
        <w:t> Perkančioji organizacija, atsakydama į Tarnybos prašymą pateikti neskelbiamų derybų būdo pasirinkimą pagrindžiančius įrodymus, taip pat nurodyti vykdyto projekto konkurso, kurio pagrindu vykdomas Pirkimas, pavadinimą, datą, numerį ir (ar) kt. informaciją, pateikė nuorodą į Lietuvos architektų sąjungos interneto tinklapį (</w:t>
      </w:r>
      <w:hyperlink r:id="rId5" w:tgtFrame="_blank" w:history="1">
        <w:r>
          <w:rPr>
            <w:rStyle w:val="Hyperlink"/>
            <w:color w:val="0563C1"/>
            <w:sz w:val="24"/>
            <w:szCs w:val="24"/>
          </w:rPr>
          <w:t>http://www.architektams.lt/konkursai/kretingos-centrines-miesto-dalies---rotuses-aikstes-ir-jos-prieigu-sutvarkymo-idejos-atviras-konkursas/</w:t>
        </w:r>
      </w:hyperlink>
      <w:r>
        <w:rPr>
          <w:color w:val="000000"/>
          <w:sz w:val="24"/>
          <w:szCs w:val="24"/>
          <w:lang w:val="lt-LT"/>
        </w:rPr>
        <w:t xml:space="preserve">), kuriame pateikta informacija apie Perkančiosios organizacijos ir Lietuvos architektų sąjungos Klaipėdos apskrities organizacijos skelbiamą Kretingos centrinės miesto dalies – Rotušės aikštės ir jos prieigų sutvarkymo idėjos atvirą konkursą. </w:t>
      </w:r>
    </w:p>
    <w:p w14:paraId="72BADBD2" w14:textId="6FF2CA1B" w:rsidR="002D4906" w:rsidRDefault="002D4906" w:rsidP="002D4906">
      <w:pPr>
        <w:spacing w:line="276" w:lineRule="auto"/>
        <w:ind w:firstLine="567"/>
        <w:rPr>
          <w:color w:val="000000"/>
        </w:rPr>
      </w:pPr>
      <w:r>
        <w:rPr>
          <w:color w:val="000000"/>
          <w:sz w:val="24"/>
          <w:szCs w:val="24"/>
          <w:lang w:val="lt-LT"/>
        </w:rPr>
        <w:t>Susipažinus ir įvertinus viešai paskelbtą informaciją bei dokument</w:t>
      </w:r>
      <w:r>
        <w:rPr>
          <w:color w:val="000000"/>
          <w:sz w:val="24"/>
          <w:szCs w:val="24"/>
          <w:lang w:val="lt-LT"/>
        </w:rPr>
        <w:t>u</w:t>
      </w:r>
      <w:r>
        <w:rPr>
          <w:color w:val="000000"/>
          <w:sz w:val="24"/>
          <w:szCs w:val="24"/>
          <w:lang w:val="lt-LT"/>
        </w:rPr>
        <w:t>s, nustatyta, kad 2014 metais buvo vykdomas Kretingos centrinės miesto dalies – Rotušės aikštės ir jos prieigų sutvarkymo idėjos atviras konkursas (toliau – konkursas). Konkurso sąlygų 2 punkte nustatyta, kad konkursą skelbianti organizacija yra Perkančioji organizacija, 3 punkte nurodyta, kad konkurso organizatorius – Lietuvos architektų sąjungos Klaipėdos apskrities organizacija, o 6 punkte nustatyta, kad konkurso tipas – idėjos konkursas.</w:t>
      </w:r>
    </w:p>
    <w:p w14:paraId="009C089D" w14:textId="50405462" w:rsidR="002D4906" w:rsidRDefault="002D4906" w:rsidP="002D4906">
      <w:pPr>
        <w:spacing w:line="276" w:lineRule="auto"/>
        <w:ind w:firstLine="567"/>
        <w:rPr>
          <w:color w:val="000000"/>
        </w:rPr>
      </w:pPr>
      <w:r>
        <w:rPr>
          <w:color w:val="000000"/>
          <w:sz w:val="24"/>
          <w:szCs w:val="24"/>
          <w:lang w:val="lt-LT"/>
        </w:rPr>
        <w:t xml:space="preserve"> Taip pat, Perkančioji organizacija, teikdama papildomus paaiškinimus, nurodė, kad konkursą 2014 m. vykdė Lietuvos architektų sąjunga pagal 2014 m. rugpjūčio 18 d. su Perkančiąją organizacija sudarytą paslaugų teikimo sutartį Nr. S1-669 (sutartis sudaryta įvykdžius viešąjį pirkimą). Papildomai nurodydama, </w:t>
      </w:r>
      <w:r>
        <w:rPr>
          <w:b/>
          <w:bCs/>
          <w:color w:val="000000"/>
          <w:sz w:val="24"/>
          <w:szCs w:val="24"/>
          <w:lang w:val="lt-LT"/>
        </w:rPr>
        <w:t>kad konkursas buvo vykdomas vadovaujantis Lietuvos architektų sąjungos architektūrinių konkursų nuostatais</w:t>
      </w:r>
      <w:r>
        <w:rPr>
          <w:color w:val="000000"/>
          <w:sz w:val="24"/>
          <w:szCs w:val="24"/>
          <w:lang w:val="lt-LT"/>
        </w:rPr>
        <w:t>, patvirtintais Lietuvos architektų sąjungos tarybos 2014 m. rugsėjo 4 d. sprendimu (toliau – Lietuvos architektų sąjungos nuostatai).</w:t>
      </w:r>
    </w:p>
    <w:p w14:paraId="79B7CB22" w14:textId="4EF22711" w:rsidR="002D4906" w:rsidRDefault="002D4906" w:rsidP="002D4906">
      <w:pPr>
        <w:spacing w:line="276" w:lineRule="auto"/>
        <w:ind w:firstLine="567"/>
        <w:rPr>
          <w:color w:val="000000"/>
        </w:rPr>
      </w:pPr>
      <w:r>
        <w:rPr>
          <w:color w:val="000000"/>
          <w:sz w:val="24"/>
          <w:szCs w:val="24"/>
          <w:lang w:val="lt-LT"/>
        </w:rPr>
        <w:t xml:space="preserve"> Tarnyba atkreipia dėmesį, kad Įstatymo 71 straipsnio 4 dalyje nustatyta, kad „Neskelbiamų derybų būdu paslaugos taip pat gali būti perkamos po projekto konkurso, vykdyto laikantis šio įstatymo nustatytų reikalavimų &lt;...&gt;“, t. y. neskelbiamos derybos šiuo pagrindu gali būti vykdomos </w:t>
      </w:r>
      <w:r>
        <w:rPr>
          <w:b/>
          <w:bCs/>
          <w:color w:val="000000"/>
          <w:sz w:val="24"/>
          <w:szCs w:val="24"/>
          <w:lang w:val="lt-LT"/>
        </w:rPr>
        <w:t>tik po projekto konkurso, kuris buvo vykdytas, vadovaujantis Įstatymo įtvirtinta tvarka ir sąlygomis</w:t>
      </w:r>
      <w:r>
        <w:rPr>
          <w:color w:val="000000"/>
          <w:sz w:val="24"/>
          <w:szCs w:val="24"/>
          <w:lang w:val="lt-LT"/>
        </w:rPr>
        <w:t>.</w:t>
      </w:r>
    </w:p>
    <w:p w14:paraId="1AF8DB9A" w14:textId="77777777" w:rsidR="002D4906" w:rsidRDefault="002D4906" w:rsidP="002D4906">
      <w:pPr>
        <w:spacing w:line="276" w:lineRule="auto"/>
        <w:ind w:firstLine="567"/>
        <w:rPr>
          <w:color w:val="000000"/>
        </w:rPr>
      </w:pPr>
      <w:r>
        <w:rPr>
          <w:color w:val="000000"/>
          <w:sz w:val="24"/>
          <w:szCs w:val="24"/>
          <w:lang w:val="lt-LT"/>
        </w:rPr>
        <w:t xml:space="preserve">Nagrinėjamu atveju, konkursas buvo vykdomas 2014 metais (Perkančioji organizacija pateikė 2014 m. rugsėjo 19 d. raštą Nr. (4.1.9.)-D3-4563, kuriuo buvo patvirtintos konkurso sąlygos). Vadovaujantis konkurso sąlygų patvirtinimo metu galiojusia Įstatymo redakcija, projekto konkurso vykdymo tvarką reglamentavo Įstatymo 67-69 straipsniai. Įstatymo 68 straipsnio 1 dalyje buvo numatyta, kad „Projekto konkursas skelbiamas vadovaujantis šio įstatymo 22 ir 23 straipsnių </w:t>
      </w:r>
      <w:r>
        <w:rPr>
          <w:color w:val="000000"/>
          <w:sz w:val="24"/>
          <w:szCs w:val="24"/>
          <w:lang w:val="lt-LT"/>
        </w:rPr>
        <w:lastRenderedPageBreak/>
        <w:t xml:space="preserve">nuostatomis“, o to paties straipsnio 7 dalyje buvo numatyta kad „Lietuvos Respublikos Vyriausybė ar jos įgaliota institucija tvirtina projekto konkurso organizavimo taisykles“, t. y. vadovaujantis nurodytomis konkurso vykdymo metu galiojusio Įstatymo nuostatomis, </w:t>
      </w:r>
      <w:r>
        <w:rPr>
          <w:b/>
          <w:bCs/>
          <w:color w:val="000000"/>
          <w:sz w:val="24"/>
          <w:szCs w:val="24"/>
          <w:lang w:val="lt-LT"/>
        </w:rPr>
        <w:t>konkursas turėjo būti skelbiamas Įstatymo 22 ir 23 straipsniuose nustatyta tvarka</w:t>
      </w:r>
      <w:r>
        <w:rPr>
          <w:color w:val="000000"/>
          <w:sz w:val="24"/>
          <w:szCs w:val="24"/>
          <w:lang w:val="lt-LT"/>
        </w:rPr>
        <w:t xml:space="preserve"> (Įstatymo 22 straipsnio 2 dalyje nustatyta, kad „Perkančioji organizacija, atlikdama prekių, paslaugų ar darbų pirkimą ar sudarydama preliminariąją sutartį atviro, riboto konkurso, skelbiamų derybų arba konkurencinio dialogo būdu, taip pat vykdydama projekto konkursą arba taikydama dinaminę pirkimo sistemą, privalo atskirai paskelbti apie pirkimą &lt;...&gt;“, o 23 straipsnio 1 dalyje nustatyta, kad „Skelbimai (išankstiniai skelbimai apie numatomus pirkimus, skelbimai apie pirkimus, skelbimai apie pirkimo sutarties sudarymą, skelbimai apie projekto konkurso rezultatus, pranešimai dėl savanoriško </w:t>
      </w:r>
      <w:proofErr w:type="spellStart"/>
      <w:r>
        <w:rPr>
          <w:color w:val="000000"/>
          <w:sz w:val="24"/>
          <w:szCs w:val="24"/>
          <w:lang w:val="lt-LT"/>
        </w:rPr>
        <w:t>ex</w:t>
      </w:r>
      <w:proofErr w:type="spellEnd"/>
      <w:r>
        <w:rPr>
          <w:color w:val="000000"/>
          <w:sz w:val="24"/>
          <w:szCs w:val="24"/>
          <w:lang w:val="lt-LT"/>
        </w:rPr>
        <w:t xml:space="preserve"> ante skaidrumo) skelbiami Europos Sąjungos oficialiajame leidinyje ir Centrinėje viešųjų pirkimų informacinėje sistemoje &lt;...&gt;“) ir vykdomas vadovaujantis Projekto konkurso organizavimo taisyklėmis, patvirtintomis Lietuvos Respublikos aplinkos ministro 2003 m. vasario 25 d. įsakymu Nr. 97 (konkurso metu galiojusia redakcija).</w:t>
      </w:r>
    </w:p>
    <w:p w14:paraId="1628D756" w14:textId="3AD18D7E" w:rsidR="002D4906" w:rsidRDefault="002D4906" w:rsidP="002D4906">
      <w:pPr>
        <w:spacing w:line="276" w:lineRule="auto"/>
        <w:ind w:firstLine="567"/>
        <w:rPr>
          <w:color w:val="000000"/>
        </w:rPr>
      </w:pPr>
      <w:r>
        <w:rPr>
          <w:color w:val="000000"/>
          <w:sz w:val="24"/>
          <w:szCs w:val="24"/>
          <w:lang w:val="lt-LT"/>
        </w:rPr>
        <w:t> Tarnyba pažymi, kad neskelbiamų derybų vykdymas yra Įstatymo išimtis, todėl sąlygos, leidžiančios atlikti pirkimus neskelbiamų derybų būdu, turi būti aiškinamos itin siaurai. Neskelbiamos derybos vadovaujantis Įstatymo 71 straipsnio 4 dalimi gali būti vykdomos tik tuo atveju, kai išpildomos minėtame straipsnyje nustatytos sąlygos, t. y., jeigu projekto konkursas buvo vykdomas vadovaujantis Įstatymo įtvirtinta tvarka ir sąlygomis. Nagrinėjamu atveju, Perkančioji organizacija nurodė, kad konkursas buvo vykdomas vadovaujantis Lietuvos architektų sąjungos nuostatais, taip pat, Perkančioji organizacija nepateikė informacijos, įrodančios, kad konkursas buvo skelbiamas Įstatymo nustatyta tvarka.</w:t>
      </w:r>
    </w:p>
    <w:p w14:paraId="37D9B637" w14:textId="77777777" w:rsidR="002D4906" w:rsidRDefault="002D4906" w:rsidP="002D4906">
      <w:pPr>
        <w:spacing w:line="276" w:lineRule="auto"/>
        <w:ind w:firstLine="567"/>
        <w:rPr>
          <w:color w:val="000000"/>
        </w:rPr>
      </w:pPr>
      <w:r>
        <w:rPr>
          <w:color w:val="000000"/>
          <w:sz w:val="24"/>
          <w:szCs w:val="24"/>
          <w:lang w:val="lt-LT"/>
        </w:rPr>
        <w:t xml:space="preserve">Atsižvelgiant į tai, kas nurodyta ir įvertinus pateikus dokumentus bei paaiškinimus, susijusius su Pirkimo būdo pasirinkimo pagrįstumu, </w:t>
      </w:r>
      <w:r>
        <w:rPr>
          <w:b/>
          <w:bCs/>
          <w:color w:val="000000"/>
          <w:sz w:val="24"/>
          <w:szCs w:val="24"/>
          <w:lang w:val="lt-LT"/>
        </w:rPr>
        <w:t>Tarnybos vertinimu</w:t>
      </w:r>
      <w:r>
        <w:rPr>
          <w:color w:val="000000"/>
          <w:sz w:val="24"/>
          <w:szCs w:val="24"/>
          <w:lang w:val="lt-LT"/>
        </w:rPr>
        <w:t xml:space="preserve">, Perkančiosios organizacijos </w:t>
      </w:r>
      <w:r>
        <w:rPr>
          <w:b/>
          <w:bCs/>
          <w:color w:val="000000"/>
          <w:sz w:val="24"/>
          <w:szCs w:val="24"/>
          <w:lang w:val="lt-LT"/>
        </w:rPr>
        <w:t>pasirinktas Pirkimo būdas neatitinka 71 straipsnio 4 dalyje nustatytų sąlygų, nes 2014 m. konkursas buvo vykdomas nesivadovaujant Įstatymo nustatyta tvarka</w:t>
      </w:r>
      <w:r>
        <w:rPr>
          <w:color w:val="000000"/>
          <w:sz w:val="24"/>
          <w:szCs w:val="24"/>
          <w:lang w:val="lt-LT"/>
        </w:rPr>
        <w:t>,</w:t>
      </w:r>
      <w:r>
        <w:rPr>
          <w:b/>
          <w:bCs/>
          <w:color w:val="000000"/>
          <w:sz w:val="24"/>
          <w:szCs w:val="24"/>
          <w:lang w:val="lt-LT"/>
        </w:rPr>
        <w:t xml:space="preserve"> </w:t>
      </w:r>
      <w:r>
        <w:rPr>
          <w:color w:val="000000"/>
          <w:sz w:val="24"/>
          <w:szCs w:val="24"/>
          <w:lang w:val="lt-LT"/>
        </w:rPr>
        <w:t xml:space="preserve">todėl Perkančioji organizacija negali šių paslaugų įsigyti neskelbiamų derybų būdu. </w:t>
      </w:r>
    </w:p>
    <w:p w14:paraId="363029C2" w14:textId="77777777" w:rsidR="002D4906" w:rsidRDefault="002D4906" w:rsidP="002D4906">
      <w:pPr>
        <w:spacing w:line="276" w:lineRule="auto"/>
        <w:ind w:firstLine="567"/>
        <w:rPr>
          <w:color w:val="000000"/>
        </w:rPr>
      </w:pPr>
      <w:r>
        <w:rPr>
          <w:color w:val="000000"/>
          <w:sz w:val="24"/>
          <w:szCs w:val="24"/>
          <w:lang w:val="lt-LT"/>
        </w:rPr>
        <w:t>Atsižvelgdama į tai, kas nurodyta, Tarnyba rekomenduoja šį Pirkimą nutraukti, o Pirkimu siekiamas įsigyti paslaugas pirkti vykdant konkurencingą viešojo pirkimo procedūrą, t. y. taikant kitus Įstatyme nustatytus viešojo pirkimo būdus.</w:t>
      </w:r>
    </w:p>
    <w:p w14:paraId="70BEBFC8" w14:textId="77777777" w:rsidR="002D4906" w:rsidRDefault="002D4906" w:rsidP="002D4906">
      <w:pPr>
        <w:spacing w:line="276" w:lineRule="auto"/>
        <w:ind w:firstLine="567"/>
        <w:rPr>
          <w:color w:val="000000"/>
        </w:rPr>
      </w:pPr>
      <w:r>
        <w:rPr>
          <w:color w:val="000000"/>
          <w:sz w:val="24"/>
          <w:szCs w:val="24"/>
          <w:lang w:val="lt-LT"/>
        </w:rPr>
        <w:t> </w:t>
      </w:r>
    </w:p>
    <w:p w14:paraId="4E9E5057" w14:textId="77777777" w:rsidR="00C157E5" w:rsidRDefault="00C157E5" w:rsidP="002D4906">
      <w:pPr>
        <w:spacing w:line="276" w:lineRule="auto"/>
        <w:ind w:firstLine="567"/>
      </w:pPr>
    </w:p>
    <w:sectPr w:rsidR="00C157E5" w:rsidSect="002D4906">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906"/>
    <w:rsid w:val="000267A3"/>
    <w:rsid w:val="001B376F"/>
    <w:rsid w:val="001C4184"/>
    <w:rsid w:val="002D4906"/>
    <w:rsid w:val="0035165B"/>
    <w:rsid w:val="004C79E2"/>
    <w:rsid w:val="005020EB"/>
    <w:rsid w:val="00564E7C"/>
    <w:rsid w:val="0087730F"/>
    <w:rsid w:val="00C157E5"/>
    <w:rsid w:val="00CA06E5"/>
    <w:rsid w:val="00D55839"/>
    <w:rsid w:val="00FD266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D594"/>
  <w15:chartTrackingRefBased/>
  <w15:docId w15:val="{442BF1AD-2B84-483E-BF46-BD1C464A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06"/>
    <w:pPr>
      <w:spacing w:after="0" w:line="252" w:lineRule="auto"/>
    </w:pPr>
    <w:rPr>
      <w:rFonts w:ascii="Calibri" w:eastAsia="Calibri" w:hAnsi="Calibri" w:cs="Calibri"/>
      <w:kern w:val="0"/>
    </w:rPr>
  </w:style>
  <w:style w:type="paragraph" w:styleId="Heading1">
    <w:name w:val="heading 1"/>
    <w:basedOn w:val="Normal"/>
    <w:next w:val="Normal"/>
    <w:link w:val="Heading1Char"/>
    <w:uiPriority w:val="9"/>
    <w:qFormat/>
    <w:rsid w:val="002D490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rPr>
  </w:style>
  <w:style w:type="paragraph" w:styleId="Heading2">
    <w:name w:val="heading 2"/>
    <w:basedOn w:val="Normal"/>
    <w:next w:val="Normal"/>
    <w:link w:val="Heading2Char"/>
    <w:uiPriority w:val="9"/>
    <w:semiHidden/>
    <w:unhideWhenUsed/>
    <w:qFormat/>
    <w:rsid w:val="002D490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rPr>
  </w:style>
  <w:style w:type="paragraph" w:styleId="Heading3">
    <w:name w:val="heading 3"/>
    <w:basedOn w:val="Normal"/>
    <w:next w:val="Normal"/>
    <w:link w:val="Heading3Char"/>
    <w:uiPriority w:val="9"/>
    <w:semiHidden/>
    <w:unhideWhenUsed/>
    <w:qFormat/>
    <w:rsid w:val="002D490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rPr>
  </w:style>
  <w:style w:type="paragraph" w:styleId="Heading4">
    <w:name w:val="heading 4"/>
    <w:basedOn w:val="Normal"/>
    <w:next w:val="Normal"/>
    <w:link w:val="Heading4Char"/>
    <w:uiPriority w:val="9"/>
    <w:semiHidden/>
    <w:unhideWhenUsed/>
    <w:qFormat/>
    <w:rsid w:val="002D4906"/>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lt-LT"/>
    </w:rPr>
  </w:style>
  <w:style w:type="paragraph" w:styleId="Heading5">
    <w:name w:val="heading 5"/>
    <w:basedOn w:val="Normal"/>
    <w:next w:val="Normal"/>
    <w:link w:val="Heading5Char"/>
    <w:uiPriority w:val="9"/>
    <w:semiHidden/>
    <w:unhideWhenUsed/>
    <w:qFormat/>
    <w:rsid w:val="002D4906"/>
    <w:pPr>
      <w:keepNext/>
      <w:keepLines/>
      <w:spacing w:before="80" w:after="40" w:line="259" w:lineRule="auto"/>
      <w:outlineLvl w:val="4"/>
    </w:pPr>
    <w:rPr>
      <w:rFonts w:asciiTheme="minorHAnsi" w:eastAsiaTheme="majorEastAsia" w:hAnsiTheme="minorHAnsi" w:cstheme="majorBidi"/>
      <w:color w:val="2F5496" w:themeColor="accent1" w:themeShade="BF"/>
      <w:kern w:val="2"/>
      <w:lang w:val="lt-LT"/>
    </w:rPr>
  </w:style>
  <w:style w:type="paragraph" w:styleId="Heading6">
    <w:name w:val="heading 6"/>
    <w:basedOn w:val="Normal"/>
    <w:next w:val="Normal"/>
    <w:link w:val="Heading6Char"/>
    <w:uiPriority w:val="9"/>
    <w:semiHidden/>
    <w:unhideWhenUsed/>
    <w:qFormat/>
    <w:rsid w:val="002D4906"/>
    <w:pPr>
      <w:keepNext/>
      <w:keepLines/>
      <w:spacing w:before="40" w:line="259" w:lineRule="auto"/>
      <w:outlineLvl w:val="5"/>
    </w:pPr>
    <w:rPr>
      <w:rFonts w:asciiTheme="minorHAnsi" w:eastAsiaTheme="majorEastAsia" w:hAnsiTheme="minorHAnsi" w:cstheme="majorBidi"/>
      <w:i/>
      <w:iCs/>
      <w:color w:val="595959" w:themeColor="text1" w:themeTint="A6"/>
      <w:kern w:val="2"/>
      <w:lang w:val="lt-LT"/>
    </w:rPr>
  </w:style>
  <w:style w:type="paragraph" w:styleId="Heading7">
    <w:name w:val="heading 7"/>
    <w:basedOn w:val="Normal"/>
    <w:next w:val="Normal"/>
    <w:link w:val="Heading7Char"/>
    <w:uiPriority w:val="9"/>
    <w:semiHidden/>
    <w:unhideWhenUsed/>
    <w:qFormat/>
    <w:rsid w:val="002D4906"/>
    <w:pPr>
      <w:keepNext/>
      <w:keepLines/>
      <w:spacing w:before="40" w:line="259" w:lineRule="auto"/>
      <w:outlineLvl w:val="6"/>
    </w:pPr>
    <w:rPr>
      <w:rFonts w:asciiTheme="minorHAnsi" w:eastAsiaTheme="majorEastAsia" w:hAnsiTheme="minorHAnsi" w:cstheme="majorBidi"/>
      <w:color w:val="595959" w:themeColor="text1" w:themeTint="A6"/>
      <w:kern w:val="2"/>
      <w:lang w:val="lt-LT"/>
    </w:rPr>
  </w:style>
  <w:style w:type="paragraph" w:styleId="Heading8">
    <w:name w:val="heading 8"/>
    <w:basedOn w:val="Normal"/>
    <w:next w:val="Normal"/>
    <w:link w:val="Heading8Char"/>
    <w:uiPriority w:val="9"/>
    <w:semiHidden/>
    <w:unhideWhenUsed/>
    <w:qFormat/>
    <w:rsid w:val="002D4906"/>
    <w:pPr>
      <w:keepNext/>
      <w:keepLines/>
      <w:spacing w:line="259" w:lineRule="auto"/>
      <w:outlineLvl w:val="7"/>
    </w:pPr>
    <w:rPr>
      <w:rFonts w:asciiTheme="minorHAnsi" w:eastAsiaTheme="majorEastAsia" w:hAnsiTheme="minorHAnsi" w:cstheme="majorBidi"/>
      <w:i/>
      <w:iCs/>
      <w:color w:val="272727" w:themeColor="text1" w:themeTint="D8"/>
      <w:kern w:val="2"/>
      <w:lang w:val="lt-LT"/>
    </w:rPr>
  </w:style>
  <w:style w:type="paragraph" w:styleId="Heading9">
    <w:name w:val="heading 9"/>
    <w:basedOn w:val="Normal"/>
    <w:next w:val="Normal"/>
    <w:link w:val="Heading9Char"/>
    <w:uiPriority w:val="9"/>
    <w:semiHidden/>
    <w:unhideWhenUsed/>
    <w:qFormat/>
    <w:rsid w:val="002D4906"/>
    <w:pPr>
      <w:keepNext/>
      <w:keepLines/>
      <w:spacing w:line="259" w:lineRule="auto"/>
      <w:outlineLvl w:val="8"/>
    </w:pPr>
    <w:rPr>
      <w:rFonts w:asciiTheme="minorHAnsi" w:eastAsiaTheme="majorEastAsia" w:hAnsiTheme="minorHAnsi" w:cstheme="majorBidi"/>
      <w:color w:val="272727" w:themeColor="text1" w:themeTint="D8"/>
      <w:kern w:val="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906"/>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2D4906"/>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2D4906"/>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2D4906"/>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2D4906"/>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2D4906"/>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2D4906"/>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2D4906"/>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2D4906"/>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2D4906"/>
    <w:pPr>
      <w:spacing w:after="80" w:line="240" w:lineRule="auto"/>
      <w:contextualSpacing/>
    </w:pPr>
    <w:rPr>
      <w:rFonts w:asciiTheme="majorHAnsi" w:eastAsiaTheme="majorEastAsia" w:hAnsiTheme="majorHAnsi" w:cstheme="majorBidi"/>
      <w:spacing w:val="-10"/>
      <w:kern w:val="28"/>
      <w:sz w:val="56"/>
      <w:szCs w:val="56"/>
      <w:lang w:val="lt-LT"/>
    </w:rPr>
  </w:style>
  <w:style w:type="character" w:customStyle="1" w:styleId="TitleChar">
    <w:name w:val="Title Char"/>
    <w:basedOn w:val="DefaultParagraphFont"/>
    <w:link w:val="Title"/>
    <w:uiPriority w:val="10"/>
    <w:rsid w:val="002D4906"/>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2D490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rPr>
  </w:style>
  <w:style w:type="character" w:customStyle="1" w:styleId="SubtitleChar">
    <w:name w:val="Subtitle Char"/>
    <w:basedOn w:val="DefaultParagraphFont"/>
    <w:link w:val="Subtitle"/>
    <w:uiPriority w:val="11"/>
    <w:rsid w:val="002D4906"/>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2D4906"/>
    <w:pPr>
      <w:spacing w:before="160" w:after="160" w:line="259" w:lineRule="auto"/>
      <w:jc w:val="center"/>
    </w:pPr>
    <w:rPr>
      <w:rFonts w:asciiTheme="minorHAnsi" w:eastAsiaTheme="minorHAnsi" w:hAnsiTheme="minorHAnsi" w:cstheme="minorBidi"/>
      <w:i/>
      <w:iCs/>
      <w:color w:val="404040" w:themeColor="text1" w:themeTint="BF"/>
      <w:kern w:val="2"/>
      <w:lang w:val="lt-LT"/>
    </w:rPr>
  </w:style>
  <w:style w:type="character" w:customStyle="1" w:styleId="QuoteChar">
    <w:name w:val="Quote Char"/>
    <w:basedOn w:val="DefaultParagraphFont"/>
    <w:link w:val="Quote"/>
    <w:uiPriority w:val="29"/>
    <w:rsid w:val="002D4906"/>
    <w:rPr>
      <w:i/>
      <w:iCs/>
      <w:color w:val="404040" w:themeColor="text1" w:themeTint="BF"/>
      <w:lang w:val="lt-LT"/>
    </w:rPr>
  </w:style>
  <w:style w:type="paragraph" w:styleId="ListParagraph">
    <w:name w:val="List Paragraph"/>
    <w:basedOn w:val="Normal"/>
    <w:uiPriority w:val="34"/>
    <w:qFormat/>
    <w:rsid w:val="002D4906"/>
    <w:pPr>
      <w:spacing w:after="160" w:line="259" w:lineRule="auto"/>
      <w:ind w:left="720"/>
      <w:contextualSpacing/>
    </w:pPr>
    <w:rPr>
      <w:rFonts w:asciiTheme="minorHAnsi" w:eastAsiaTheme="minorHAnsi" w:hAnsiTheme="minorHAnsi" w:cstheme="minorBidi"/>
      <w:kern w:val="2"/>
      <w:lang w:val="lt-LT"/>
    </w:rPr>
  </w:style>
  <w:style w:type="character" w:styleId="IntenseEmphasis">
    <w:name w:val="Intense Emphasis"/>
    <w:basedOn w:val="DefaultParagraphFont"/>
    <w:uiPriority w:val="21"/>
    <w:qFormat/>
    <w:rsid w:val="002D4906"/>
    <w:rPr>
      <w:i/>
      <w:iCs/>
      <w:color w:val="2F5496" w:themeColor="accent1" w:themeShade="BF"/>
    </w:rPr>
  </w:style>
  <w:style w:type="paragraph" w:styleId="IntenseQuote">
    <w:name w:val="Intense Quote"/>
    <w:basedOn w:val="Normal"/>
    <w:next w:val="Normal"/>
    <w:link w:val="IntenseQuoteChar"/>
    <w:uiPriority w:val="30"/>
    <w:qFormat/>
    <w:rsid w:val="002D490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lt-LT"/>
    </w:rPr>
  </w:style>
  <w:style w:type="character" w:customStyle="1" w:styleId="IntenseQuoteChar">
    <w:name w:val="Intense Quote Char"/>
    <w:basedOn w:val="DefaultParagraphFont"/>
    <w:link w:val="IntenseQuote"/>
    <w:uiPriority w:val="30"/>
    <w:rsid w:val="002D4906"/>
    <w:rPr>
      <w:i/>
      <w:iCs/>
      <w:color w:val="2F5496" w:themeColor="accent1" w:themeShade="BF"/>
      <w:lang w:val="lt-LT"/>
    </w:rPr>
  </w:style>
  <w:style w:type="character" w:styleId="IntenseReference">
    <w:name w:val="Intense Reference"/>
    <w:basedOn w:val="DefaultParagraphFont"/>
    <w:uiPriority w:val="32"/>
    <w:qFormat/>
    <w:rsid w:val="002D4906"/>
    <w:rPr>
      <w:b/>
      <w:bCs/>
      <w:smallCaps/>
      <w:color w:val="2F5496" w:themeColor="accent1" w:themeShade="BF"/>
      <w:spacing w:val="5"/>
    </w:rPr>
  </w:style>
  <w:style w:type="character" w:styleId="Hyperlink">
    <w:name w:val="Hyperlink"/>
    <w:basedOn w:val="DefaultParagraphFont"/>
    <w:uiPriority w:val="99"/>
    <w:semiHidden/>
    <w:unhideWhenUsed/>
    <w:rsid w:val="002D49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rchitektams.lt/konkursai/kretingos-centrines-miesto-dalies---rotuses-aikstes-ir-jos-prieigu-sutvarkymo-idejos-atviras-konkurs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78B62-2A52-439E-9100-21F7821D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962</Words>
  <Characters>5485</Characters>
  <Application>Microsoft Office Word</Application>
  <DocSecurity>0</DocSecurity>
  <Lines>45</Lines>
  <Paragraphs>12</Paragraphs>
  <ScaleCrop>false</ScaleCrop>
  <Company>VPT</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Jatulytė</dc:creator>
  <cp:keywords/>
  <dc:description/>
  <cp:lastModifiedBy>Šarūnė Jatulytė</cp:lastModifiedBy>
  <cp:revision>1</cp:revision>
  <dcterms:created xsi:type="dcterms:W3CDTF">2025-01-21T11:46:00Z</dcterms:created>
  <dcterms:modified xsi:type="dcterms:W3CDTF">2025-01-21T11:50:00Z</dcterms:modified>
</cp:coreProperties>
</file>