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91DED" w14:textId="77777777" w:rsidR="001B6D88" w:rsidRPr="00B25C55" w:rsidRDefault="001B6D88" w:rsidP="001B6D88">
      <w:pPr>
        <w:spacing w:after="0" w:line="276" w:lineRule="auto"/>
        <w:ind w:firstLine="709"/>
        <w:rPr>
          <w:rFonts w:ascii="Calibri" w:hAnsi="Calibri" w:cs="Calibri"/>
          <w:sz w:val="24"/>
          <w:szCs w:val="24"/>
        </w:rPr>
      </w:pPr>
      <w:r w:rsidRPr="00B25C55">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9DD04F" w14:textId="77777777" w:rsidR="001B6D88" w:rsidRPr="00B25C55" w:rsidRDefault="001B6D88" w:rsidP="001B6D88">
      <w:pPr>
        <w:spacing w:after="0" w:line="276" w:lineRule="auto"/>
        <w:ind w:firstLine="709"/>
        <w:rPr>
          <w:rFonts w:ascii="Calibri" w:hAnsi="Calibri" w:cs="Calibri"/>
          <w:sz w:val="24"/>
          <w:szCs w:val="24"/>
        </w:rPr>
      </w:pPr>
      <w:r w:rsidRPr="00B25C55">
        <w:rPr>
          <w:rFonts w:ascii="Calibri" w:eastAsia="Times New Roman" w:hAnsi="Calibri" w:cs="Calibri"/>
          <w:sz w:val="24"/>
          <w:szCs w:val="24"/>
          <w:lang w:val="lt"/>
        </w:rPr>
        <w:t xml:space="preserve">Vadovaujantis Tarnybai Įstatyme nustatyta pažeidimų prevencijos funkcija, šiuo metu atliekama </w:t>
      </w:r>
      <w:r w:rsidRPr="00B25C55">
        <w:rPr>
          <w:rFonts w:ascii="Calibri" w:eastAsia="Times New Roman" w:hAnsi="Calibri" w:cs="Calibri"/>
          <w:b/>
          <w:bCs/>
          <w:sz w:val="24"/>
          <w:szCs w:val="24"/>
          <w:lang w:val="lt"/>
        </w:rPr>
        <w:t>AB VIA Lietuva</w:t>
      </w:r>
      <w:r w:rsidRPr="00B25C55">
        <w:rPr>
          <w:rFonts w:ascii="Calibri" w:eastAsia="Times New Roman" w:hAnsi="Calibri" w:cs="Calibri"/>
          <w:sz w:val="24"/>
          <w:szCs w:val="24"/>
          <w:lang w:val="lt"/>
        </w:rPr>
        <w:t xml:space="preserve"> </w:t>
      </w:r>
      <w:r w:rsidRPr="00B25C55">
        <w:rPr>
          <w:rFonts w:ascii="Calibri" w:hAnsi="Calibri" w:cs="Calibri"/>
          <w:sz w:val="24"/>
          <w:szCs w:val="24"/>
          <w:lang w:eastAsia="lt-LT"/>
        </w:rPr>
        <w:t xml:space="preserve">(toliau – Perkančioji organizacija) vykdomo pirkimo </w:t>
      </w:r>
      <w:r w:rsidRPr="00B25C55">
        <w:rPr>
          <w:rFonts w:ascii="Calibri" w:hAnsi="Calibri" w:cs="Calibri"/>
          <w:b/>
          <w:bCs/>
          <w:sz w:val="24"/>
          <w:szCs w:val="24"/>
          <w:lang w:eastAsia="lt-LT"/>
        </w:rPr>
        <w:t xml:space="preserve">Nr. 601563 „Valstybinės reikšmės rajoninio kelio Nr. 2303 Kretinga – Kūlupėnai ruožo nuo 3,533 – 5,165 km </w:t>
      </w:r>
      <w:proofErr w:type="spellStart"/>
      <w:r w:rsidRPr="00B25C55">
        <w:rPr>
          <w:rFonts w:ascii="Calibri" w:hAnsi="Calibri" w:cs="Calibri"/>
          <w:b/>
          <w:bCs/>
          <w:sz w:val="24"/>
          <w:szCs w:val="24"/>
          <w:lang w:eastAsia="lt-LT"/>
        </w:rPr>
        <w:t>km</w:t>
      </w:r>
      <w:proofErr w:type="spellEnd"/>
      <w:r w:rsidRPr="00B25C55">
        <w:rPr>
          <w:rFonts w:ascii="Calibri" w:hAnsi="Calibri" w:cs="Calibri"/>
          <w:b/>
          <w:bCs/>
          <w:sz w:val="24"/>
          <w:szCs w:val="24"/>
          <w:lang w:eastAsia="lt-LT"/>
        </w:rPr>
        <w:t xml:space="preserve"> kapitalinis remontas, įrengiant taką (supaprastintas atviras konkursas)“</w:t>
      </w:r>
      <w:r w:rsidRPr="00B25C55">
        <w:rPr>
          <w:rFonts w:ascii="Calibri" w:hAnsi="Calibri" w:cs="Calibri"/>
          <w:sz w:val="24"/>
          <w:szCs w:val="24"/>
          <w:lang w:eastAsia="lt-LT"/>
        </w:rPr>
        <w:t xml:space="preserve"> (toliau – Pirkimas) </w:t>
      </w:r>
      <w:r w:rsidRPr="00B25C55">
        <w:rPr>
          <w:rFonts w:ascii="Calibri" w:hAnsi="Calibri" w:cs="Calibri"/>
          <w:sz w:val="24"/>
          <w:szCs w:val="24"/>
        </w:rPr>
        <w:t>dokumentų atitikties Įstatymui ir jį įgyvendinantiems teisės aktams peržiūra (peržiūra prevenciniais tikslais atliekama tam tikra apimtimi).</w:t>
      </w:r>
    </w:p>
    <w:p w14:paraId="2E4D3DEB" w14:textId="77777777" w:rsidR="001B6D88" w:rsidRPr="00B25C55" w:rsidRDefault="001B6D88" w:rsidP="001B6D88">
      <w:pPr>
        <w:spacing w:after="0" w:line="276" w:lineRule="auto"/>
        <w:ind w:firstLine="709"/>
        <w:rPr>
          <w:rFonts w:ascii="Calibri" w:hAnsi="Calibri" w:cs="Calibri"/>
          <w:sz w:val="24"/>
          <w:szCs w:val="24"/>
          <w:lang w:eastAsia="lt-LT"/>
        </w:rPr>
      </w:pPr>
      <w:r w:rsidRPr="00B25C55">
        <w:rPr>
          <w:rFonts w:ascii="Calibri" w:hAnsi="Calibri" w:cs="Calibri"/>
          <w:sz w:val="24"/>
          <w:szCs w:val="24"/>
          <w:lang w:eastAsia="lt-LT"/>
        </w:rPr>
        <w:t>Tarnyba, prevencine tvarka peržiūrėjusi Pirkimo dokumentus ir atsižvelgdama į galiojantį teisinį reglamentavimą, teikia rekomendacijas (toliau – Rekomendacija) dėl Pirkimo dokumentų nuostatų.</w:t>
      </w:r>
    </w:p>
    <w:p w14:paraId="644D2454" w14:textId="77777777" w:rsidR="001B6D88" w:rsidRPr="00B25C55" w:rsidRDefault="001B6D88" w:rsidP="001B6D88">
      <w:pPr>
        <w:spacing w:after="0" w:line="276" w:lineRule="auto"/>
        <w:ind w:firstLine="709"/>
        <w:rPr>
          <w:rFonts w:ascii="Calibri" w:hAnsi="Calibri" w:cs="Calibri"/>
          <w:sz w:val="24"/>
          <w:szCs w:val="24"/>
          <w:lang w:eastAsia="lt-LT"/>
        </w:rPr>
      </w:pPr>
    </w:p>
    <w:p w14:paraId="7E77A10C" w14:textId="77777777" w:rsidR="001B6D88" w:rsidRPr="00B25C55" w:rsidRDefault="001B6D88" w:rsidP="001B6D88">
      <w:pPr>
        <w:tabs>
          <w:tab w:val="left" w:pos="1276"/>
        </w:tabs>
        <w:spacing w:after="0" w:line="276" w:lineRule="auto"/>
        <w:ind w:firstLine="851"/>
        <w:rPr>
          <w:rFonts w:ascii="Calibri" w:hAnsi="Calibri" w:cs="Calibri"/>
          <w:b/>
          <w:bCs/>
          <w:sz w:val="24"/>
          <w:szCs w:val="24"/>
        </w:rPr>
      </w:pPr>
      <w:r w:rsidRPr="00B25C55">
        <w:rPr>
          <w:rFonts w:ascii="Calibri" w:hAnsi="Calibri" w:cs="Calibri"/>
          <w:b/>
          <w:bCs/>
          <w:sz w:val="24"/>
          <w:szCs w:val="24"/>
        </w:rPr>
        <w:t>Dėl informacijos skelbime apie pirkimą</w:t>
      </w:r>
    </w:p>
    <w:p w14:paraId="4E6A5733" w14:textId="77777777" w:rsidR="001B6D88" w:rsidRPr="00B25C55" w:rsidRDefault="001B6D88" w:rsidP="001B6D88">
      <w:pPr>
        <w:tabs>
          <w:tab w:val="left" w:pos="1276"/>
        </w:tabs>
        <w:spacing w:after="0" w:line="276" w:lineRule="auto"/>
        <w:ind w:firstLine="851"/>
        <w:rPr>
          <w:rFonts w:ascii="Calibri" w:eastAsia="Calibri" w:hAnsi="Calibri" w:cs="Calibri"/>
          <w:sz w:val="24"/>
          <w:szCs w:val="24"/>
          <w:lang w:val="lt"/>
        </w:rPr>
      </w:pPr>
      <w:r w:rsidRPr="00B25C55">
        <w:rPr>
          <w:rFonts w:ascii="Calibri" w:eastAsia="Calibri" w:hAnsi="Calibri" w:cs="Calibri"/>
          <w:b/>
          <w:bCs/>
          <w:sz w:val="24"/>
          <w:szCs w:val="24"/>
          <w:lang w:val="lt"/>
        </w:rPr>
        <w:t>1.</w:t>
      </w:r>
      <w:r w:rsidRPr="00B25C55">
        <w:rPr>
          <w:rFonts w:ascii="Calibri" w:eastAsia="Calibri" w:hAnsi="Calibri" w:cs="Calibri"/>
          <w:sz w:val="24"/>
          <w:szCs w:val="24"/>
          <w:lang w:val="lt"/>
        </w:rPr>
        <w:t xml:space="preserve"> Vadovaujantis Įstatymo 87 straipsnio 2 dalies 10 punkto nuostata „Pirkimo sutartyje, kai ji sudaroma raštu, </w:t>
      </w:r>
      <w:r w:rsidRPr="00B25C55">
        <w:rPr>
          <w:rFonts w:ascii="Calibri" w:eastAsia="Calibri" w:hAnsi="Calibri" w:cs="Calibri"/>
          <w:b/>
          <w:bCs/>
          <w:sz w:val="24"/>
          <w:szCs w:val="24"/>
          <w:lang w:val="lt"/>
        </w:rPr>
        <w:t>turi būti nustatytas sutarties galiojimas</w:t>
      </w:r>
      <w:r w:rsidRPr="00B25C55">
        <w:rPr>
          <w:rFonts w:ascii="Calibri" w:eastAsia="Calibri" w:hAnsi="Calibri" w:cs="Calibri"/>
          <w:sz w:val="24"/>
          <w:szCs w:val="24"/>
          <w:lang w:val="lt"/>
        </w:rPr>
        <w:t>“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aiškiai apibrėžtas sutarties galiojimas:</w:t>
      </w:r>
    </w:p>
    <w:p w14:paraId="60A01385" w14:textId="77777777" w:rsidR="001B6D88" w:rsidRPr="00B25C55" w:rsidRDefault="001B6D88" w:rsidP="001B6D88">
      <w:pPr>
        <w:tabs>
          <w:tab w:val="left" w:pos="1276"/>
        </w:tabs>
        <w:spacing w:after="0" w:line="276" w:lineRule="auto"/>
        <w:ind w:firstLine="851"/>
        <w:rPr>
          <w:rFonts w:ascii="Calibri" w:hAnsi="Calibri" w:cs="Calibri"/>
          <w:sz w:val="24"/>
          <w:szCs w:val="24"/>
        </w:rPr>
      </w:pPr>
      <w:r w:rsidRPr="00B25C55">
        <w:rPr>
          <w:rFonts w:ascii="Calibri" w:eastAsia="Calibri" w:hAnsi="Calibri" w:cs="Calibri"/>
          <w:sz w:val="24"/>
          <w:szCs w:val="24"/>
          <w:lang w:val="lt"/>
        </w:rPr>
        <w:t>Sutarties projekto 17 punkte nurodyta, kad „</w:t>
      </w:r>
      <w:bookmarkStart w:id="0" w:name="_Ref500751992"/>
      <w:bookmarkStart w:id="1" w:name="_Ref504138346"/>
      <w:bookmarkStart w:id="2" w:name="_Ref40776728"/>
      <w:bookmarkStart w:id="3" w:name="_Ref503868347"/>
      <w:bookmarkStart w:id="4" w:name="_Ref524535360"/>
      <w:bookmarkStart w:id="5" w:name="_Ref520276131"/>
      <w:bookmarkStart w:id="6" w:name="_Ref90650732"/>
      <w:r w:rsidRPr="00B25C55">
        <w:rPr>
          <w:rFonts w:ascii="Calibri" w:hAnsi="Calibri" w:cs="Calibri"/>
          <w:sz w:val="24"/>
          <w:szCs w:val="24"/>
        </w:rPr>
        <w:t>Rangovas Darbus &lt;...&gt; baigia per 9 mėnesių (-</w:t>
      </w:r>
      <w:proofErr w:type="spellStart"/>
      <w:r w:rsidRPr="00B25C55">
        <w:rPr>
          <w:rFonts w:ascii="Calibri" w:hAnsi="Calibri" w:cs="Calibri"/>
          <w:sz w:val="24"/>
          <w:szCs w:val="24"/>
        </w:rPr>
        <w:t>ius</w:t>
      </w:r>
      <w:proofErr w:type="spellEnd"/>
      <w:r w:rsidRPr="00B25C55">
        <w:rPr>
          <w:rFonts w:ascii="Calibri" w:hAnsi="Calibri" w:cs="Calibri"/>
          <w:sz w:val="24"/>
          <w:szCs w:val="24"/>
        </w:rPr>
        <w:t>) nuo Sutarties įsigaliojimo dienos</w:t>
      </w:r>
      <w:bookmarkEnd w:id="0"/>
      <w:bookmarkEnd w:id="1"/>
      <w:r w:rsidRPr="00B25C55">
        <w:rPr>
          <w:rFonts w:ascii="Calibri" w:hAnsi="Calibri" w:cs="Calibri"/>
          <w:sz w:val="24"/>
          <w:szCs w:val="24"/>
        </w:rPr>
        <w:t xml:space="preserve">. </w:t>
      </w:r>
      <w:bookmarkStart w:id="7" w:name="_Ref63759201"/>
      <w:bookmarkStart w:id="8" w:name="_Ref504138348"/>
      <w:bookmarkEnd w:id="2"/>
      <w:bookmarkEnd w:id="3"/>
      <w:bookmarkEnd w:id="4"/>
      <w:bookmarkEnd w:id="5"/>
      <w:r w:rsidRPr="00B25C55">
        <w:rPr>
          <w:rFonts w:ascii="Calibri" w:hAnsi="Calibri" w:cs="Calibri"/>
          <w:sz w:val="24"/>
          <w:szCs w:val="24"/>
        </w:rPr>
        <w:t xml:space="preserve">Tuo atveju, jeigu Sutarties </w:t>
      </w:r>
      <w:r w:rsidRPr="00B25C55">
        <w:rPr>
          <w:rFonts w:ascii="Calibri" w:hAnsi="Calibri" w:cs="Calibri"/>
          <w:sz w:val="24"/>
          <w:szCs w:val="24"/>
        </w:rPr>
        <w:fldChar w:fldCharType="begin"/>
      </w:r>
      <w:r w:rsidRPr="00B25C55">
        <w:rPr>
          <w:rFonts w:ascii="Calibri" w:hAnsi="Calibri" w:cs="Calibri"/>
          <w:sz w:val="24"/>
          <w:szCs w:val="24"/>
        </w:rPr>
        <w:instrText xml:space="preserve"> REF _Ref128073995 \r \h  \* MERGEFORMAT </w:instrText>
      </w:r>
      <w:r w:rsidRPr="00B25C55">
        <w:rPr>
          <w:rFonts w:ascii="Calibri" w:hAnsi="Calibri" w:cs="Calibri"/>
          <w:sz w:val="24"/>
          <w:szCs w:val="24"/>
        </w:rPr>
      </w:r>
      <w:r w:rsidRPr="00B25C55">
        <w:rPr>
          <w:rFonts w:ascii="Calibri" w:hAnsi="Calibri" w:cs="Calibri"/>
          <w:sz w:val="24"/>
          <w:szCs w:val="24"/>
        </w:rPr>
        <w:fldChar w:fldCharType="separate"/>
      </w:r>
      <w:r w:rsidRPr="00B25C55">
        <w:rPr>
          <w:rFonts w:ascii="Calibri" w:hAnsi="Calibri" w:cs="Calibri"/>
          <w:sz w:val="24"/>
          <w:szCs w:val="24"/>
        </w:rPr>
        <w:t>XII</w:t>
      </w:r>
      <w:r w:rsidRPr="00B25C55">
        <w:rPr>
          <w:rFonts w:ascii="Calibri" w:hAnsi="Calibri" w:cs="Calibri"/>
          <w:sz w:val="24"/>
          <w:szCs w:val="24"/>
        </w:rPr>
        <w:fldChar w:fldCharType="end"/>
      </w:r>
      <w:r w:rsidRPr="00B25C55">
        <w:rPr>
          <w:rFonts w:ascii="Calibri" w:hAnsi="Calibri" w:cs="Calibri"/>
          <w:sz w:val="24"/>
          <w:szCs w:val="24"/>
        </w:rPr>
        <w:t xml:space="preserve"> skyriuje nustatyta tvarka Šalys sudarė papildomą susitarimą, kuriuo be kita ko, susitarė dėl papildomo termino, šiame Sutarties punkte numatytas terminas pratęsiamas papildomame susitarime numatytam terminui. &lt;...&gt;“</w:t>
      </w:r>
      <w:bookmarkEnd w:id="6"/>
      <w:bookmarkEnd w:id="7"/>
      <w:r w:rsidRPr="00B25C55">
        <w:rPr>
          <w:rFonts w:ascii="Calibri" w:hAnsi="Calibri" w:cs="Calibri"/>
          <w:sz w:val="24"/>
          <w:szCs w:val="24"/>
        </w:rPr>
        <w:t>, Sutarties projekto 18 punkte nustatyta, kad „</w:t>
      </w:r>
      <w:bookmarkStart w:id="9" w:name="_Ref788732"/>
      <w:r w:rsidRPr="00B25C55">
        <w:rPr>
          <w:rFonts w:ascii="Calibri" w:hAnsi="Calibri" w:cs="Calibri"/>
          <w:sz w:val="24"/>
          <w:szCs w:val="24"/>
        </w:rPr>
        <w:t>Rangovas su Darbais susijusias Paslaugas, &lt;...&gt;, baigia per 2 mėnesius nuo Darbų pabaigos“</w:t>
      </w:r>
      <w:bookmarkEnd w:id="8"/>
      <w:bookmarkEnd w:id="9"/>
      <w:r w:rsidRPr="00B25C55">
        <w:rPr>
          <w:rFonts w:ascii="Calibri" w:hAnsi="Calibri" w:cs="Calibri"/>
          <w:sz w:val="24"/>
          <w:szCs w:val="24"/>
        </w:rPr>
        <w:t>, su Rangovu už atliktus darbus ir paslaugas atsiskaitoma per 60 dienų (Sutarties projekto 73</w:t>
      </w:r>
      <w:r w:rsidRPr="00B25C55">
        <w:rPr>
          <w:rStyle w:val="FootnoteReference"/>
          <w:rFonts w:ascii="Calibri" w:hAnsi="Calibri" w:cs="Calibri"/>
          <w:sz w:val="24"/>
          <w:szCs w:val="24"/>
        </w:rPr>
        <w:footnoteReference w:id="1"/>
      </w:r>
      <w:r w:rsidRPr="00B25C55">
        <w:rPr>
          <w:rFonts w:ascii="Calibri" w:hAnsi="Calibri" w:cs="Calibri"/>
          <w:sz w:val="24"/>
          <w:szCs w:val="24"/>
        </w:rPr>
        <w:t xml:space="preserve"> ir77</w:t>
      </w:r>
      <w:r w:rsidRPr="00B25C55">
        <w:rPr>
          <w:rStyle w:val="FootnoteReference"/>
          <w:rFonts w:ascii="Calibri" w:hAnsi="Calibri" w:cs="Calibri"/>
          <w:sz w:val="24"/>
          <w:szCs w:val="24"/>
        </w:rPr>
        <w:footnoteReference w:id="2"/>
      </w:r>
      <w:r w:rsidRPr="00B25C55">
        <w:rPr>
          <w:rFonts w:ascii="Calibri" w:hAnsi="Calibri" w:cs="Calibri"/>
          <w:sz w:val="24"/>
          <w:szCs w:val="24"/>
        </w:rPr>
        <w:t xml:space="preserve"> punktai), Sutarties projekto 172 punkte pažymėta, jog „</w:t>
      </w:r>
      <w:r w:rsidRPr="00B25C55">
        <w:rPr>
          <w:rFonts w:ascii="Calibri" w:hAnsi="Calibri" w:cs="Calibri"/>
          <w:b/>
          <w:bCs/>
          <w:sz w:val="24"/>
          <w:szCs w:val="24"/>
        </w:rPr>
        <w:t>Sutartis &lt;...&gt; galioja iki sutartinių įsipareigojimų įvykdymo</w:t>
      </w:r>
      <w:r w:rsidRPr="00B25C55">
        <w:rPr>
          <w:rFonts w:ascii="Calibri" w:hAnsi="Calibri" w:cs="Calibri"/>
          <w:sz w:val="24"/>
          <w:szCs w:val="24"/>
        </w:rPr>
        <w:t xml:space="preserve"> &lt;...&gt;“.</w:t>
      </w:r>
    </w:p>
    <w:p w14:paraId="7819C6E8" w14:textId="77777777" w:rsidR="001B6D88" w:rsidRPr="00B25C55" w:rsidRDefault="001B6D88" w:rsidP="001B6D88">
      <w:pPr>
        <w:pStyle w:val="NoSpacing"/>
        <w:widowControl w:val="0"/>
        <w:spacing w:line="276" w:lineRule="auto"/>
        <w:ind w:firstLine="709"/>
        <w:contextualSpacing/>
        <w:rPr>
          <w:rFonts w:ascii="Calibri" w:hAnsi="Calibri" w:cs="Calibri"/>
          <w:sz w:val="24"/>
          <w:szCs w:val="24"/>
        </w:rPr>
      </w:pPr>
      <w:r w:rsidRPr="00B25C55">
        <w:rPr>
          <w:rFonts w:ascii="Calibri" w:hAnsi="Calibri" w:cs="Calibri"/>
          <w:sz w:val="24"/>
          <w:szCs w:val="24"/>
        </w:rPr>
        <w:t xml:space="preserve">Pažymėtina, jog siekiant padėti pirkimo vykdytojams tinkamai užpildyti skelbimus, Tarnyba yra parengusi mokomąją priemonę </w:t>
      </w:r>
      <w:hyperlink r:id="rId6">
        <w:r w:rsidRPr="00B25C55">
          <w:rPr>
            <w:rStyle w:val="Hyperlink"/>
            <w:rFonts w:ascii="Calibri" w:hAnsi="Calibri" w:cs="Calibri"/>
            <w:sz w:val="24"/>
            <w:szCs w:val="24"/>
          </w:rPr>
          <w:t>Skelbimas apie pirkimą</w:t>
        </w:r>
      </w:hyperlink>
      <w:r w:rsidRPr="00B25C55">
        <w:rPr>
          <w:rFonts w:ascii="Calibri" w:hAnsi="Calibri" w:cs="Calibri"/>
          <w:sz w:val="24"/>
          <w:szCs w:val="24"/>
        </w:rPr>
        <w:t xml:space="preserve">, kurios 18 skaidrėje pateikta informacija, kaip turi būti pildoma informacija apie numatomą sutarties galiojimą. Įvertinusi skelbime apie pirkimą pateiktą netikslią informaciją, Tarnyba rekomenduoja </w:t>
      </w:r>
      <w:hyperlink r:id="rId7">
        <w:r w:rsidRPr="00B25C55">
          <w:rPr>
            <w:rStyle w:val="Hyperlink"/>
            <w:rFonts w:ascii="Calibri" w:hAnsi="Calibri" w:cs="Calibri"/>
            <w:sz w:val="24"/>
            <w:szCs w:val="24"/>
          </w:rPr>
          <w:t>Pranešimu apie pakeitimus</w:t>
        </w:r>
      </w:hyperlink>
      <w:r w:rsidRPr="00B25C55">
        <w:rPr>
          <w:rFonts w:ascii="Calibri" w:hAnsi="Calibri" w:cs="Calibri"/>
          <w:sz w:val="24"/>
          <w:szCs w:val="24"/>
        </w:rPr>
        <w:t xml:space="preserve"> patikslinti skelbimo apie pirkimą informaciją ir ateityje vykdant naujus pirkimus bei </w:t>
      </w:r>
      <w:r w:rsidRPr="00B25C55">
        <w:rPr>
          <w:rFonts w:ascii="Calibri" w:hAnsi="Calibri" w:cs="Calibri"/>
          <w:sz w:val="24"/>
          <w:szCs w:val="24"/>
        </w:rPr>
        <w:lastRenderedPageBreak/>
        <w:t>pildant skelbimus apie pirkimą atsižvelgti į žemiau pateiktas pastabas: atsižvelgiant į Pirkimo dokumentuose nurodytą sutarties galiojimo terminą, skelbimo apie pirkimą numatomo galiojimo informacijoje vietoj „Nežinomas“ turi būti pildomas laukelis „Galiojimas“, nurodant sutarties galiojimo terminą dienomis, savaitėmis, mėnesiais ar metais, įvertinus visus abipusius šalių įsipareigojimus (darbų atlikimo, darbų atlikimo termino pratęsimo, atsiskaitymo terminus), o privalomame užpildyti laukelyje „Pradžios data“ turi būti nurodyta preliminari numatoma sutarties įsigaliojimo data, įvertinus tai, kiek laiko gali būti vertinami gauti pasiūlymai ir kada planuojama sudaryti viešojo pirkimo sutartį.</w:t>
      </w:r>
    </w:p>
    <w:p w14:paraId="0FF09A36" w14:textId="77777777" w:rsidR="001B6D88" w:rsidRPr="001B6D88" w:rsidRDefault="001B6D88" w:rsidP="001B6D88">
      <w:pPr>
        <w:pStyle w:val="ListParagraph"/>
        <w:spacing w:after="0" w:line="276" w:lineRule="auto"/>
        <w:ind w:left="0" w:firstLine="709"/>
        <w:rPr>
          <w:rFonts w:ascii="Calibri" w:hAnsi="Calibri" w:cs="Calibri"/>
          <w:sz w:val="24"/>
          <w:szCs w:val="24"/>
          <w:lang w:val="lt-LT"/>
        </w:rPr>
      </w:pPr>
      <w:r w:rsidRPr="001B6D88">
        <w:rPr>
          <w:rFonts w:ascii="Calibri" w:hAnsi="Calibri" w:cs="Calibri"/>
          <w:sz w:val="24"/>
          <w:szCs w:val="24"/>
          <w:lang w:val="lt-LT"/>
        </w:rPr>
        <w:t>Atkreiptinas dėmesys, kad, užpildžius Pranešimą apie pakeitimus, CVP IS Pirkimo skiltyje „Skelbimai“ bus matoma nauja skelbimo apie pirkimą versija su atliktais pakeitimais (atnaujinta informacija), todėl pildant Pranešimo apie pakeitimą Pakeitimų skiltį rekomenduotina pateikti trumpą ir aiškų aprašymą, kokie patikslinimai buvo atlikti, pavyzdžiui, „patikslintas sutarties numatomas galiojimas“.</w:t>
      </w:r>
    </w:p>
    <w:p w14:paraId="1C58BAB3" w14:textId="77777777" w:rsidR="001B6D88" w:rsidRPr="00B25C55" w:rsidRDefault="001B6D88" w:rsidP="001B6D88">
      <w:pPr>
        <w:pStyle w:val="NoSpacing"/>
        <w:widowControl w:val="0"/>
        <w:spacing w:line="276" w:lineRule="auto"/>
        <w:ind w:firstLine="709"/>
        <w:contextualSpacing/>
        <w:rPr>
          <w:rFonts w:ascii="Calibri" w:hAnsi="Calibri" w:cs="Calibri"/>
          <w:noProof/>
          <w:sz w:val="24"/>
          <w:szCs w:val="24"/>
        </w:rPr>
      </w:pPr>
      <w:r w:rsidRPr="00B25C55">
        <w:rPr>
          <w:rFonts w:ascii="Calibri" w:hAnsi="Calibri" w:cs="Calibri"/>
          <w:b/>
          <w:bCs/>
          <w:sz w:val="24"/>
          <w:szCs w:val="24"/>
        </w:rPr>
        <w:t>2.</w:t>
      </w:r>
      <w:r w:rsidRPr="00B25C55">
        <w:rPr>
          <w:rFonts w:ascii="Calibri" w:hAnsi="Calibri" w:cs="Calibri"/>
          <w:sz w:val="24"/>
          <w:szCs w:val="24"/>
        </w:rPr>
        <w:t xml:space="preserve"> </w:t>
      </w:r>
      <w:r w:rsidRPr="00B25C55">
        <w:rPr>
          <w:rFonts w:ascii="Calibri" w:hAnsi="Calibri" w:cs="Calibri"/>
          <w:noProof/>
          <w:sz w:val="24"/>
          <w:szCs w:val="24"/>
        </w:rPr>
        <w:t>Pirkimo Specialiųjų sąlygų 11 punkte nurodyta, kad Pirkimas laikomas žaliuoju pirkimu, tačiau skelbime apie pirkimą pažymėta, kad strateginių viešųjų pirkimų (tame tarpe ir žaliųjų pirkimų) nėra. Pažymėtina, kad vykdant žaliąjį pirkimą, punkte „Strateginis viešasis pirkimas“ turi būti pažymėta „Poveikio aplinkai mažinimas“, aprašyme galima trumpai nurodyti, kad vykdomas žaliasis pirkimas, atitinkamai punkte „Žaliosios pirkimo kriterijų detalės“ pažymėta „Nacionaliniai žaliojo viešojo pirkimo kriterijai“, o punkte „Poveikio aplinkai mažinimo metodas“ gali būti pažymėta „Kita“.</w:t>
      </w:r>
    </w:p>
    <w:sectPr w:rsidR="001B6D88" w:rsidRPr="00B25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A2474" w14:textId="77777777" w:rsidR="001B6D88" w:rsidRDefault="001B6D88" w:rsidP="001B6D88">
      <w:pPr>
        <w:spacing w:after="0" w:line="240" w:lineRule="auto"/>
      </w:pPr>
      <w:r>
        <w:separator/>
      </w:r>
    </w:p>
  </w:endnote>
  <w:endnote w:type="continuationSeparator" w:id="0">
    <w:p w14:paraId="7A1191F3" w14:textId="77777777" w:rsidR="001B6D88" w:rsidRDefault="001B6D88" w:rsidP="001B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10DDF" w14:textId="77777777" w:rsidR="001B6D88" w:rsidRDefault="001B6D88" w:rsidP="001B6D88">
      <w:pPr>
        <w:spacing w:after="0" w:line="240" w:lineRule="auto"/>
      </w:pPr>
      <w:r>
        <w:separator/>
      </w:r>
    </w:p>
  </w:footnote>
  <w:footnote w:type="continuationSeparator" w:id="0">
    <w:p w14:paraId="65ED222A" w14:textId="77777777" w:rsidR="001B6D88" w:rsidRDefault="001B6D88" w:rsidP="001B6D88">
      <w:pPr>
        <w:spacing w:after="0" w:line="240" w:lineRule="auto"/>
      </w:pPr>
      <w:r>
        <w:continuationSeparator/>
      </w:r>
    </w:p>
  </w:footnote>
  <w:footnote w:id="1">
    <w:p w14:paraId="48E1A695" w14:textId="77777777" w:rsidR="001B6D88" w:rsidRPr="00FC4FAE" w:rsidRDefault="001B6D88" w:rsidP="001B6D88">
      <w:pPr>
        <w:tabs>
          <w:tab w:val="left" w:pos="993"/>
        </w:tabs>
        <w:spacing w:after="0" w:line="240" w:lineRule="auto"/>
        <w:rPr>
          <w:rFonts w:ascii="Calibri" w:hAnsi="Calibri" w:cs="Calibri"/>
          <w:sz w:val="20"/>
          <w:szCs w:val="20"/>
        </w:rPr>
      </w:pPr>
      <w:r w:rsidRPr="00FC4FAE">
        <w:rPr>
          <w:rStyle w:val="FootnoteReference"/>
          <w:rFonts w:ascii="Calibri" w:hAnsi="Calibri" w:cs="Calibri"/>
          <w:sz w:val="20"/>
          <w:szCs w:val="20"/>
        </w:rPr>
        <w:footnoteRef/>
      </w:r>
      <w:r w:rsidRPr="00FC4FAE">
        <w:rPr>
          <w:rFonts w:ascii="Calibri" w:hAnsi="Calibri" w:cs="Calibri"/>
          <w:sz w:val="20"/>
          <w:szCs w:val="20"/>
        </w:rPr>
        <w:t xml:space="preserve"> </w:t>
      </w:r>
      <w:bookmarkStart w:id="10" w:name="_Ref503798325"/>
      <w:r w:rsidRPr="00FC4FAE">
        <w:rPr>
          <w:rFonts w:ascii="Calibri" w:hAnsi="Calibri" w:cs="Calibri"/>
          <w:sz w:val="20"/>
          <w:szCs w:val="20"/>
        </w:rPr>
        <w:t xml:space="preserve">„7.3. </w:t>
      </w:r>
      <w:r w:rsidRPr="00FC4FAE">
        <w:rPr>
          <w:rFonts w:ascii="Calibri" w:hAnsi="Calibri" w:cs="Calibri"/>
          <w:sz w:val="20"/>
          <w:szCs w:val="20"/>
          <w:lang w:eastAsia="lt-LT"/>
        </w:rPr>
        <w:t xml:space="preserve">Už faktiškai atliktus Darbus Užsakovas apmoka Rangovui </w:t>
      </w:r>
      <w:r w:rsidRPr="00FC4FAE">
        <w:rPr>
          <w:rFonts w:ascii="Calibri" w:hAnsi="Calibri" w:cs="Calibri"/>
          <w:b/>
          <w:bCs/>
          <w:sz w:val="20"/>
          <w:szCs w:val="20"/>
          <w:lang w:eastAsia="lt-LT"/>
        </w:rPr>
        <w:t>per 30 (trisdešimt) dienų</w:t>
      </w:r>
      <w:r w:rsidRPr="00FC4FAE">
        <w:rPr>
          <w:rFonts w:ascii="Calibri" w:hAnsi="Calibri" w:cs="Calibri"/>
          <w:sz w:val="20"/>
          <w:szCs w:val="20"/>
          <w:lang w:eastAsia="lt-LT"/>
        </w:rPr>
        <w:t xml:space="preserve"> nuo dienos, kai Užsakovas priima pažymą apie atliktus Darbus ir gauna PVM sąskaitą faktūrą</w:t>
      </w:r>
      <w:r w:rsidRPr="00FC4FAE">
        <w:rPr>
          <w:rFonts w:ascii="Calibri" w:hAnsi="Calibri" w:cs="Calibri"/>
          <w:sz w:val="20"/>
          <w:szCs w:val="20"/>
        </w:rPr>
        <w:t>“.</w:t>
      </w:r>
      <w:bookmarkEnd w:id="10"/>
    </w:p>
  </w:footnote>
  <w:footnote w:id="2">
    <w:p w14:paraId="13C06B7D" w14:textId="77777777" w:rsidR="001B6D88" w:rsidRPr="00FC4FAE" w:rsidRDefault="001B6D88" w:rsidP="001B6D88">
      <w:pPr>
        <w:tabs>
          <w:tab w:val="left" w:pos="993"/>
        </w:tabs>
        <w:spacing w:after="0" w:line="240" w:lineRule="auto"/>
        <w:rPr>
          <w:rFonts w:ascii="Calibri" w:hAnsi="Calibri" w:cs="Calibri"/>
          <w:sz w:val="20"/>
          <w:szCs w:val="20"/>
        </w:rPr>
      </w:pPr>
      <w:r w:rsidRPr="00FC4FAE">
        <w:rPr>
          <w:rStyle w:val="FootnoteReference"/>
          <w:rFonts w:ascii="Calibri" w:hAnsi="Calibri" w:cs="Calibri"/>
          <w:sz w:val="20"/>
          <w:szCs w:val="20"/>
        </w:rPr>
        <w:footnoteRef/>
      </w:r>
      <w:r w:rsidRPr="00FC4FAE">
        <w:rPr>
          <w:rFonts w:ascii="Calibri" w:hAnsi="Calibri" w:cs="Calibri"/>
          <w:sz w:val="20"/>
          <w:szCs w:val="20"/>
        </w:rPr>
        <w:t xml:space="preserve"> </w:t>
      </w:r>
      <w:bookmarkStart w:id="11" w:name="_Hlk148369201"/>
      <w:bookmarkStart w:id="12" w:name="_Ref500758141"/>
      <w:r w:rsidRPr="00FC4FAE">
        <w:rPr>
          <w:rFonts w:ascii="Calibri" w:hAnsi="Calibri" w:cs="Calibri"/>
          <w:sz w:val="20"/>
          <w:szCs w:val="20"/>
        </w:rPr>
        <w:t xml:space="preserve">„77. </w:t>
      </w:r>
      <w:r w:rsidRPr="00FC4FAE">
        <w:rPr>
          <w:rStyle w:val="ui-provider"/>
          <w:rFonts w:ascii="Calibri" w:eastAsiaTheme="majorEastAsia" w:hAnsi="Calibri" w:cs="Calibri"/>
          <w:sz w:val="20"/>
          <w:szCs w:val="20"/>
        </w:rPr>
        <w:t xml:space="preserve">Tais atvejais, kai vėluoja finansavimas iš biudžeto, mokėjimai gali būti atidedami vėlavimo laikotarpiui, bet </w:t>
      </w:r>
      <w:r w:rsidRPr="00FC4FAE">
        <w:rPr>
          <w:rStyle w:val="ui-provider"/>
          <w:rFonts w:ascii="Calibri" w:eastAsiaTheme="majorEastAsia" w:hAnsi="Calibri" w:cs="Calibri"/>
          <w:b/>
          <w:bCs/>
          <w:sz w:val="20"/>
          <w:szCs w:val="20"/>
        </w:rPr>
        <w:t>ne ilgiau kaip 60 (šešiasdešimt) dienų</w:t>
      </w:r>
      <w:bookmarkEnd w:id="11"/>
      <w:r w:rsidRPr="00FC4FAE">
        <w:rPr>
          <w:rStyle w:val="ui-provider"/>
          <w:rFonts w:ascii="Calibri" w:eastAsiaTheme="majorEastAsia" w:hAnsi="Calibri" w:cs="Calibri"/>
          <w:sz w:val="20"/>
          <w:szCs w:val="20"/>
        </w:rPr>
        <w:t>“</w:t>
      </w:r>
      <w:r w:rsidRPr="00FC4FAE">
        <w:rPr>
          <w:rFonts w:ascii="Calibri" w:hAnsi="Calibri" w:cs="Calibri"/>
          <w:sz w:val="20"/>
          <w:szCs w:val="20"/>
          <w:lang w:eastAsia="lt-LT"/>
        </w:rPr>
        <w:t>.</w:t>
      </w:r>
      <w:bookmarkEnd w:id="1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88"/>
    <w:rsid w:val="001B6D88"/>
    <w:rsid w:val="006B1FD2"/>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5BDE"/>
  <w15:chartTrackingRefBased/>
  <w15:docId w15:val="{C66AB155-DCD1-4D34-B929-98E4F4F3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D88"/>
    <w:rPr>
      <w:kern w:val="0"/>
      <w:lang w:val="lt-LT"/>
      <w14:ligatures w14:val="none"/>
    </w:rPr>
  </w:style>
  <w:style w:type="paragraph" w:styleId="Heading1">
    <w:name w:val="heading 1"/>
    <w:basedOn w:val="Normal"/>
    <w:next w:val="Normal"/>
    <w:link w:val="Heading1Char"/>
    <w:uiPriority w:val="9"/>
    <w:qFormat/>
    <w:rsid w:val="001B6D88"/>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B6D88"/>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B6D88"/>
    <w:pPr>
      <w:keepNext/>
      <w:keepLines/>
      <w:spacing w:before="160" w:after="80"/>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B6D88"/>
    <w:pPr>
      <w:keepNext/>
      <w:keepLines/>
      <w:spacing w:before="80" w:after="40"/>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1B6D88"/>
    <w:pPr>
      <w:keepNext/>
      <w:keepLines/>
      <w:spacing w:before="80" w:after="40"/>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B6D88"/>
    <w:pPr>
      <w:keepNext/>
      <w:keepLines/>
      <w:spacing w:before="40" w:after="0"/>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B6D88"/>
    <w:pPr>
      <w:keepNext/>
      <w:keepLines/>
      <w:spacing w:before="40" w:after="0"/>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B6D88"/>
    <w:pPr>
      <w:keepNext/>
      <w:keepLines/>
      <w:spacing w:after="0"/>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B6D88"/>
    <w:pPr>
      <w:keepNext/>
      <w:keepLines/>
      <w:spacing w:after="0"/>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88"/>
    <w:rPr>
      <w:rFonts w:eastAsiaTheme="majorEastAsia" w:cstheme="majorBidi"/>
      <w:color w:val="272727" w:themeColor="text1" w:themeTint="D8"/>
    </w:rPr>
  </w:style>
  <w:style w:type="paragraph" w:styleId="Title">
    <w:name w:val="Title"/>
    <w:basedOn w:val="Normal"/>
    <w:next w:val="Normal"/>
    <w:link w:val="TitleChar"/>
    <w:uiPriority w:val="10"/>
    <w:qFormat/>
    <w:rsid w:val="001B6D8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6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88"/>
    <w:pPr>
      <w:numPr>
        <w:ilvl w:val="1"/>
      </w:numPr>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6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88"/>
    <w:pPr>
      <w:spacing w:before="160"/>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B6D8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qFormat/>
    <w:rsid w:val="001B6D88"/>
    <w:pPr>
      <w:ind w:left="720"/>
      <w:contextualSpacing/>
    </w:pPr>
    <w:rPr>
      <w:kern w:val="2"/>
      <w:lang w:val="en-US"/>
      <w14:ligatures w14:val="standardContextual"/>
    </w:rPr>
  </w:style>
  <w:style w:type="character" w:styleId="IntenseEmphasis">
    <w:name w:val="Intense Emphasis"/>
    <w:basedOn w:val="DefaultParagraphFont"/>
    <w:uiPriority w:val="21"/>
    <w:qFormat/>
    <w:rsid w:val="001B6D88"/>
    <w:rPr>
      <w:i/>
      <w:iCs/>
      <w:color w:val="0F4761" w:themeColor="accent1" w:themeShade="BF"/>
    </w:rPr>
  </w:style>
  <w:style w:type="paragraph" w:styleId="IntenseQuote">
    <w:name w:val="Intense Quote"/>
    <w:basedOn w:val="Normal"/>
    <w:next w:val="Normal"/>
    <w:link w:val="IntenseQuoteChar"/>
    <w:uiPriority w:val="30"/>
    <w:qFormat/>
    <w:rsid w:val="001B6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B6D88"/>
    <w:rPr>
      <w:i/>
      <w:iCs/>
      <w:color w:val="0F4761" w:themeColor="accent1" w:themeShade="BF"/>
    </w:rPr>
  </w:style>
  <w:style w:type="character" w:styleId="IntenseReference">
    <w:name w:val="Intense Reference"/>
    <w:basedOn w:val="DefaultParagraphFont"/>
    <w:uiPriority w:val="32"/>
    <w:qFormat/>
    <w:rsid w:val="001B6D88"/>
    <w:rPr>
      <w:b/>
      <w:bCs/>
      <w:smallCaps/>
      <w:color w:val="0F4761" w:themeColor="accent1" w:themeShade="BF"/>
      <w:spacing w:val="5"/>
    </w:rPr>
  </w:style>
  <w:style w:type="paragraph" w:styleId="NoSpacing">
    <w:name w:val="No Spacing"/>
    <w:link w:val="NoSpacingChar"/>
    <w:uiPriority w:val="1"/>
    <w:qFormat/>
    <w:rsid w:val="001B6D88"/>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1B6D88"/>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1B6D88"/>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1B6D88"/>
  </w:style>
  <w:style w:type="character" w:styleId="FootnoteReference">
    <w:name w:val="footnote reference"/>
    <w:uiPriority w:val="99"/>
    <w:rsid w:val="001B6D88"/>
    <w:rPr>
      <w:rFonts w:cs="Times New Roman"/>
      <w:vertAlign w:val="superscript"/>
    </w:rPr>
  </w:style>
  <w:style w:type="character" w:customStyle="1" w:styleId="ui-provider">
    <w:name w:val="ui-provider"/>
    <w:basedOn w:val="DefaultParagraphFont"/>
    <w:rsid w:val="001B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pt.lrv.lt/public/canonical/1732513970/18330/Prane%C5%A1imas_apie_pakeitimus.ppt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public/canonical/1732513909/18329/Skelbimas_apie_pirkim%C4%85.ppt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2025-01-09T15:10:00Z</dcterms:created>
  <dcterms:modified xsi:type="dcterms:W3CDTF">2025-01-09T15:11:00Z</dcterms:modified>
</cp:coreProperties>
</file>