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43E9" w14:textId="77777777" w:rsidR="00D610DC" w:rsidRPr="00D610DC" w:rsidRDefault="00D610DC" w:rsidP="00D610DC">
      <w:pPr>
        <w:pStyle w:val="paragraph"/>
        <w:spacing w:before="0" w:beforeAutospacing="0" w:after="0" w:afterAutospacing="0" w:line="276" w:lineRule="auto"/>
        <w:textAlignment w:val="baseline"/>
        <w:rPr>
          <w:rFonts w:ascii="Calibri" w:hAnsi="Calibri" w:cs="Calibri"/>
          <w:lang w:val="lt-LT"/>
        </w:rPr>
      </w:pPr>
      <w:r w:rsidRPr="00D610DC">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77777777" w:rsidR="00D610DC" w:rsidRPr="00D610DC" w:rsidRDefault="00D610DC" w:rsidP="00D610DC">
      <w:pPr>
        <w:pStyle w:val="paragraph"/>
        <w:spacing w:before="0" w:beforeAutospacing="0" w:after="0" w:afterAutospacing="0" w:line="276" w:lineRule="auto"/>
        <w:textAlignment w:val="baseline"/>
        <w:rPr>
          <w:rFonts w:ascii="Calibri" w:hAnsi="Calibri" w:cs="Calibri"/>
          <w:lang w:val="lt-LT"/>
        </w:rPr>
      </w:pPr>
      <w:r w:rsidRPr="00D610DC">
        <w:rPr>
          <w:rStyle w:val="normaltextrun"/>
          <w:rFonts w:ascii="Calibri" w:eastAsiaTheme="majorEastAsia" w:hAnsi="Calibri" w:cs="Calibri"/>
          <w:lang w:val="lt-LT"/>
        </w:rPr>
        <w:t xml:space="preserve">Vadovaujantis Tarnybai Įstatyme nustatyta pažeidimų prevencijos funkcija, šiuo metu atliekama SĮ „Susisiekimo paslaugos“ (toliau – Perkančioji organizacija) vykdomo pirkimo </w:t>
      </w:r>
      <w:r w:rsidRPr="00D610DC">
        <w:rPr>
          <w:rStyle w:val="normaltextrun"/>
          <w:rFonts w:ascii="Calibri" w:eastAsiaTheme="majorEastAsia" w:hAnsi="Calibri" w:cs="Calibri"/>
          <w:b/>
          <w:bCs/>
          <w:lang w:val="lt-LT"/>
        </w:rPr>
        <w:t>Nr.</w:t>
      </w:r>
      <w:r w:rsidRPr="00D610DC">
        <w:rPr>
          <w:rStyle w:val="normaltextrun"/>
          <w:rFonts w:ascii="Calibri" w:eastAsiaTheme="majorEastAsia" w:hAnsi="Calibri" w:cs="Calibri"/>
          <w:lang w:val="lt-LT"/>
        </w:rPr>
        <w:t xml:space="preserve"> </w:t>
      </w:r>
      <w:r w:rsidRPr="00D610DC">
        <w:rPr>
          <w:rStyle w:val="normaltextrun"/>
          <w:rFonts w:ascii="Calibri" w:eastAsiaTheme="majorEastAsia" w:hAnsi="Calibri" w:cs="Calibri"/>
          <w:b/>
          <w:bCs/>
          <w:lang w:val="lt-LT"/>
        </w:rPr>
        <w:t>193926 „Šviesoforų postų remonto darbai (supaprastintas atviras konkursas)“</w:t>
      </w:r>
      <w:r w:rsidRPr="00D610DC">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4E4414AB" w14:textId="77777777" w:rsidR="00D610DC" w:rsidRPr="00D610DC" w:rsidRDefault="00D610DC" w:rsidP="00D610DC">
      <w:pPr>
        <w:spacing w:line="276" w:lineRule="auto"/>
        <w:rPr>
          <w:rFonts w:ascii="Calibri" w:eastAsiaTheme="minorHAnsi" w:hAnsi="Calibri" w:cs="Calibri"/>
          <w:lang w:val="lt-LT" w:eastAsia="lt-LT"/>
        </w:rPr>
      </w:pPr>
    </w:p>
    <w:p w14:paraId="24D9BC50" w14:textId="77777777" w:rsidR="00D610DC" w:rsidRPr="00D610DC" w:rsidRDefault="00D610DC" w:rsidP="00D610DC">
      <w:pPr>
        <w:spacing w:line="276" w:lineRule="auto"/>
        <w:rPr>
          <w:rFonts w:ascii="Calibri" w:eastAsiaTheme="minorHAnsi" w:hAnsi="Calibri" w:cs="Calibri"/>
          <w:lang w:val="lt-LT" w:eastAsia="lt-LT"/>
        </w:rPr>
      </w:pPr>
      <w:r w:rsidRPr="00D610DC">
        <w:rPr>
          <w:rFonts w:ascii="Calibri" w:eastAsiaTheme="minorHAnsi" w:hAnsi="Calibri" w:cs="Calibri"/>
          <w:lang w:val="lt-LT" w:eastAsia="lt-LT"/>
        </w:rPr>
        <w:t>Tarnyba, prevencine tvarka peržiūrėjusi Pirkimo dokumentus ir atsižvelgdama į galiojantį teisinį reglamentavimą, teikia klausimus bei pastabas ir rekomendacijas (toliau – Rekomendacija) dėl Pirkimo dokumentų nuostatų.</w:t>
      </w:r>
    </w:p>
    <w:p w14:paraId="501A1AE2" w14:textId="77777777" w:rsidR="00D610DC" w:rsidRPr="00D610DC" w:rsidRDefault="00D610DC" w:rsidP="00D610DC">
      <w:pPr>
        <w:pStyle w:val="paragraph"/>
        <w:spacing w:before="0" w:beforeAutospacing="0" w:after="0" w:afterAutospacing="0" w:line="276" w:lineRule="auto"/>
        <w:textAlignment w:val="baseline"/>
        <w:rPr>
          <w:rFonts w:ascii="Calibri" w:hAnsi="Calibri" w:cs="Calibri"/>
          <w:b/>
          <w:bCs/>
          <w:lang w:val="lt-LT" w:eastAsia="lt-LT"/>
        </w:rPr>
      </w:pPr>
    </w:p>
    <w:p w14:paraId="1486376E" w14:textId="77777777" w:rsidR="00D610DC" w:rsidRPr="00D610DC" w:rsidRDefault="00D610DC" w:rsidP="00D610DC">
      <w:pPr>
        <w:pStyle w:val="paragraph"/>
        <w:numPr>
          <w:ilvl w:val="0"/>
          <w:numId w:val="1"/>
        </w:numPr>
        <w:tabs>
          <w:tab w:val="left" w:pos="567"/>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D610DC">
        <w:rPr>
          <w:rStyle w:val="normaltextrun"/>
          <w:rFonts w:ascii="Calibri" w:eastAsiaTheme="majorEastAsia" w:hAnsi="Calibri" w:cs="Calibri"/>
          <w:b/>
          <w:bCs/>
          <w:lang w:val="lt-LT"/>
        </w:rPr>
        <w:t>Dėl kvalifikacijos reikalavimų</w:t>
      </w:r>
      <w:r w:rsidRPr="00D610DC">
        <w:rPr>
          <w:rStyle w:val="eop"/>
          <w:rFonts w:ascii="Calibri" w:eastAsiaTheme="majorEastAsia" w:hAnsi="Calibri" w:cs="Calibri"/>
          <w:lang w:val="lt-LT"/>
        </w:rPr>
        <w:t> </w:t>
      </w:r>
    </w:p>
    <w:p w14:paraId="7C093CF1" w14:textId="77777777" w:rsidR="00D610DC" w:rsidRPr="00D610DC" w:rsidRDefault="00D610DC" w:rsidP="00D610DC">
      <w:pPr>
        <w:pStyle w:val="paragraph"/>
        <w:numPr>
          <w:ilvl w:val="1"/>
          <w:numId w:val="2"/>
        </w:numPr>
        <w:tabs>
          <w:tab w:val="left" w:pos="567"/>
        </w:tabs>
        <w:spacing w:before="0" w:beforeAutospacing="0" w:after="0" w:afterAutospacing="0" w:line="276" w:lineRule="auto"/>
        <w:ind w:left="0" w:firstLine="0"/>
        <w:textAlignment w:val="baseline"/>
        <w:rPr>
          <w:rFonts w:ascii="Calibri" w:hAnsi="Calibri" w:cs="Calibri"/>
          <w:lang w:val="lt-LT"/>
        </w:rPr>
      </w:pPr>
      <w:r w:rsidRPr="00D610DC">
        <w:rPr>
          <w:rFonts w:ascii="Calibri" w:hAnsi="Calibri" w:cs="Calibri"/>
          <w:spacing w:val="2"/>
          <w:kern w:val="2"/>
          <w:shd w:val="clear" w:color="auto" w:fill="FFFFFF"/>
          <w:lang w:val="lt-LT"/>
          <w14:ligatures w14:val="standardContextual"/>
        </w:rPr>
        <w:t xml:space="preserve">Įstatymo 47 straipsnyje įtvirtinta perkančiųjų organizacijų pareiga įsitikinti </w:t>
      </w:r>
      <w:r w:rsidRPr="00D610DC">
        <w:rPr>
          <w:rFonts w:ascii="Calibri" w:hAnsi="Calibri" w:cs="Calibri"/>
          <w:b/>
          <w:bCs/>
          <w:spacing w:val="2"/>
          <w:kern w:val="2"/>
          <w:shd w:val="clear" w:color="auto" w:fill="FFFFFF"/>
          <w:lang w:val="lt-LT"/>
          <w14:ligatures w14:val="standardContextual"/>
        </w:rPr>
        <w:t xml:space="preserve">tinkama tiekėjų kvalifikacija, </w:t>
      </w:r>
      <w:r w:rsidRPr="00D610DC">
        <w:rPr>
          <w:rFonts w:ascii="Calibri" w:hAnsi="Calibri" w:cs="Calibri"/>
          <w:spacing w:val="2"/>
          <w:kern w:val="2"/>
          <w:shd w:val="clear" w:color="auto" w:fill="FFFFFF"/>
          <w:lang w:val="lt-LT"/>
          <w14:ligatures w14:val="standardContextual"/>
        </w:rPr>
        <w:t xml:space="preserve">t. y. „Perkančioji organizacija privalo išsiaiškinti, ar tiekėjas yra kompetentingas, patikimas ir pajėgus įvykdyti pirkimo sąlygas, todėl ji turi teisę skelbime apie pirkimą ar kituose pirkimo dokumentuose nustatyti </w:t>
      </w:r>
      <w:r w:rsidRPr="00D610DC">
        <w:rPr>
          <w:rFonts w:ascii="Calibri" w:hAnsi="Calibri" w:cs="Calibri"/>
          <w:b/>
          <w:bCs/>
          <w:spacing w:val="2"/>
          <w:kern w:val="2"/>
          <w:shd w:val="clear" w:color="auto" w:fill="FFFFFF"/>
          <w:lang w:val="lt-LT"/>
          <w14:ligatures w14:val="standardContextual"/>
        </w:rPr>
        <w:t>būtinus</w:t>
      </w:r>
      <w:r w:rsidRPr="00D610DC">
        <w:rPr>
          <w:rFonts w:ascii="Calibri" w:hAnsi="Calibri" w:cs="Calibri"/>
          <w:spacing w:val="2"/>
          <w:kern w:val="2"/>
          <w:shd w:val="clear" w:color="auto" w:fill="FFFFFF"/>
          <w:lang w:val="lt-LT"/>
          <w14:ligatures w14:val="standardContextual"/>
        </w:rPr>
        <w:t xml:space="preserve"> kandidatų ar dalyvių </w:t>
      </w:r>
      <w:r w:rsidRPr="00D610DC">
        <w:rPr>
          <w:rFonts w:ascii="Calibri" w:hAnsi="Calibri" w:cs="Calibri"/>
          <w:b/>
          <w:bCs/>
          <w:spacing w:val="2"/>
          <w:kern w:val="2"/>
          <w:shd w:val="clear" w:color="auto" w:fill="FFFFFF"/>
          <w:lang w:val="lt-LT"/>
          <w14:ligatures w14:val="standardContextual"/>
        </w:rPr>
        <w:t>kvalifikacijos reikalavimus</w:t>
      </w:r>
      <w:r w:rsidRPr="00D610DC">
        <w:rPr>
          <w:rFonts w:ascii="Calibri" w:hAnsi="Calibri" w:cs="Calibri"/>
          <w:spacing w:val="2"/>
          <w:kern w:val="2"/>
          <w:shd w:val="clear" w:color="auto" w:fill="FFFFFF"/>
          <w:lang w:val="lt-LT"/>
          <w14:ligatures w14:val="standardContextual"/>
        </w:rPr>
        <w:t xml:space="preserve"> ir šių reikalavimų atitiktį patvirtinančius dokumentus ar informaciją.</w:t>
      </w:r>
      <w:r w:rsidRPr="00D610DC">
        <w:rPr>
          <w:rFonts w:ascii="Calibri" w:hAnsi="Calibri" w:cs="Calibri"/>
          <w:kern w:val="2"/>
          <w:lang w:val="lt-LT"/>
          <w14:ligatures w14:val="standardContextual"/>
        </w:rPr>
        <w:t xml:space="preserve"> </w:t>
      </w:r>
      <w:r w:rsidRPr="00D610DC">
        <w:rPr>
          <w:rFonts w:ascii="Calibri" w:hAnsi="Calibri" w:cs="Calibri"/>
          <w:spacing w:val="2"/>
          <w:kern w:val="2"/>
          <w:shd w:val="clear" w:color="auto" w:fill="FFFFFF"/>
          <w:lang w:val="lt-LT"/>
          <w14:ligatures w14:val="standardContextual"/>
        </w:rPr>
        <w:t xml:space="preserve">Perkančiosios organizacijos nustatyti kandidatų ar dalyvių </w:t>
      </w:r>
      <w:r w:rsidRPr="00D610DC">
        <w:rPr>
          <w:rFonts w:ascii="Calibri" w:hAnsi="Calibri" w:cs="Calibri"/>
          <w:b/>
          <w:bCs/>
          <w:spacing w:val="2"/>
          <w:kern w:val="2"/>
          <w:shd w:val="clear" w:color="auto" w:fill="FFFFFF"/>
          <w:lang w:val="lt-LT"/>
          <w14:ligatures w14:val="standardContextual"/>
        </w:rPr>
        <w:t>kvalifikacijos reikalavimai</w:t>
      </w:r>
      <w:r w:rsidRPr="00D610DC">
        <w:rPr>
          <w:rFonts w:ascii="Calibri" w:hAnsi="Calibri" w:cs="Calibri"/>
          <w:spacing w:val="2"/>
          <w:kern w:val="2"/>
          <w:shd w:val="clear" w:color="auto" w:fill="FFFFFF"/>
          <w:lang w:val="lt-LT"/>
          <w14:ligatures w14:val="standardContextual"/>
        </w:rPr>
        <w:t xml:space="preserve"> negali dirbtinai riboti konkurencijos, turi būti proporcingi ir </w:t>
      </w:r>
      <w:r w:rsidRPr="00D610DC">
        <w:rPr>
          <w:rFonts w:ascii="Calibri" w:hAnsi="Calibri" w:cs="Calibri"/>
          <w:b/>
          <w:bCs/>
          <w:spacing w:val="2"/>
          <w:kern w:val="2"/>
          <w:shd w:val="clear" w:color="auto" w:fill="FFFFFF"/>
          <w:lang w:val="lt-LT"/>
          <w14:ligatures w14:val="standardContextual"/>
        </w:rPr>
        <w:t>susiję su pirkimo objektu, tikslūs ir aiškūs</w:t>
      </w:r>
      <w:r w:rsidRPr="00D610DC">
        <w:rPr>
          <w:rFonts w:ascii="Calibri" w:hAnsi="Calibri" w:cs="Calibri"/>
          <w:spacing w:val="2"/>
          <w:kern w:val="2"/>
          <w:shd w:val="clear" w:color="auto" w:fill="FFFFFF"/>
          <w:lang w:val="lt-LT"/>
          <w14:ligatures w14:val="standardContextual"/>
        </w:rPr>
        <w:t>. &lt;...&gt;“</w:t>
      </w:r>
      <w:r w:rsidRPr="00D610DC">
        <w:rPr>
          <w:rFonts w:ascii="Calibri" w:hAnsi="Calibri" w:cs="Calibri"/>
          <w:kern w:val="2"/>
          <w:lang w:val="lt-LT" w:eastAsia="lt-LT"/>
          <w14:ligatures w14:val="standardContextual"/>
        </w:rPr>
        <w:t xml:space="preserve"> Lietuvos Aukščiausiojo Teismo praktikoje išaiškinta, kad „Nors VPĮ perkančiajai organizacijai suteikiama tam tikra sprendimo laisvė ir teisė siekiant įsitikinti tiekėjo kvalifikacija taikyti vieną ar kitą kriterijų, vis dėlto ši pasirinkimo laisvė yra ribojama bendrųjų viešųjų pirkimų principų. Kaip neatitinkantys jų gali būti vertinami </w:t>
      </w:r>
      <w:r w:rsidRPr="00D610DC">
        <w:rPr>
          <w:rFonts w:ascii="Calibri" w:hAnsi="Calibri" w:cs="Calibri"/>
          <w:b/>
          <w:bCs/>
          <w:kern w:val="2"/>
          <w:lang w:val="lt-LT" w:eastAsia="lt-LT"/>
          <w14:ligatures w14:val="standardContextual"/>
        </w:rPr>
        <w:t>tiek per žemi, nepakankami užtikrinti</w:t>
      </w:r>
      <w:r w:rsidRPr="00D610DC">
        <w:rPr>
          <w:rFonts w:ascii="Calibri" w:hAnsi="Calibri" w:cs="Calibri"/>
          <w:kern w:val="2"/>
          <w:lang w:val="lt-LT" w:eastAsia="lt-LT"/>
          <w14:ligatures w14:val="standardContextual"/>
        </w:rPr>
        <w:t xml:space="preserve">, kad tiekėjas bus pajėgus įvykdyti pirkimą, </w:t>
      </w:r>
      <w:r w:rsidRPr="00D610DC">
        <w:rPr>
          <w:rFonts w:ascii="Calibri" w:hAnsi="Calibri" w:cs="Calibri"/>
          <w:b/>
          <w:bCs/>
          <w:kern w:val="2"/>
          <w:lang w:val="lt-LT" w:eastAsia="lt-LT"/>
          <w14:ligatures w14:val="standardContextual"/>
        </w:rPr>
        <w:t>kvalifikacijos kriterijai</w:t>
      </w:r>
      <w:r w:rsidRPr="00D610DC">
        <w:rPr>
          <w:rFonts w:ascii="Calibri" w:hAnsi="Calibri" w:cs="Calibri"/>
          <w:kern w:val="2"/>
          <w:lang w:val="lt-LT" w:eastAsia="lt-LT"/>
          <w14:ligatures w14:val="standardContextual"/>
        </w:rPr>
        <w:t xml:space="preserve">, </w:t>
      </w:r>
      <w:r w:rsidRPr="00D610DC">
        <w:rPr>
          <w:rFonts w:ascii="Calibri" w:hAnsi="Calibri" w:cs="Calibri"/>
          <w:b/>
          <w:bCs/>
          <w:kern w:val="2"/>
          <w:lang w:val="lt-LT" w:eastAsia="lt-LT"/>
          <w14:ligatures w14:val="standardContextual"/>
        </w:rPr>
        <w:t>tiek per aukšti</w:t>
      </w:r>
      <w:r w:rsidRPr="00D610DC">
        <w:rPr>
          <w:rFonts w:ascii="Calibri" w:hAnsi="Calibri" w:cs="Calibri"/>
          <w:kern w:val="2"/>
          <w:lang w:val="lt-LT" w:eastAsia="lt-LT"/>
          <w14:ligatures w14:val="standardContextual"/>
        </w:rPr>
        <w:t>, nepagrįstai ribojantys konkurenciją reikalavimai tiekėjų pajėgumui.&lt;...&gt;“</w:t>
      </w:r>
      <w:r w:rsidRPr="00D610DC">
        <w:rPr>
          <w:rFonts w:ascii="Calibri" w:hAnsi="Calibri" w:cs="Calibri"/>
          <w:vertAlign w:val="superscript"/>
          <w:lang w:val="lt-LT" w:eastAsia="lt-LT"/>
        </w:rPr>
        <w:footnoteReference w:id="1"/>
      </w:r>
      <w:r w:rsidRPr="00D610DC">
        <w:rPr>
          <w:rFonts w:ascii="Calibri" w:hAnsi="Calibri" w:cs="Calibri"/>
          <w:kern w:val="2"/>
          <w:lang w:val="lt-LT"/>
          <w14:ligatures w14:val="standardContextual"/>
        </w:rPr>
        <w:t>. Vadovaujantis Tiekėjo kvalifikacijos reikalavimų nustatymo metodikos</w:t>
      </w:r>
      <w:r w:rsidRPr="00D610DC">
        <w:rPr>
          <w:rFonts w:ascii="Calibri" w:hAnsi="Calibri" w:cs="Calibri"/>
          <w:vertAlign w:val="superscript"/>
          <w:lang w:val="lt-LT"/>
        </w:rPr>
        <w:footnoteReference w:id="2"/>
      </w:r>
      <w:r w:rsidRPr="00D610DC">
        <w:rPr>
          <w:rFonts w:ascii="Calibri" w:hAnsi="Calibri" w:cs="Calibri"/>
          <w:kern w:val="2"/>
          <w:lang w:val="lt-LT"/>
          <w14:ligatures w14:val="standardContextual"/>
        </w:rPr>
        <w:t xml:space="preserve"> (toliau – Metodika) 16 punktu „</w:t>
      </w:r>
      <w:r w:rsidRPr="00D610DC">
        <w:rPr>
          <w:rFonts w:ascii="Calibri" w:hAnsi="Calibri" w:cs="Calibri"/>
          <w:color w:val="000000" w:themeColor="text1"/>
          <w:kern w:val="2"/>
          <w:lang w:val="lt-LT"/>
          <w14:ligatures w14:val="standardContextual"/>
        </w:rPr>
        <w:t>Pirkimo vykdytojas turi įvertinti, kokia patirtis gali įrodyti tiekėjo gebėjimą tiekti panašias prekes, teikti panašias paslaugas, atlikti panašius darbus.&lt;...&gt;</w:t>
      </w:r>
      <w:r w:rsidRPr="00D610DC">
        <w:rPr>
          <w:rFonts w:ascii="Calibri" w:eastAsia="Calibri" w:hAnsi="Calibri" w:cs="Calibri"/>
          <w:color w:val="000000" w:themeColor="text1"/>
          <w:kern w:val="2"/>
          <w:lang w:val="lt-LT"/>
          <w14:ligatures w14:val="standardContextual"/>
        </w:rPr>
        <w:t xml:space="preserve"> </w:t>
      </w:r>
      <w:r w:rsidRPr="00D610DC">
        <w:rPr>
          <w:rFonts w:ascii="Calibri" w:hAnsi="Calibri" w:cs="Calibri"/>
          <w:color w:val="000000" w:themeColor="text1"/>
          <w:kern w:val="2"/>
          <w:lang w:val="lt-LT"/>
          <w14:ligatures w14:val="standardContextual"/>
        </w:rPr>
        <w:t xml:space="preserve">Reikalavimas gali būti apibrėžiamas pasiektu rezultatu (pavyzdžiui, pastatytas tam tikras inžinerinis įrenginys, suteiktos tam tikros paslaugos), pinigine verte ar kitais požymiais – pirkimo vykdytojas turi patirtį apibrėžti ne visais galimais, bet tik </w:t>
      </w:r>
      <w:r w:rsidRPr="00D610DC">
        <w:rPr>
          <w:rFonts w:ascii="Calibri" w:hAnsi="Calibri" w:cs="Calibri"/>
          <w:b/>
          <w:bCs/>
          <w:color w:val="000000" w:themeColor="text1"/>
          <w:kern w:val="2"/>
          <w:lang w:val="lt-LT"/>
          <w14:ligatures w14:val="standardContextual"/>
        </w:rPr>
        <w:t>būtinais kriterijais</w:t>
      </w:r>
      <w:r w:rsidRPr="00D610DC">
        <w:rPr>
          <w:rFonts w:ascii="Calibri" w:hAnsi="Calibri" w:cs="Calibri"/>
          <w:color w:val="000000" w:themeColor="text1"/>
          <w:kern w:val="2"/>
          <w:lang w:val="lt-LT"/>
          <w14:ligatures w14:val="standardContextual"/>
        </w:rPr>
        <w:t xml:space="preserve">. Šis kvalifikacijos reikalavimas neturi būti siejamas su visais galimais parametrais (verte, kiekiu, apimtimi ir pan.), o tik su tokiais, kurie </w:t>
      </w:r>
      <w:r w:rsidRPr="00D610DC">
        <w:rPr>
          <w:rFonts w:ascii="Calibri" w:hAnsi="Calibri" w:cs="Calibri"/>
          <w:b/>
          <w:bCs/>
          <w:color w:val="000000" w:themeColor="text1"/>
          <w:kern w:val="2"/>
          <w:lang w:val="lt-LT"/>
          <w14:ligatures w14:val="standardContextual"/>
        </w:rPr>
        <w:t>geriausiai įrodo tiekėjo patirtį</w:t>
      </w:r>
      <w:r w:rsidRPr="00D610DC">
        <w:rPr>
          <w:rFonts w:ascii="Calibri" w:hAnsi="Calibri" w:cs="Calibri"/>
          <w:color w:val="000000" w:themeColor="text1"/>
          <w:kern w:val="2"/>
          <w:lang w:val="lt-LT"/>
          <w14:ligatures w14:val="standardContextual"/>
        </w:rPr>
        <w:t>.</w:t>
      </w:r>
      <w:r w:rsidRPr="00D610DC">
        <w:rPr>
          <w:rFonts w:ascii="Calibri" w:hAnsi="Calibri" w:cs="Calibri"/>
          <w:kern w:val="2"/>
          <w:lang w:val="lt-LT"/>
          <w14:ligatures w14:val="standardContextual"/>
        </w:rPr>
        <w:t>“</w:t>
      </w:r>
    </w:p>
    <w:p w14:paraId="0973DC6B" w14:textId="77777777" w:rsidR="00D610DC" w:rsidRPr="00D610DC" w:rsidRDefault="00D610DC" w:rsidP="00D610DC">
      <w:pPr>
        <w:spacing w:line="276" w:lineRule="auto"/>
        <w:rPr>
          <w:rFonts w:ascii="Calibri" w:hAnsi="Calibri" w:cs="Calibri"/>
          <w:kern w:val="2"/>
          <w:lang w:val="lt-LT" w:eastAsia="lt-LT"/>
          <w14:ligatures w14:val="standardContextual"/>
        </w:rPr>
      </w:pPr>
      <w:r w:rsidRPr="00D610DC">
        <w:rPr>
          <w:rFonts w:ascii="Calibri" w:hAnsi="Calibri" w:cs="Calibri"/>
          <w:kern w:val="2"/>
          <w:lang w:val="lt-LT" w:eastAsia="lt-LT"/>
          <w14:ligatures w14:val="standardContextual"/>
        </w:rPr>
        <w:t>Pirkimo sąlygų 34.1 punkte nustatytas kvalifikacijos reikalavimas „</w:t>
      </w:r>
      <w:r w:rsidRPr="00D610DC">
        <w:rPr>
          <w:rFonts w:ascii="Calibri" w:hAnsi="Calibri" w:cs="Calibri"/>
          <w:lang w:val="lt-LT"/>
        </w:rPr>
        <w:t xml:space="preserve"> </w:t>
      </w:r>
      <w:r w:rsidRPr="00D610DC">
        <w:rPr>
          <w:rFonts w:ascii="Calibri" w:hAnsi="Calibri" w:cs="Calibri"/>
          <w:kern w:val="2"/>
          <w:lang w:val="lt-LT" w:eastAsia="lt-LT"/>
          <w14:ligatures w14:val="standardContextual"/>
        </w:rPr>
        <w:t xml:space="preserve">Tiekėjas (tiekėjų grupės partneriai kartu) per paskutinius 5 metus iki pasiūlymų pateikimo termino pabaigos pagal vieną ar daugiau sutarčių savo jėgomis  yra </w:t>
      </w:r>
      <w:r w:rsidRPr="00D610DC">
        <w:rPr>
          <w:rFonts w:ascii="Calibri" w:hAnsi="Calibri" w:cs="Calibri"/>
          <w:b/>
          <w:bCs/>
          <w:kern w:val="2"/>
          <w:lang w:val="lt-LT" w:eastAsia="lt-LT"/>
          <w14:ligatures w14:val="standardContextual"/>
        </w:rPr>
        <w:t>tinkamai atlikęs šviesoforais valdomų sankryžų ir (arba) perėjų statybos, ir (arba) rekonstravimo, ir (arba) remonto darbus</w:t>
      </w:r>
      <w:r w:rsidRPr="00D610DC">
        <w:rPr>
          <w:rFonts w:ascii="Calibri" w:hAnsi="Calibri" w:cs="Calibri"/>
          <w:kern w:val="2"/>
          <w:lang w:val="lt-LT" w:eastAsia="lt-LT"/>
          <w14:ligatures w14:val="standardContextual"/>
        </w:rPr>
        <w:t xml:space="preserve">.“ Pažymėtina, kad šiuo atveju reikalavimas apibrėžtas </w:t>
      </w:r>
      <w:r w:rsidRPr="00D610DC">
        <w:rPr>
          <w:rFonts w:ascii="Calibri" w:hAnsi="Calibri" w:cs="Calibri"/>
          <w:kern w:val="2"/>
          <w:lang w:val="lt-LT" w:eastAsia="lt-LT"/>
          <w14:ligatures w14:val="standardContextual"/>
        </w:rPr>
        <w:lastRenderedPageBreak/>
        <w:t xml:space="preserve">vien tik pasiektu rezultatu, t. y. tinkamai atliktais darbais. Todėl šiuo atveju tiekėjo kvalifikacija turės būti vertinama kaip tinkama ir tais atvejais jei jis faktiškai bus atlikęs pvz. vieno šviesoforo remonto darbus už 780,00 Eur be PVM, nors šio Pirkimo vertė yra 240 000,00 Eur be PVM. Atsižvelgiant į tai kyla klausimas, ar tikrai šiuo atveju pats reikalavimas suformuluotas tinkamai, o tiekėjo kvalifikaciją bus pakankama tam, kad jis galėtų tinkamai įvykdyti Pirkimo sutartį? </w:t>
      </w:r>
    </w:p>
    <w:p w14:paraId="3CDBB9E1" w14:textId="77777777" w:rsidR="00D610DC" w:rsidRPr="00D610DC" w:rsidRDefault="00D610DC" w:rsidP="00D610DC">
      <w:pPr>
        <w:spacing w:line="276" w:lineRule="auto"/>
        <w:rPr>
          <w:rFonts w:ascii="Calibri" w:hAnsi="Calibri" w:cs="Calibri"/>
          <w:kern w:val="2"/>
          <w:lang w:val="lt-LT" w:eastAsia="lt-LT"/>
          <w14:ligatures w14:val="standardContextual"/>
        </w:rPr>
      </w:pPr>
      <w:r w:rsidRPr="00D610DC">
        <w:rPr>
          <w:rFonts w:ascii="Calibri" w:hAnsi="Calibri" w:cs="Calibri"/>
          <w:kern w:val="2"/>
          <w:lang w:val="lt-LT" w:eastAsia="lt-LT"/>
          <w14:ligatures w14:val="standardContextual"/>
        </w:rPr>
        <w:t xml:space="preserve">Taip pat pažymėtina, kad šiuo atveju kvalifikacijos reikalavimas keliamas kaip daliam objektui, o darbų atlikimo terminas yra nevienkartinis, todėl vadovaujantis Metodikos 16 p. tiekėjai patirtį gali įrodinėti </w:t>
      </w:r>
      <w:r w:rsidRPr="00D610DC">
        <w:rPr>
          <w:rFonts w:ascii="Calibri" w:hAnsi="Calibri" w:cs="Calibri"/>
          <w:b/>
          <w:bCs/>
          <w:kern w:val="2"/>
          <w:lang w:val="lt-LT" w:eastAsia="lt-LT"/>
          <w14:ligatures w14:val="standardContextual"/>
        </w:rPr>
        <w:t>tiek baigtomis sutartimis, tiek nebaigtų vykdyti sutarčių jau įvykdytomis dalimis</w:t>
      </w:r>
      <w:r w:rsidRPr="00D610DC">
        <w:rPr>
          <w:rFonts w:ascii="Calibri" w:hAnsi="Calibri" w:cs="Calibri"/>
          <w:kern w:val="2"/>
          <w:lang w:val="lt-LT" w:eastAsia="lt-LT"/>
          <w14:ligatures w14:val="standardContextual"/>
        </w:rPr>
        <w:t xml:space="preserve">. </w:t>
      </w:r>
    </w:p>
    <w:p w14:paraId="5476D1BE" w14:textId="77777777" w:rsidR="00D610DC" w:rsidRPr="00D610DC" w:rsidRDefault="00D610DC" w:rsidP="00D610DC">
      <w:pPr>
        <w:spacing w:line="276" w:lineRule="auto"/>
        <w:rPr>
          <w:rFonts w:ascii="Calibri" w:hAnsi="Calibri" w:cs="Calibri"/>
          <w:kern w:val="2"/>
          <w:lang w:val="lt-LT" w:eastAsia="lt-LT"/>
          <w14:ligatures w14:val="standardContextual"/>
        </w:rPr>
      </w:pPr>
      <w:r w:rsidRPr="00D610DC">
        <w:rPr>
          <w:rFonts w:ascii="Calibri" w:hAnsi="Calibri" w:cs="Calibri"/>
          <w:kern w:val="2"/>
          <w:lang w:val="lt-LT" w:eastAsia="lt-LT"/>
          <w14:ligatures w14:val="standardContextual"/>
        </w:rPr>
        <w:t xml:space="preserve">Atsižvelgiant į nurodytą, Tarnyba rekomenduoja tikslinti tiekėjų kvalifikacijos reikalavimą atsižvelgiant į  Metodikos 16 p. </w:t>
      </w:r>
    </w:p>
    <w:p w14:paraId="6D593A2A" w14:textId="77777777" w:rsidR="00D610DC" w:rsidRPr="00D610DC" w:rsidRDefault="00D610DC" w:rsidP="00D610DC">
      <w:pPr>
        <w:spacing w:line="276" w:lineRule="auto"/>
        <w:rPr>
          <w:rFonts w:ascii="Calibri" w:hAnsi="Calibri" w:cs="Calibri"/>
          <w:kern w:val="2"/>
          <w:lang w:val="lt-LT" w:eastAsia="lt-LT"/>
          <w14:ligatures w14:val="standardContextual"/>
        </w:rPr>
      </w:pPr>
      <w:r w:rsidRPr="00D610DC">
        <w:rPr>
          <w:rFonts w:ascii="Calibri" w:hAnsi="Calibri" w:cs="Calibri"/>
          <w:kern w:val="2"/>
          <w:lang w:val="lt-LT" w:eastAsia="lt-LT"/>
          <w14:ligatures w14:val="standardContextual"/>
        </w:rPr>
        <w:t>Taip pat rekomenduotina patikslinti  tiekėjų kvalifikacijos reikalavimą,  Pirkimo sąlygų 34.1 punkte nurodant kaip šį reikalavimą turi atitikti ūkio subjektų grupė, ir ar tiekėjas gali remtis kitų ūkio subjektų pajėgumais, ar subtiekėjams šis reikalavimas nustatomas (žiūrėti Metodikos 16.1 papunktį).</w:t>
      </w:r>
    </w:p>
    <w:p w14:paraId="13195CCA" w14:textId="77777777" w:rsidR="00D610DC" w:rsidRPr="00D610DC" w:rsidRDefault="00D610DC" w:rsidP="00D610DC">
      <w:pPr>
        <w:spacing w:line="276" w:lineRule="auto"/>
        <w:rPr>
          <w:rFonts w:ascii="Calibri" w:hAnsi="Calibri" w:cs="Calibri"/>
          <w:kern w:val="2"/>
          <w:lang w:val="lt-LT" w:eastAsia="lt-LT"/>
          <w14:ligatures w14:val="standardContextual"/>
        </w:rPr>
      </w:pPr>
      <w:r w:rsidRPr="00D610DC">
        <w:rPr>
          <w:rFonts w:ascii="Calibri" w:hAnsi="Calibri" w:cs="Calibri"/>
          <w:kern w:val="2"/>
          <w:lang w:val="lt-LT" w:eastAsia="lt-LT"/>
          <w14:ligatures w14:val="standardContextual"/>
        </w:rPr>
        <w:t xml:space="preserve">Taip pat rekomenduotina susipažinti su </w:t>
      </w:r>
      <w:r>
        <w:fldChar w:fldCharType="begin"/>
      </w:r>
      <w:r w:rsidRPr="0050059B">
        <w:rPr>
          <w:lang w:val="lt-LT"/>
        </w:rPr>
        <w:instrText>HYPERLINK "https://vpt.lrv.lt/uploads/vpt/documents/files/mp/darbu_gaires.pdf"</w:instrText>
      </w:r>
      <w:r>
        <w:fldChar w:fldCharType="separate"/>
      </w:r>
      <w:r w:rsidRPr="00D610DC">
        <w:rPr>
          <w:rStyle w:val="Hipersaitas"/>
          <w:rFonts w:ascii="Calibri" w:eastAsiaTheme="majorEastAsia" w:hAnsi="Calibri" w:cs="Calibri"/>
          <w:kern w:val="2"/>
          <w:lang w:val="lt-LT" w:eastAsia="lt-LT"/>
          <w14:ligatures w14:val="standardContextual"/>
        </w:rPr>
        <w:t>Statybos darbų pirkimo gairėmis</w:t>
      </w:r>
      <w:r>
        <w:rPr>
          <w:rStyle w:val="Hipersaitas"/>
          <w:rFonts w:ascii="Calibri" w:eastAsiaTheme="majorEastAsia" w:hAnsi="Calibri" w:cs="Calibri"/>
          <w:kern w:val="2"/>
          <w:lang w:val="lt-LT" w:eastAsia="lt-LT"/>
          <w14:ligatures w14:val="standardContextual"/>
        </w:rPr>
        <w:fldChar w:fldCharType="end"/>
      </w:r>
      <w:r w:rsidRPr="00D610DC">
        <w:rPr>
          <w:rFonts w:ascii="Calibri" w:hAnsi="Calibri" w:cs="Calibri"/>
          <w:kern w:val="2"/>
          <w:lang w:val="lt-LT" w:eastAsia="lt-LT"/>
          <w14:ligatures w14:val="standardContextual"/>
        </w:rPr>
        <w:t xml:space="preserve"> (19 psl.).</w:t>
      </w:r>
    </w:p>
    <w:p w14:paraId="4F096ADA" w14:textId="77777777" w:rsidR="00D610DC" w:rsidRPr="00D610DC" w:rsidRDefault="00D610DC" w:rsidP="00D610DC">
      <w:pPr>
        <w:spacing w:line="276" w:lineRule="auto"/>
        <w:rPr>
          <w:rFonts w:ascii="Calibri" w:hAnsi="Calibri" w:cs="Calibri"/>
          <w:kern w:val="2"/>
          <w:lang w:val="lt-LT" w:eastAsia="lt-LT"/>
          <w14:ligatures w14:val="standardContextual"/>
        </w:rPr>
      </w:pPr>
      <w:r w:rsidRPr="00D610DC">
        <w:rPr>
          <w:rFonts w:ascii="Calibri" w:hAnsi="Calibri" w:cs="Calibri"/>
          <w:kern w:val="2"/>
          <w:lang w:val="lt-LT" w:eastAsia="lt-LT"/>
          <w14:ligatures w14:val="standardContextual"/>
        </w:rPr>
        <w:t>1.2. Pirkimo sąlygų 34.2.2 papunktyje nustatytas kvalifikacijos reikalavimas „Specialistą, turintį teisę atlikti izoliacijos ir įžeminimo varžų matavimo darbus.“</w:t>
      </w:r>
      <w:r w:rsidRPr="00D610DC">
        <w:rPr>
          <w:rFonts w:ascii="Calibri" w:hAnsi="Calibri" w:cs="Calibri"/>
          <w:lang w:val="lt-LT"/>
        </w:rPr>
        <w:t xml:space="preserve"> </w:t>
      </w:r>
      <w:r w:rsidRPr="00D610DC">
        <w:rPr>
          <w:rFonts w:ascii="Calibri" w:hAnsi="Calibri" w:cs="Calibri"/>
          <w:kern w:val="2"/>
          <w:lang w:val="lt-LT" w:eastAsia="lt-LT"/>
          <w14:ligatures w14:val="standardContextual"/>
        </w:rPr>
        <w:t xml:space="preserve">Atitiktį kvalifikaciniam reikalavimui patvirtinantys dokumentai „Įgaliotos įstaigos išduotas ir galiojantis pažymėjimas izoliacijos ir įžeminimo varžų matavimui arba kitas lygiavertis dokumentas, suteikiantis teisę vykdyti kvalifikacijos reikalavime nurodytą veiklą. </w:t>
      </w:r>
    </w:p>
    <w:p w14:paraId="37551340" w14:textId="77777777" w:rsidR="00D610DC" w:rsidRPr="00D610DC" w:rsidRDefault="00D610DC" w:rsidP="00D610DC">
      <w:pPr>
        <w:spacing w:line="276" w:lineRule="auto"/>
        <w:rPr>
          <w:rFonts w:ascii="Calibri" w:hAnsi="Calibri" w:cs="Calibri"/>
          <w:kern w:val="2"/>
          <w:lang w:val="lt-LT" w:eastAsia="lt-LT"/>
          <w14:ligatures w14:val="standardContextual"/>
        </w:rPr>
      </w:pPr>
      <w:r w:rsidRPr="00D610DC">
        <w:rPr>
          <w:rFonts w:ascii="Calibri" w:eastAsiaTheme="minorHAnsi" w:hAnsi="Calibri" w:cs="Calibri"/>
          <w:color w:val="000000"/>
          <w:lang w:val="lt-LT" w:eastAsia="en-US"/>
        </w:rPr>
        <w:t xml:space="preserve">Prašome pagrįsti nustatyto kvalifikacijos reikalavimo atitiktį Įstatymo 47 straipsnio 1 dalies nuostatoms, kad „Perkančioji organizacija &lt;...&gt; turi teisę &lt;...&gt; nustatyti </w:t>
      </w:r>
      <w:r w:rsidRPr="00D610DC">
        <w:rPr>
          <w:rFonts w:ascii="Calibri" w:eastAsiaTheme="minorHAnsi" w:hAnsi="Calibri" w:cs="Calibri"/>
          <w:b/>
          <w:bCs/>
          <w:color w:val="000000"/>
          <w:lang w:val="lt-LT" w:eastAsia="en-US"/>
        </w:rPr>
        <w:t>būtinus</w:t>
      </w:r>
      <w:r w:rsidRPr="00D610DC">
        <w:rPr>
          <w:rFonts w:ascii="Calibri" w:eastAsiaTheme="minorHAnsi" w:hAnsi="Calibri" w:cs="Calibri"/>
          <w:color w:val="000000"/>
          <w:lang w:val="lt-LT" w:eastAsia="en-US"/>
        </w:rPr>
        <w:t xml:space="preserve"> &lt;...&gt; </w:t>
      </w:r>
      <w:r w:rsidRPr="00D610DC">
        <w:rPr>
          <w:rFonts w:ascii="Calibri" w:eastAsiaTheme="minorHAnsi" w:hAnsi="Calibri" w:cs="Calibri"/>
          <w:b/>
          <w:bCs/>
          <w:color w:val="000000"/>
          <w:lang w:val="lt-LT" w:eastAsia="en-US"/>
        </w:rPr>
        <w:t>kvalifikacijos reikalavimus</w:t>
      </w:r>
      <w:r w:rsidRPr="00D610DC">
        <w:rPr>
          <w:rFonts w:ascii="Calibri" w:eastAsiaTheme="minorHAnsi" w:hAnsi="Calibri" w:cs="Calibri"/>
          <w:color w:val="000000"/>
          <w:lang w:val="lt-LT" w:eastAsia="en-US"/>
        </w:rPr>
        <w:t xml:space="preserve"> ir šių reikalavimų atitiktį patvirtinančius dokumentus ar informaciją. Perkančiosios organizacijos nustatyti &lt;...&gt; kvalifikacijos reikalavimai &lt;...&gt; turi būti proporcingi ir susiję su pirkimo objektu, tikslūs ir aiškūs &lt;...&gt;“, o būtent:</w:t>
      </w:r>
    </w:p>
    <w:p w14:paraId="55D040DC" w14:textId="77777777" w:rsidR="00D610DC" w:rsidRPr="00D610DC" w:rsidRDefault="00D610DC" w:rsidP="00D610DC">
      <w:pPr>
        <w:spacing w:line="276" w:lineRule="auto"/>
        <w:rPr>
          <w:rFonts w:ascii="Calibri" w:eastAsiaTheme="minorHAnsi" w:hAnsi="Calibri" w:cs="Calibri"/>
          <w:color w:val="000000"/>
          <w:lang w:val="lt-LT" w:eastAsia="en-US"/>
        </w:rPr>
      </w:pPr>
      <w:r w:rsidRPr="00D610DC">
        <w:rPr>
          <w:rFonts w:ascii="Calibri" w:eastAsiaTheme="minorHAnsi" w:hAnsi="Calibri" w:cs="Calibri"/>
          <w:color w:val="000000"/>
          <w:lang w:val="lt-LT" w:eastAsia="en-US"/>
        </w:rPr>
        <w:t>- pagrįsti nustatyto kvalifikacijos reikalavimo poreikį / būtinumą;</w:t>
      </w:r>
    </w:p>
    <w:p w14:paraId="3155241F" w14:textId="77777777" w:rsidR="00D610DC" w:rsidRPr="00D610DC" w:rsidRDefault="00D610DC" w:rsidP="00D610DC">
      <w:pPr>
        <w:spacing w:line="276" w:lineRule="auto"/>
        <w:rPr>
          <w:rFonts w:ascii="Calibri" w:eastAsiaTheme="minorHAnsi" w:hAnsi="Calibri" w:cs="Calibri"/>
          <w:color w:val="000000"/>
          <w:lang w:val="lt-LT" w:eastAsia="en-US"/>
        </w:rPr>
      </w:pPr>
      <w:r w:rsidRPr="00D610DC">
        <w:rPr>
          <w:rFonts w:ascii="Calibri" w:eastAsiaTheme="minorHAnsi" w:hAnsi="Calibri" w:cs="Calibri"/>
          <w:color w:val="000000"/>
          <w:lang w:val="lt-LT" w:eastAsia="en-US"/>
        </w:rPr>
        <w:t xml:space="preserve">-nurodyti teisinį pagrindą, t. y. teisės aktą ir konkrečias jo nuostatas, vadovaujantis kuriomis buvo nustatytas kvalifikacijos reikalavimas. Nurodyti kokie dokumentai šiuo atveju būtų tinkami ir priimtini grindžiant tiekėjo atitiktį šiam reikalavimui.  </w:t>
      </w:r>
    </w:p>
    <w:p w14:paraId="2A5777D4" w14:textId="77777777" w:rsidR="00D610DC" w:rsidRPr="00D610DC" w:rsidRDefault="00D610DC" w:rsidP="00D610DC">
      <w:pPr>
        <w:pStyle w:val="Sraopastraipa"/>
        <w:numPr>
          <w:ilvl w:val="0"/>
          <w:numId w:val="2"/>
        </w:numPr>
        <w:pBdr>
          <w:top w:val="none" w:sz="96" w:space="31" w:color="FFFFFF" w:shadow="1" w:frame="1"/>
          <w:left w:val="none" w:sz="96" w:space="31" w:color="FFFFFF" w:shadow="1" w:frame="1"/>
          <w:bottom w:val="none" w:sz="96" w:space="31" w:color="FFFFFF" w:shadow="1" w:frame="1"/>
          <w:right w:val="none" w:sz="96" w:space="31" w:color="FFFFFF" w:shadow="1" w:frame="1"/>
        </w:pBdr>
        <w:spacing w:line="276" w:lineRule="auto"/>
        <w:jc w:val="both"/>
        <w:rPr>
          <w:rFonts w:ascii="Calibri" w:eastAsiaTheme="minorHAnsi" w:hAnsi="Calibri" w:cs="Calibri"/>
          <w:color w:val="000000"/>
          <w:lang w:val="lt-LT"/>
        </w:rPr>
      </w:pPr>
      <w:r w:rsidRPr="00D610DC">
        <w:rPr>
          <w:rFonts w:ascii="Calibri" w:eastAsiaTheme="minorHAnsi" w:hAnsi="Calibri" w:cs="Calibri"/>
          <w:b/>
          <w:bCs/>
          <w:color w:val="000000"/>
          <w:lang w:val="lt-LT"/>
        </w:rPr>
        <w:t>Dėl Pirkimo sutarties sąlygų</w:t>
      </w:r>
    </w:p>
    <w:p w14:paraId="789CCD30" w14:textId="77777777" w:rsidR="00D610DC" w:rsidRPr="00D610DC" w:rsidRDefault="00D610DC" w:rsidP="00D610DC">
      <w:pPr>
        <w:pStyle w:val="Sraopastraipa"/>
        <w:numPr>
          <w:ilvl w:val="1"/>
          <w:numId w:val="2"/>
        </w:numPr>
        <w:pBdr>
          <w:top w:val="none" w:sz="96" w:space="31" w:color="FFFFFF" w:shadow="1" w:frame="1"/>
          <w:left w:val="none" w:sz="96" w:space="31" w:color="FFFFFF" w:shadow="1" w:frame="1"/>
          <w:bottom w:val="none" w:sz="96" w:space="31" w:color="FFFFFF" w:shadow="1" w:frame="1"/>
          <w:right w:val="none" w:sz="96" w:space="31" w:color="FFFFFF" w:shadow="1" w:frame="1"/>
        </w:pBdr>
        <w:tabs>
          <w:tab w:val="left" w:pos="0"/>
          <w:tab w:val="left" w:pos="426"/>
        </w:tabs>
        <w:spacing w:line="276" w:lineRule="auto"/>
        <w:ind w:left="0" w:firstLine="0"/>
        <w:jc w:val="both"/>
        <w:rPr>
          <w:rFonts w:ascii="Calibri" w:eastAsiaTheme="minorHAnsi" w:hAnsi="Calibri" w:cs="Calibri"/>
          <w:color w:val="000000"/>
          <w:lang w:val="lt-LT"/>
        </w:rPr>
      </w:pPr>
      <w:r w:rsidRPr="00D610DC">
        <w:rPr>
          <w:rFonts w:ascii="Calibri" w:eastAsiaTheme="minorHAnsi" w:hAnsi="Calibri" w:cs="Calibri"/>
          <w:color w:val="000000"/>
          <w:lang w:val="lt-LT"/>
        </w:rPr>
        <w:t xml:space="preserve">Pirkimo sąlygų 3 priedo „Sutarties projektas“ (toliau – Sutarties projektas) 3.2 punkte netinkamai apskaičiuota maksimali sutarties vertė su PVM. Tarnyba rekomenduoja peržiūrėti ir patikslinti Sutarties projekto 3.2 p. nurodytą maksimalią sutarties vertę su PVM. </w:t>
      </w:r>
    </w:p>
    <w:p w14:paraId="55D2AF8E" w14:textId="77777777" w:rsidR="00D610DC" w:rsidRPr="00D610DC" w:rsidRDefault="00D610DC" w:rsidP="00D610DC">
      <w:pPr>
        <w:pStyle w:val="Sraopastraipa"/>
        <w:numPr>
          <w:ilvl w:val="1"/>
          <w:numId w:val="2"/>
        </w:numPr>
        <w:pBdr>
          <w:top w:val="none" w:sz="96" w:space="31" w:color="FFFFFF" w:shadow="1" w:frame="1"/>
          <w:left w:val="none" w:sz="96" w:space="31" w:color="FFFFFF" w:shadow="1" w:frame="1"/>
          <w:bottom w:val="none" w:sz="96" w:space="31" w:color="FFFFFF" w:shadow="1" w:frame="1"/>
          <w:right w:val="none" w:sz="96" w:space="31" w:color="FFFFFF" w:shadow="1" w:frame="1"/>
        </w:pBdr>
        <w:tabs>
          <w:tab w:val="left" w:pos="0"/>
          <w:tab w:val="left" w:pos="426"/>
        </w:tabs>
        <w:spacing w:line="276" w:lineRule="auto"/>
        <w:ind w:left="0" w:firstLine="0"/>
        <w:jc w:val="both"/>
        <w:rPr>
          <w:rFonts w:ascii="Calibri" w:eastAsiaTheme="minorHAnsi" w:hAnsi="Calibri" w:cs="Calibri"/>
          <w:color w:val="000000"/>
          <w:lang w:val="lt-LT"/>
        </w:rPr>
      </w:pPr>
      <w:r w:rsidRPr="00D610DC">
        <w:rPr>
          <w:rFonts w:ascii="Calibri" w:eastAsiaTheme="minorHAnsi" w:hAnsi="Calibri" w:cs="Calibri"/>
          <w:color w:val="000000"/>
          <w:lang w:val="lt-LT"/>
        </w:rPr>
        <w:t xml:space="preserve">Sutarties projekto 4.3 punkte nurodyta „Darbų garantiniai terminai numatyti Techninėje specifikacijoje“. Pažymėtina, kad pagal Pirkimo dokumentus garantiniai terminai nurodyti ne tik techninėje specifikacijoje, bet tiekėjas juos turi nurodyti ir pasiūlymo formoje. Taip pat pastebėtina, kad sąvoka Darbai apima tiek darbus, tiek įrangą. Atsižvelgiant į tai, Tarnyba rekomenduoja patikslinti Sutarties projekto 4.3 punktą. </w:t>
      </w:r>
    </w:p>
    <w:p w14:paraId="43EEE9B5" w14:textId="77777777" w:rsidR="00D610DC" w:rsidRPr="00D610DC" w:rsidRDefault="00D610DC" w:rsidP="00D610DC">
      <w:pPr>
        <w:pStyle w:val="Sraopastraipa"/>
        <w:numPr>
          <w:ilvl w:val="1"/>
          <w:numId w:val="2"/>
        </w:numPr>
        <w:pBdr>
          <w:top w:val="none" w:sz="96" w:space="31" w:color="FFFFFF" w:shadow="1" w:frame="1"/>
          <w:left w:val="none" w:sz="96" w:space="31" w:color="FFFFFF" w:shadow="1" w:frame="1"/>
          <w:bottom w:val="none" w:sz="96" w:space="31" w:color="FFFFFF" w:shadow="1" w:frame="1"/>
          <w:right w:val="none" w:sz="96" w:space="31" w:color="FFFFFF" w:shadow="1" w:frame="1"/>
        </w:pBdr>
        <w:tabs>
          <w:tab w:val="left" w:pos="0"/>
          <w:tab w:val="left" w:pos="426"/>
        </w:tabs>
        <w:spacing w:line="276" w:lineRule="auto"/>
        <w:ind w:left="0" w:firstLine="0"/>
        <w:jc w:val="both"/>
        <w:rPr>
          <w:rFonts w:ascii="Calibri" w:eastAsiaTheme="minorHAnsi" w:hAnsi="Calibri" w:cs="Calibri"/>
          <w:color w:val="000000"/>
          <w:lang w:val="lt-LT"/>
        </w:rPr>
      </w:pPr>
      <w:r w:rsidRPr="00D610DC">
        <w:rPr>
          <w:rFonts w:ascii="Calibri" w:eastAsiaTheme="minorHAnsi" w:hAnsi="Calibri" w:cs="Calibri"/>
          <w:color w:val="000000"/>
          <w:lang w:val="lt-LT"/>
        </w:rPr>
        <w:lastRenderedPageBreak/>
        <w:t>Sutarties projekto 6.7.1 papunktyje nurodyta „&lt;...&gt; pasiūlyme nurodyti subrangovai</w:t>
      </w:r>
      <w:r w:rsidRPr="00D610DC">
        <w:rPr>
          <w:rFonts w:ascii="Calibri" w:eastAsiaTheme="minorHAnsi" w:hAnsi="Calibri" w:cs="Calibri"/>
          <w:b/>
          <w:bCs/>
          <w:color w:val="000000"/>
          <w:lang w:val="lt-LT"/>
        </w:rPr>
        <w:t>: nenurodyta</w:t>
      </w:r>
      <w:r w:rsidRPr="00D610DC">
        <w:rPr>
          <w:rFonts w:ascii="Calibri" w:eastAsiaTheme="minorHAnsi" w:hAnsi="Calibri" w:cs="Calibri"/>
          <w:color w:val="000000"/>
          <w:lang w:val="lt-LT"/>
        </w:rPr>
        <w:t>.“ Rekomenduotina patikslinti techninio pobūdžio klaidą.</w:t>
      </w:r>
    </w:p>
    <w:p w14:paraId="6193827B" w14:textId="47813C30" w:rsidR="00D610DC" w:rsidRPr="00D610DC" w:rsidRDefault="00D610DC" w:rsidP="00D610DC">
      <w:pPr>
        <w:pStyle w:val="Sraopastraipa"/>
        <w:numPr>
          <w:ilvl w:val="1"/>
          <w:numId w:val="2"/>
        </w:numPr>
        <w:pBdr>
          <w:top w:val="none" w:sz="96" w:space="31" w:color="FFFFFF" w:shadow="1" w:frame="1"/>
          <w:left w:val="none" w:sz="96" w:space="31" w:color="FFFFFF" w:shadow="1" w:frame="1"/>
          <w:bottom w:val="none" w:sz="96" w:space="31" w:color="FFFFFF" w:shadow="1" w:frame="1"/>
          <w:right w:val="none" w:sz="96" w:space="31" w:color="FFFFFF" w:shadow="1" w:frame="1"/>
        </w:pBdr>
        <w:tabs>
          <w:tab w:val="left" w:pos="0"/>
          <w:tab w:val="left" w:pos="426"/>
        </w:tabs>
        <w:spacing w:line="276" w:lineRule="auto"/>
        <w:ind w:left="0" w:firstLine="0"/>
        <w:jc w:val="both"/>
        <w:rPr>
          <w:rFonts w:ascii="Calibri" w:eastAsiaTheme="minorHAnsi" w:hAnsi="Calibri" w:cs="Calibri"/>
          <w:color w:val="000000"/>
          <w:lang w:val="lt-LT"/>
        </w:rPr>
      </w:pPr>
      <w:r w:rsidRPr="00D610DC">
        <w:rPr>
          <w:rFonts w:ascii="Calibri" w:eastAsiaTheme="minorHAnsi" w:hAnsi="Calibri" w:cs="Calibri"/>
          <w:color w:val="000000"/>
          <w:lang w:val="lt-LT"/>
        </w:rPr>
        <w:t xml:space="preserve">Pirkimo sąlygų 35.1 papunktyje nustatytas aplinkosauginis reikalavimas, t. y. nustatyti reikalavimai, kurių tiekėjai turi laikytis atlikdami darbus. Atsižvelgiant į tai, kad Pirkimo sutarties vykdymo metu Perkančioji organizacija privalo prižiūrėti, kaip tiekėjas laikosi (taiko) reikalavimų dėl aplinkos apsaugos vadybos sistemos taikymo ir pan., Sutarties projekte turi būti tiksliai ir aiškiai nustatytas šių įsipareigojimų vykdymo  priežiūros (patikros) mechanizmas, t. y. kaip Perkančioji organizacija kontroliuos tiekėjo pareigą sutarties vykdymo metu taikyti visus nustatytus aplinkos apsaugos vadybos sistemos reikalavimus ir koks bus sankcijų mechanizmas, jeigu tiekėjas šios pareigos nevykdys. </w:t>
      </w:r>
    </w:p>
    <w:p w14:paraId="79EDBFB8" w14:textId="77777777" w:rsidR="00D610DC" w:rsidRPr="00D610DC" w:rsidRDefault="00D610DC" w:rsidP="00D610DC">
      <w:pPr>
        <w:pStyle w:val="Sraopastraipa"/>
        <w:pBdr>
          <w:top w:val="none" w:sz="96" w:space="31" w:color="FFFFFF" w:shadow="1" w:frame="1"/>
          <w:left w:val="none" w:sz="96" w:space="31" w:color="FFFFFF" w:shadow="1" w:frame="1"/>
          <w:bottom w:val="none" w:sz="96" w:space="31" w:color="FFFFFF" w:shadow="1" w:frame="1"/>
          <w:right w:val="none" w:sz="96" w:space="31" w:color="FFFFFF" w:shadow="1" w:frame="1"/>
        </w:pBdr>
        <w:tabs>
          <w:tab w:val="left" w:pos="0"/>
          <w:tab w:val="left" w:pos="426"/>
        </w:tabs>
        <w:spacing w:line="276" w:lineRule="auto"/>
        <w:ind w:left="0"/>
        <w:jc w:val="both"/>
        <w:rPr>
          <w:rFonts w:ascii="Calibri" w:eastAsiaTheme="minorHAnsi" w:hAnsi="Calibri" w:cs="Calibri"/>
          <w:color w:val="000000"/>
          <w:lang w:val="lt-LT"/>
        </w:rPr>
      </w:pPr>
    </w:p>
    <w:p w14:paraId="41DE9596" w14:textId="77777777" w:rsidR="00D610DC" w:rsidRPr="00D610DC" w:rsidRDefault="00D610DC" w:rsidP="00D610DC">
      <w:pPr>
        <w:pStyle w:val="Sraopastraipa"/>
        <w:pBdr>
          <w:top w:val="none" w:sz="96" w:space="31" w:color="FFFFFF" w:shadow="1" w:frame="1"/>
          <w:left w:val="none" w:sz="96" w:space="31" w:color="FFFFFF" w:shadow="1" w:frame="1"/>
          <w:bottom w:val="none" w:sz="96" w:space="31" w:color="FFFFFF" w:shadow="1" w:frame="1"/>
          <w:right w:val="none" w:sz="96" w:space="31" w:color="FFFFFF" w:shadow="1" w:frame="1"/>
        </w:pBdr>
        <w:tabs>
          <w:tab w:val="left" w:pos="0"/>
          <w:tab w:val="left" w:pos="426"/>
        </w:tabs>
        <w:spacing w:line="276" w:lineRule="auto"/>
        <w:ind w:left="0"/>
        <w:jc w:val="both"/>
        <w:rPr>
          <w:rFonts w:ascii="Calibri" w:eastAsiaTheme="minorHAnsi" w:hAnsi="Calibri" w:cs="Calibri"/>
          <w:color w:val="000000"/>
          <w:lang w:val="lt-LT"/>
        </w:rPr>
      </w:pPr>
    </w:p>
    <w:p w14:paraId="66D399E6" w14:textId="77777777" w:rsidR="00D610DC" w:rsidRPr="00D610DC" w:rsidRDefault="00D610DC" w:rsidP="00D610DC">
      <w:pPr>
        <w:pStyle w:val="Sraopastraipa"/>
        <w:numPr>
          <w:ilvl w:val="0"/>
          <w:numId w:val="2"/>
        </w:numPr>
        <w:pBdr>
          <w:top w:val="none" w:sz="96" w:space="31" w:color="FFFFFF" w:shadow="1" w:frame="1"/>
          <w:left w:val="none" w:sz="96" w:space="31" w:color="FFFFFF" w:shadow="1" w:frame="1"/>
          <w:bottom w:val="none" w:sz="96" w:space="31" w:color="FFFFFF" w:shadow="1" w:frame="1"/>
          <w:right w:val="none" w:sz="96" w:space="31" w:color="FFFFFF" w:shadow="1" w:frame="1"/>
        </w:pBdr>
        <w:spacing w:line="276" w:lineRule="auto"/>
        <w:jc w:val="both"/>
        <w:rPr>
          <w:rFonts w:ascii="Calibri" w:eastAsiaTheme="minorHAnsi" w:hAnsi="Calibri" w:cs="Calibri"/>
          <w:b/>
          <w:bCs/>
          <w:color w:val="000000"/>
          <w:lang w:val="lt-LT"/>
        </w:rPr>
      </w:pPr>
      <w:r w:rsidRPr="00D610DC">
        <w:rPr>
          <w:rFonts w:ascii="Calibri" w:eastAsiaTheme="minorHAnsi" w:hAnsi="Calibri" w:cs="Calibri"/>
          <w:b/>
          <w:bCs/>
          <w:color w:val="000000"/>
          <w:lang w:val="lt-LT"/>
        </w:rPr>
        <w:t>Kiti pastebėjai</w:t>
      </w:r>
    </w:p>
    <w:p w14:paraId="3ED57A06" w14:textId="77777777" w:rsidR="00D610DC" w:rsidRPr="00D610DC" w:rsidRDefault="00D610DC" w:rsidP="00D610DC">
      <w:pPr>
        <w:pStyle w:val="Sraopastraipa"/>
        <w:numPr>
          <w:ilvl w:val="1"/>
          <w:numId w:val="2"/>
        </w:numPr>
        <w:pBdr>
          <w:top w:val="none" w:sz="96" w:space="31" w:color="FFFFFF" w:shadow="1" w:frame="1"/>
          <w:left w:val="none" w:sz="96" w:space="31" w:color="FFFFFF" w:shadow="1" w:frame="1"/>
          <w:bottom w:val="none" w:sz="96" w:space="31" w:color="FFFFFF" w:shadow="1" w:frame="1"/>
          <w:right w:val="none" w:sz="96" w:space="31" w:color="FFFFFF" w:shadow="1" w:frame="1"/>
        </w:pBdr>
        <w:tabs>
          <w:tab w:val="left" w:pos="426"/>
        </w:tabs>
        <w:spacing w:line="276" w:lineRule="auto"/>
        <w:ind w:left="0" w:firstLine="0"/>
        <w:jc w:val="both"/>
        <w:rPr>
          <w:rFonts w:ascii="Calibri" w:eastAsiaTheme="minorHAnsi" w:hAnsi="Calibri" w:cs="Calibri"/>
          <w:b/>
          <w:bCs/>
          <w:color w:val="000000"/>
          <w:lang w:val="lt-LT"/>
        </w:rPr>
      </w:pPr>
      <w:r w:rsidRPr="00D610DC">
        <w:rPr>
          <w:rFonts w:ascii="Calibri" w:hAnsi="Calibri" w:cs="Calibri"/>
          <w:lang w:val="lt-LT"/>
        </w:rPr>
        <w:t xml:space="preserve">Pirkimo sąlygų 73.2 papunktyje nurodyta „&lt;...&gt; </w:t>
      </w:r>
      <w:r w:rsidRPr="00D610DC">
        <w:rPr>
          <w:rFonts w:ascii="Calibri" w:hAnsi="Calibri" w:cs="Calibri"/>
          <w:b/>
          <w:bCs/>
          <w:lang w:val="lt-LT"/>
        </w:rPr>
        <w:t>per 45 minutes</w:t>
      </w:r>
      <w:r w:rsidRPr="00D610DC">
        <w:rPr>
          <w:rFonts w:ascii="Calibri" w:hAnsi="Calibri" w:cs="Calibri"/>
          <w:lang w:val="lt-LT"/>
        </w:rPr>
        <w:t xml:space="preserve"> nuo pasiūlymų pateikimo termino pabaigos CVP IS susirašinėjimo priemonėmis pateikti slaptažodį &lt;...&gt;“ ir 74 punkte „Tiekėjui užšifravus visą pasiūlymą ir </w:t>
      </w:r>
      <w:r w:rsidRPr="00D610DC">
        <w:rPr>
          <w:rFonts w:ascii="Calibri" w:hAnsi="Calibri" w:cs="Calibri"/>
          <w:b/>
          <w:bCs/>
          <w:lang w:val="lt-LT"/>
        </w:rPr>
        <w:t>per 45 minutes</w:t>
      </w:r>
      <w:r w:rsidRPr="00D610DC">
        <w:rPr>
          <w:rFonts w:ascii="Calibri" w:hAnsi="Calibri" w:cs="Calibri"/>
          <w:lang w:val="lt-LT"/>
        </w:rPr>
        <w:t xml:space="preserve"> nuo pasiūlymų pateikimo termino &lt;...&gt;“. Tarnyba pažymi, kad a</w:t>
      </w:r>
      <w:r w:rsidRPr="00D610DC">
        <w:rPr>
          <w:rFonts w:ascii="Calibri" w:eastAsiaTheme="minorHAnsi" w:hAnsi="Calibri" w:cs="Calibri"/>
          <w:color w:val="000000"/>
          <w:lang w:val="lt-LT"/>
        </w:rPr>
        <w:t xml:space="preserve">tsižvelgiant į naujo CVP IS funkcionalumą, nuo 2024-12-01 susipažinimas su pateiktais pasiūlymais galimas praėjus </w:t>
      </w:r>
      <w:r w:rsidRPr="00D610DC">
        <w:rPr>
          <w:rFonts w:ascii="Calibri" w:eastAsiaTheme="minorHAnsi" w:hAnsi="Calibri" w:cs="Calibri"/>
          <w:b/>
          <w:bCs/>
          <w:color w:val="000000"/>
          <w:lang w:val="lt-LT"/>
        </w:rPr>
        <w:t>30 min. po pasiūlymų pateikimo termino</w:t>
      </w:r>
      <w:r w:rsidRPr="00D610DC">
        <w:rPr>
          <w:rFonts w:ascii="Calibri" w:eastAsiaTheme="minorHAnsi" w:hAnsi="Calibri" w:cs="Calibri"/>
          <w:color w:val="000000"/>
          <w:lang w:val="lt-LT"/>
        </w:rPr>
        <w:t xml:space="preserve">. Tarnyba rekomenduoja patikslinti Pirkimo 73.2 papunktį ir 74 punktą atsižvelgiant į pateiktą informaciją. </w:t>
      </w:r>
    </w:p>
    <w:p w14:paraId="24F16F42" w14:textId="33E3A248" w:rsidR="00D610DC" w:rsidRPr="00D610DC" w:rsidRDefault="00D610DC" w:rsidP="00D610DC">
      <w:pPr>
        <w:pStyle w:val="Sraopastraipa"/>
        <w:numPr>
          <w:ilvl w:val="1"/>
          <w:numId w:val="2"/>
        </w:numPr>
        <w:pBdr>
          <w:top w:val="none" w:sz="96" w:space="31" w:color="FFFFFF" w:shadow="1" w:frame="1"/>
          <w:left w:val="none" w:sz="96" w:space="31" w:color="FFFFFF" w:shadow="1" w:frame="1"/>
          <w:bottom w:val="none" w:sz="96" w:space="31" w:color="FFFFFF" w:shadow="1" w:frame="1"/>
          <w:right w:val="none" w:sz="96" w:space="31" w:color="FFFFFF" w:shadow="1" w:frame="1"/>
        </w:pBdr>
        <w:tabs>
          <w:tab w:val="left" w:pos="426"/>
        </w:tabs>
        <w:spacing w:line="276" w:lineRule="auto"/>
        <w:ind w:left="0" w:firstLine="0"/>
        <w:jc w:val="both"/>
        <w:rPr>
          <w:rFonts w:ascii="Calibri" w:eastAsiaTheme="minorHAnsi" w:hAnsi="Calibri" w:cs="Calibri"/>
          <w:b/>
          <w:bCs/>
          <w:color w:val="000000"/>
          <w:lang w:val="lt-LT"/>
        </w:rPr>
      </w:pPr>
      <w:r w:rsidRPr="00D610DC">
        <w:rPr>
          <w:rFonts w:ascii="Calibri" w:hAnsi="Calibri" w:cs="Calibri"/>
          <w:lang w:val="lt-LT"/>
        </w:rPr>
        <w:t>Atkreiptinas dėmesys, jog Tarnyba atnaujino pavyzdinę pašalinimo pagrindų lentelę (</w:t>
      </w:r>
      <w:r>
        <w:fldChar w:fldCharType="begin"/>
      </w:r>
      <w:r w:rsidRPr="0050059B">
        <w:rPr>
          <w:lang w:val="lt-LT"/>
        </w:rPr>
        <w:instrText>HYPERLINK "https://vpt.lrv.lt/lt/metodine-pagalba/pavyzdiniai-dokumentai-3/pasalinimo-pagrindu-lentele/"</w:instrText>
      </w:r>
      <w:r>
        <w:fldChar w:fldCharType="separate"/>
      </w:r>
      <w:r w:rsidRPr="00D610DC">
        <w:rPr>
          <w:rStyle w:val="Hipersaitas"/>
          <w:rFonts w:ascii="Calibri" w:eastAsiaTheme="majorEastAsia" w:hAnsi="Calibri" w:cs="Calibri"/>
          <w:lang w:val="lt-LT"/>
        </w:rPr>
        <w:t>Pašalinimo pagrindų lentelė - Viešųjų pirkimų tarnyba (</w:t>
      </w:r>
      <w:proofErr w:type="spellStart"/>
      <w:r w:rsidRPr="00D610DC">
        <w:rPr>
          <w:rStyle w:val="Hipersaitas"/>
          <w:rFonts w:ascii="Calibri" w:eastAsiaTheme="majorEastAsia" w:hAnsi="Calibri" w:cs="Calibri"/>
          <w:lang w:val="lt-LT"/>
        </w:rPr>
        <w:t>lrv.lt</w:t>
      </w:r>
      <w:proofErr w:type="spellEnd"/>
      <w:r w:rsidRPr="00D610DC">
        <w:rPr>
          <w:rStyle w:val="Hipersaitas"/>
          <w:rFonts w:ascii="Calibri" w:eastAsiaTheme="majorEastAsia" w:hAnsi="Calibri" w:cs="Calibri"/>
          <w:lang w:val="lt-LT"/>
        </w:rPr>
        <w:t>)</w:t>
      </w:r>
      <w:r>
        <w:rPr>
          <w:rStyle w:val="Hipersaitas"/>
          <w:rFonts w:ascii="Calibri" w:eastAsiaTheme="majorEastAsia" w:hAnsi="Calibri" w:cs="Calibri"/>
          <w:lang w:val="lt-LT"/>
        </w:rPr>
        <w:fldChar w:fldCharType="end"/>
      </w:r>
      <w:r w:rsidRPr="00D610DC">
        <w:rPr>
          <w:rFonts w:ascii="Calibri" w:hAnsi="Calibri" w:cs="Calibri"/>
          <w:lang w:val="lt-LT"/>
        </w:rPr>
        <w:t>), todėl rekomenduotina peržiūrėti ir atnaujinti Pirkimo sąlygų 4 priedo „Tiekėjų pašalinimo pagrindai“ lentelės 6,8,9 punktuose esančias nuorodas.</w:t>
      </w:r>
    </w:p>
    <w:p w14:paraId="5D460D98" w14:textId="77777777" w:rsidR="00D610DC" w:rsidRPr="00D610DC" w:rsidRDefault="00D610DC" w:rsidP="00D610DC">
      <w:pPr>
        <w:tabs>
          <w:tab w:val="left" w:pos="567"/>
          <w:tab w:val="left" w:pos="993"/>
        </w:tabs>
        <w:spacing w:line="276" w:lineRule="auto"/>
        <w:rPr>
          <w:rFonts w:ascii="Calibri" w:eastAsiaTheme="minorHAnsi" w:hAnsi="Calibri" w:cs="Calibri"/>
          <w:lang w:val="lt-LT"/>
        </w:rPr>
      </w:pPr>
      <w:r w:rsidRPr="00D610DC">
        <w:rPr>
          <w:rFonts w:ascii="Calibri" w:eastAsiaTheme="minorHAnsi" w:hAnsi="Calibri" w:cs="Calibri"/>
          <w:lang w:val="lt-LT"/>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3845928" w14:textId="77777777" w:rsidR="00D610DC" w:rsidRPr="00D610DC" w:rsidRDefault="00D610DC" w:rsidP="00D610DC">
      <w:pPr>
        <w:tabs>
          <w:tab w:val="left" w:pos="567"/>
          <w:tab w:val="left" w:pos="993"/>
        </w:tabs>
        <w:spacing w:line="276" w:lineRule="auto"/>
        <w:rPr>
          <w:rFonts w:ascii="Calibri" w:eastAsiaTheme="minorHAnsi" w:hAnsi="Calibri" w:cs="Calibri"/>
          <w:lang w:val="lt-LT"/>
        </w:rPr>
      </w:pPr>
      <w:r w:rsidRPr="00D610DC">
        <w:rPr>
          <w:rFonts w:ascii="Calibri" w:eastAsiaTheme="minorHAnsi" w:hAnsi="Calibri" w:cs="Calibri"/>
          <w:lang w:val="lt-LT"/>
        </w:rPr>
        <w:t>Pažymėtina, kad visais atvejais sprendimą dėl tolimesnio Pirkimo procedūrų vykdymo ar nutraukimo priima pati Perkančioji organizacija , vadovaudamasi Įstatymo 41 straipsnio 3</w:t>
      </w:r>
      <w:r w:rsidRPr="00D610DC">
        <w:rPr>
          <w:rFonts w:ascii="Calibri" w:eastAsiaTheme="minorHAnsi" w:hAnsi="Calibri" w:cs="Calibri"/>
          <w:vertAlign w:val="superscript"/>
          <w:lang w:val="lt-LT"/>
        </w:rPr>
        <w:footnoteReference w:id="3"/>
      </w:r>
      <w:r w:rsidRPr="00D610DC">
        <w:rPr>
          <w:rFonts w:ascii="Calibri" w:eastAsiaTheme="minorHAnsi" w:hAnsi="Calibri" w:cs="Calibri"/>
          <w:lang w:val="lt-LT"/>
        </w:rPr>
        <w:t xml:space="preserve"> ir 4</w:t>
      </w:r>
      <w:r w:rsidRPr="00D610DC">
        <w:rPr>
          <w:rFonts w:ascii="Calibri" w:eastAsiaTheme="minorHAnsi" w:hAnsi="Calibri" w:cs="Calibri"/>
          <w:vertAlign w:val="superscript"/>
          <w:lang w:val="lt-LT"/>
        </w:rPr>
        <w:footnoteReference w:id="4"/>
      </w:r>
      <w:r w:rsidRPr="00D610DC">
        <w:rPr>
          <w:rFonts w:ascii="Calibri" w:eastAsiaTheme="minorHAnsi" w:hAnsi="Calibri" w:cs="Calibri"/>
          <w:lang w:val="lt-LT"/>
        </w:rPr>
        <w:t xml:space="preserve"> dalių nuostatomis.</w:t>
      </w:r>
    </w:p>
    <w:sectPr w:rsidR="00D610DC" w:rsidRPr="00D610DC"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A3F5C" w14:textId="77777777" w:rsidR="00D610DC" w:rsidRDefault="00D610DC" w:rsidP="00D610DC">
      <w:r>
        <w:separator/>
      </w:r>
    </w:p>
  </w:endnote>
  <w:endnote w:type="continuationSeparator" w:id="0">
    <w:p w14:paraId="1BC26929" w14:textId="77777777" w:rsidR="00D610DC" w:rsidRDefault="00D610DC" w:rsidP="00D6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54D1C" w14:textId="77777777" w:rsidR="00D610DC" w:rsidRDefault="00D610DC" w:rsidP="00D610DC">
      <w:r>
        <w:separator/>
      </w:r>
    </w:p>
  </w:footnote>
  <w:footnote w:type="continuationSeparator" w:id="0">
    <w:p w14:paraId="2280E98C" w14:textId="77777777" w:rsidR="00D610DC" w:rsidRDefault="00D610DC" w:rsidP="00D610DC">
      <w:r>
        <w:continuationSeparator/>
      </w:r>
    </w:p>
  </w:footnote>
  <w:footnote w:id="1">
    <w:p w14:paraId="74E7F375" w14:textId="77777777" w:rsidR="00D610DC" w:rsidRPr="007E4886" w:rsidRDefault="00D610DC" w:rsidP="00D610DC">
      <w:pPr>
        <w:pStyle w:val="Puslapioinaostekstas"/>
        <w:rPr>
          <w:rFonts w:cstheme="minorHAnsi"/>
        </w:rPr>
      </w:pPr>
      <w:r w:rsidRPr="007E4886">
        <w:rPr>
          <w:rStyle w:val="Puslapioinaosnuoroda"/>
          <w:rFonts w:cstheme="minorHAnsi"/>
        </w:rPr>
        <w:footnoteRef/>
      </w:r>
      <w:r w:rsidRPr="007E4886">
        <w:rPr>
          <w:rFonts w:cstheme="minorHAnsi"/>
        </w:rPr>
        <w:t xml:space="preserve"> Lietuvos Aukščiausiojo Teismo 2023-02-02 nutartis civilinėje byloje Nr. e3k-3-10-469/2023. </w:t>
      </w:r>
    </w:p>
  </w:footnote>
  <w:footnote w:id="2">
    <w:p w14:paraId="0173C586" w14:textId="77777777" w:rsidR="00D610DC" w:rsidRPr="007E4886" w:rsidRDefault="00D610DC" w:rsidP="00D610DC">
      <w:pPr>
        <w:pStyle w:val="Puslapioinaostekstas"/>
        <w:rPr>
          <w:rFonts w:cstheme="minorHAnsi"/>
        </w:rPr>
      </w:pPr>
      <w:r w:rsidRPr="007E4886">
        <w:rPr>
          <w:rStyle w:val="Puslapioinaosnuoroda"/>
          <w:rFonts w:cstheme="minorHAnsi"/>
        </w:rPr>
        <w:footnoteRef/>
      </w:r>
      <w:r w:rsidRPr="007E4886">
        <w:rPr>
          <w:rFonts w:cstheme="minorHAnsi"/>
        </w:rPr>
        <w:t xml:space="preserve"> Patvirtinta Viešųjų pirkimų tarnybos direktoriaus 2017 m. birželio 29 d. įsakymu Nr. 1S-105 „Dėl Tiekėjo kvalifikacijos reikalavimų nustatymo metodikos patvirtinimo“ (aktuali redakcija nuo 2022-04-01). </w:t>
      </w:r>
    </w:p>
  </w:footnote>
  <w:footnote w:id="3">
    <w:p w14:paraId="516D4479" w14:textId="77777777" w:rsidR="00D610DC" w:rsidRPr="00B832FD" w:rsidRDefault="00D610DC" w:rsidP="00D610DC">
      <w:pPr>
        <w:pStyle w:val="Puslapioinaostekstas"/>
        <w:rPr>
          <w:rFonts w:cstheme="minorHAnsi"/>
        </w:rPr>
      </w:pPr>
      <w:r w:rsidRPr="00B832FD">
        <w:rPr>
          <w:rStyle w:val="Puslapioinaosnuoroda"/>
          <w:rFonts w:cstheme="minorHAnsi"/>
        </w:rPr>
        <w:footnoteRef/>
      </w:r>
      <w:r w:rsidRPr="00B832FD">
        <w:rPr>
          <w:rFonts w:cstheme="minorHAnsi"/>
        </w:rPr>
        <w:t xml:space="preserve"> Įstatymo 41 straipsnio 3 dalis „Perkantysis subjektas privalo nutraukti pradėtas pirkimo ar projekto konkurso procedūras, jeigu buvo pažeisti šio įstatymo 29 straipsnio 1 dalyje nustatyti principai ir atitinkamos padėties negalima ištaisyti“.</w:t>
      </w:r>
    </w:p>
  </w:footnote>
  <w:footnote w:id="4">
    <w:p w14:paraId="67E8C8E5" w14:textId="77777777" w:rsidR="00D610DC" w:rsidRPr="00B832FD" w:rsidRDefault="00D610DC" w:rsidP="00D610DC">
      <w:pPr>
        <w:pStyle w:val="Puslapioinaostekstas"/>
        <w:rPr>
          <w:rFonts w:cstheme="minorHAnsi"/>
        </w:rPr>
      </w:pPr>
      <w:r w:rsidRPr="00B832FD">
        <w:rPr>
          <w:rStyle w:val="Puslapioinaosnuoroda"/>
          <w:rFonts w:cstheme="minorHAnsi"/>
        </w:rPr>
        <w:footnoteRef/>
      </w:r>
      <w:r w:rsidRPr="00B832FD">
        <w:rPr>
          <w:rFonts w:cstheme="minorHAnsi"/>
        </w:rPr>
        <w:t xml:space="preserve"> 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412053"/>
    <w:rsid w:val="0050059B"/>
    <w:rsid w:val="006C2EE6"/>
    <w:rsid w:val="00CA561B"/>
    <w:rsid w:val="00D17F77"/>
    <w:rsid w:val="00D61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5738</Words>
  <Characters>3271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2</cp:revision>
  <dcterms:created xsi:type="dcterms:W3CDTF">2024-12-20T06:59:00Z</dcterms:created>
  <dcterms:modified xsi:type="dcterms:W3CDTF">2025-01-03T09:12:00Z</dcterms:modified>
</cp:coreProperties>
</file>