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D7695" w14:textId="77777777" w:rsidR="00F257C6" w:rsidRPr="00D23CC3" w:rsidRDefault="00F257C6" w:rsidP="00F257C6">
      <w:pPr>
        <w:spacing w:after="0" w:line="240" w:lineRule="auto"/>
        <w:ind w:firstLine="720"/>
        <w:rPr>
          <w:rFonts w:ascii="Calibri" w:hAnsi="Calibri" w:cs="Calibri"/>
          <w:sz w:val="24"/>
          <w:szCs w:val="24"/>
          <w:lang w:eastAsia="lt-LT"/>
        </w:rPr>
      </w:pPr>
      <w:r w:rsidRPr="00D23CC3">
        <w:rPr>
          <w:rFonts w:ascii="Calibri" w:hAnsi="Calibri" w:cs="Calibr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DAB29A3" w14:textId="77777777" w:rsidR="00F257C6" w:rsidRPr="00D23CC3" w:rsidRDefault="00F257C6" w:rsidP="00F257C6">
      <w:pPr>
        <w:spacing w:after="0" w:line="240" w:lineRule="auto"/>
        <w:ind w:firstLine="720"/>
        <w:rPr>
          <w:rFonts w:ascii="Calibri" w:hAnsi="Calibri" w:cs="Calibri"/>
          <w:sz w:val="24"/>
          <w:szCs w:val="24"/>
          <w:lang w:eastAsia="lt-LT"/>
        </w:rPr>
      </w:pPr>
      <w:r w:rsidRPr="00D23CC3">
        <w:rPr>
          <w:rFonts w:ascii="Calibri" w:hAnsi="Calibri" w:cs="Calibri"/>
          <w:sz w:val="24"/>
          <w:szCs w:val="24"/>
          <w:lang w:eastAsia="lt-LT"/>
        </w:rPr>
        <w:t xml:space="preserve">Vadovaujantis Tarnybai Įstatyme nustatyta pažeidimų prevencijos funkcija, šiuo metu atliekama Lietuvos nacionalinio muziejaus (toliau – Perkančioji organizacija) </w:t>
      </w:r>
      <w:r w:rsidRPr="00D23CC3">
        <w:rPr>
          <w:rFonts w:ascii="Calibri" w:hAnsi="Calibri" w:cs="Calibri"/>
          <w:b/>
          <w:bCs/>
          <w:sz w:val="24"/>
          <w:szCs w:val="24"/>
          <w:lang w:eastAsia="lt-LT"/>
        </w:rPr>
        <w:t>vykdomo pirkimo Nr. 745176</w:t>
      </w:r>
      <w:r w:rsidRPr="00D23CC3">
        <w:rPr>
          <w:rFonts w:ascii="Calibri" w:hAnsi="Calibri" w:cs="Calibri"/>
          <w:sz w:val="24"/>
          <w:szCs w:val="24"/>
          <w:lang w:eastAsia="lt-LT"/>
        </w:rPr>
        <w:t xml:space="preserve"> „</w:t>
      </w:r>
      <w:hyperlink r:id="rId6" w:tgtFrame="_blank" w:history="1">
        <w:r w:rsidRPr="00D23CC3">
          <w:rPr>
            <w:rStyle w:val="Hyperlink"/>
            <w:rFonts w:ascii="Calibri" w:hAnsi="Calibri" w:cs="Calibri"/>
            <w:b/>
            <w:bCs/>
            <w:color w:val="auto"/>
            <w:sz w:val="24"/>
            <w:szCs w:val="24"/>
            <w:u w:val="none"/>
            <w:lang w:eastAsia="lt-LT"/>
          </w:rPr>
          <w:t>Kultūros paskirties pastato Arsenalo g. 1, Vilniuje, rekonstravimas</w:t>
        </w:r>
      </w:hyperlink>
      <w:r w:rsidRPr="00D23CC3">
        <w:rPr>
          <w:rFonts w:ascii="Calibri" w:hAnsi="Calibri" w:cs="Calibri"/>
          <w:b/>
          <w:bCs/>
          <w:sz w:val="24"/>
          <w:szCs w:val="24"/>
          <w:lang w:eastAsia="lt-LT"/>
        </w:rPr>
        <w:t xml:space="preserve">“ </w:t>
      </w:r>
      <w:r w:rsidRPr="00D23CC3">
        <w:rPr>
          <w:rFonts w:ascii="Calibri" w:hAnsi="Calibri" w:cs="Calibri"/>
          <w:sz w:val="24"/>
          <w:szCs w:val="24"/>
          <w:lang w:eastAsia="lt-LT"/>
        </w:rPr>
        <w:t>(toliau – Pirkimas) dokumentų atitikties Įstatymui ir su jo įgyvendinimu susijusiems teisės aktams peržiūra (peržiūra prevenciniais tikslais atliekama tam tikra apimtimi).</w:t>
      </w:r>
    </w:p>
    <w:p w14:paraId="5A69478D" w14:textId="1CB0DCF9" w:rsidR="00F257C6" w:rsidRPr="00D23CC3" w:rsidRDefault="00F257C6" w:rsidP="00F257C6">
      <w:pPr>
        <w:spacing w:after="0" w:line="240" w:lineRule="auto"/>
        <w:ind w:firstLine="720"/>
        <w:rPr>
          <w:rFonts w:ascii="Calibri" w:hAnsi="Calibri" w:cs="Calibri"/>
          <w:sz w:val="24"/>
          <w:szCs w:val="24"/>
          <w:lang w:eastAsia="lt-LT"/>
        </w:rPr>
      </w:pPr>
      <w:r w:rsidRPr="00D23CC3">
        <w:rPr>
          <w:rFonts w:ascii="Calibri" w:hAnsi="Calibri" w:cs="Calibri"/>
          <w:sz w:val="24"/>
          <w:szCs w:val="24"/>
          <w:lang w:eastAsia="lt-LT"/>
        </w:rPr>
        <w:t>Tarnyba, prevencine tvarka peržiūrėjusi Pirkimo dokumentus</w:t>
      </w:r>
      <w:r w:rsidR="001F7AD9" w:rsidRPr="00D23CC3">
        <w:rPr>
          <w:rFonts w:ascii="Calibri" w:hAnsi="Calibri" w:cs="Calibri"/>
          <w:sz w:val="24"/>
          <w:szCs w:val="24"/>
          <w:lang w:eastAsia="lt-LT"/>
        </w:rPr>
        <w:t>,</w:t>
      </w:r>
      <w:r w:rsidRPr="00D23CC3">
        <w:rPr>
          <w:rFonts w:ascii="Calibri" w:hAnsi="Calibri" w:cs="Calibri"/>
          <w:sz w:val="24"/>
          <w:szCs w:val="24"/>
          <w:lang w:eastAsia="lt-LT"/>
        </w:rPr>
        <w:t xml:space="preserve"> teikia rekomendacijas (toliau – Rekomendacija) dėl Pirkimo dokumentų nuostatų.</w:t>
      </w:r>
    </w:p>
    <w:p w14:paraId="13EAD773" w14:textId="77777777" w:rsidR="00F257C6" w:rsidRPr="00D23CC3" w:rsidRDefault="00F257C6" w:rsidP="00F257C6">
      <w:pPr>
        <w:spacing w:after="0" w:line="240" w:lineRule="auto"/>
        <w:ind w:firstLine="720"/>
        <w:rPr>
          <w:rFonts w:ascii="Calibri" w:hAnsi="Calibri" w:cs="Calibri"/>
          <w:sz w:val="24"/>
          <w:szCs w:val="24"/>
          <w:lang w:eastAsia="lt-LT"/>
        </w:rPr>
      </w:pPr>
      <w:r w:rsidRPr="00D23CC3">
        <w:rPr>
          <w:rFonts w:ascii="Calibri" w:hAnsi="Calibri" w:cs="Calibri"/>
          <w:sz w:val="24"/>
          <w:szCs w:val="24"/>
          <w:lang w:eastAsia="lt-LT"/>
        </w:rPr>
        <w:t xml:space="preserve">Pirkimo specialiųjų sąlygų priedo Nr. 7 „Kvalifikacijos ir kiti reikalavimai tiekėjui“ 2 punkte nustatytas techninio ir profesinio pajėgumo reikalavimas dėl tiekėjo panašių darbų patirties: „Tiekėjas per pastaruosius 5 metus iki pasiūlymo pateikimo termino pabaigos, o jeigu tiekėjas įregistruotas vėliau, per laiką nuo tiekėjo registracijos dienos, turi būti tinkamai atlikęs (pabaigęs) tvarkybos darbus  nekilnojamojo kultūros paveldo objekte, kurių galutinė vertė ne mažesnė nei 2 500 000 Eur be PVM, tvarkybos darbai priimti Paveldo tvarkybos reglamento PTR 3.05.01:2015 „Tvarkybos darbų priėmimo taisyklės“ nustatyta tvarka. </w:t>
      </w:r>
      <w:r w:rsidRPr="00D23CC3">
        <w:rPr>
          <w:rFonts w:ascii="Calibri" w:hAnsi="Calibri" w:cs="Calibri"/>
          <w:b/>
          <w:bCs/>
          <w:sz w:val="24"/>
          <w:szCs w:val="24"/>
          <w:lang w:eastAsia="lt-LT"/>
        </w:rPr>
        <w:t>Skaičiuojami darbai įskaitant tiekėjo subrangovų atliktus darbus, jei atlikdamas darbus tiekėjas buvo pasitelkęs subrangovus, įskaitant, tiekėjo junginės veiklos partnerių atliktus darbus, jei tiekėjas darbus vykdė su jungtinės veiklos partneriais</w:t>
      </w:r>
      <w:r w:rsidRPr="00D23CC3">
        <w:rPr>
          <w:rFonts w:ascii="Calibri" w:hAnsi="Calibri" w:cs="Calibri"/>
          <w:sz w:val="24"/>
          <w:szCs w:val="24"/>
          <w:lang w:eastAsia="lt-LT"/>
        </w:rPr>
        <w:t xml:space="preserve">. Galutinį rezultatą tiekėjas gali būti pasiekęs pagal vieną ar kelias sutartis, sudarytas dėl to paties nekilnojamojo kultūros paveldo objekto.“ </w:t>
      </w:r>
    </w:p>
    <w:p w14:paraId="3358077B" w14:textId="5E38A91F" w:rsidR="00F257C6" w:rsidRPr="00D23CC3" w:rsidRDefault="00F257C6" w:rsidP="00F257C6">
      <w:pPr>
        <w:spacing w:after="0" w:line="240" w:lineRule="auto"/>
        <w:ind w:firstLine="720"/>
        <w:rPr>
          <w:rFonts w:ascii="Calibri" w:hAnsi="Calibri" w:cs="Calibri"/>
          <w:sz w:val="24"/>
          <w:szCs w:val="24"/>
          <w:lang w:eastAsia="lt-LT"/>
        </w:rPr>
      </w:pPr>
      <w:r w:rsidRPr="00D23CC3">
        <w:rPr>
          <w:rFonts w:ascii="Calibri" w:hAnsi="Calibri" w:cs="Calibri"/>
          <w:sz w:val="24"/>
          <w:szCs w:val="24"/>
          <w:lang w:eastAsia="lt-LT"/>
        </w:rPr>
        <w:t xml:space="preserve">Taip pat, Pirkimo paskelbimo metu galiojusioje Pirkimo </w:t>
      </w:r>
      <w:r w:rsidR="001F7AD9" w:rsidRPr="00D23CC3">
        <w:rPr>
          <w:rFonts w:ascii="Calibri" w:hAnsi="Calibri" w:cs="Calibri"/>
          <w:sz w:val="24"/>
          <w:szCs w:val="24"/>
          <w:lang w:eastAsia="lt-LT"/>
        </w:rPr>
        <w:t xml:space="preserve">specialiųjų </w:t>
      </w:r>
      <w:r w:rsidRPr="00D23CC3">
        <w:rPr>
          <w:rFonts w:ascii="Calibri" w:hAnsi="Calibri" w:cs="Calibri"/>
          <w:sz w:val="24"/>
          <w:szCs w:val="24"/>
          <w:lang w:eastAsia="lt-LT"/>
        </w:rPr>
        <w:t xml:space="preserve">sąlygų priedo Nr. 7 „Kvalifikacijos ir kiti reikalavimai tiekėjui“ redakcijoje buvo nurodyta, jog „Tiekėjui nedraudžiama remtis sutartimi, kurią tiekėjas vykdė ne vienas, bet kartu su kitais ūkio subjektais. Tačiau tokiu atveju vertinami būtent konkretaus ūkio subjekto, dalyvaujančio viešajame pirkime, atliktų darbų vertė, o ne visas vykdytos sutarties objektas.“ Nustatyta, kad Perkančioji organizacija, Pirkimo procedūrų vykdymo metu atsisakė minėtos nuostatos (ją panaikino), kurioje buvo aiškiai nurodoma, kaip bus vertinami konkretaus ūkio subjekto, dalyvaujančio viešajame pirkime, atliktų darbų vertė. Perkančioji organizacija atliktą korekciją paaiškino, pažymėdama, jog „&lt;...&gt; pateiktas nurodymas “- Tiekėjui nedraudžiama remtis sutartimi, kurią tiekėjas vykdė ne vienas, bet kartu su kitais ūkio subjektais. </w:t>
      </w:r>
      <w:r w:rsidRPr="00D23CC3">
        <w:rPr>
          <w:rFonts w:ascii="Calibri" w:hAnsi="Calibri" w:cs="Calibri"/>
          <w:sz w:val="24"/>
          <w:szCs w:val="24"/>
          <w:u w:val="single"/>
          <w:lang w:eastAsia="lt-LT"/>
        </w:rPr>
        <w:t>Tačiau tokiu atveju vertinami būtent konkretaus ūkio subjekto, dalyvaujančio viešajame pirkime, atliktų darbų vertė, o ne visas vykdytos sutarties objektas</w:t>
      </w:r>
      <w:r w:rsidRPr="00D23CC3">
        <w:rPr>
          <w:rFonts w:ascii="Calibri" w:hAnsi="Calibri" w:cs="Calibri"/>
          <w:sz w:val="24"/>
          <w:szCs w:val="24"/>
          <w:lang w:eastAsia="lt-LT"/>
        </w:rPr>
        <w:t>” prieštarauja kvalifikaciniam reikalavimui, kuriame nurodoma, kad “Skaičiuojami darbai įskaitant tiekėjo subrangovų atliktus darbus, jei atlikdamas darbus tiekėjas buvo pasitelkęs subrangovus, įskaitant, tiekėjo junginės veiklos partnerių atliktus darbus, jei tiekėjas darbus vykdė su jungtinės veiklos partneriais.” Todėl paaiškinimas stulpelyje “Subjektas, kuris turi atitikti reikalavimą” turi būti tikslinimas.“</w:t>
      </w:r>
    </w:p>
    <w:p w14:paraId="5323D612" w14:textId="065DAD4C" w:rsidR="00F257C6" w:rsidRPr="00D23CC3" w:rsidRDefault="00F257C6" w:rsidP="00F257C6">
      <w:pPr>
        <w:spacing w:after="0" w:line="240" w:lineRule="auto"/>
        <w:ind w:firstLine="720"/>
        <w:rPr>
          <w:rFonts w:ascii="Calibri" w:hAnsi="Calibri" w:cs="Calibri"/>
          <w:iCs/>
          <w:sz w:val="24"/>
          <w:szCs w:val="24"/>
          <w:u w:val="single"/>
          <w:lang w:eastAsia="lt-LT"/>
        </w:rPr>
      </w:pPr>
      <w:r w:rsidRPr="00D23CC3">
        <w:rPr>
          <w:rFonts w:ascii="Calibri" w:hAnsi="Calibri" w:cs="Calibri"/>
          <w:sz w:val="24"/>
          <w:szCs w:val="24"/>
          <w:lang w:eastAsia="lt-LT"/>
        </w:rPr>
        <w:t>Vertinant Perkančiosios organizacijos atliktas Pirkimo dokumentų korekcijas (keitimus) Pirkimo vykdymo metu, pažymėtina, jog vadovaujantis Įstatymo 36 straipsnio 6 dalimi, „Tarptautinių pirkimų atveju negali būti daromi tokie esminiai pirkimo sąlygų pakeitimai, dėl kurių būtų buvę galima leisti dalyvauti kitiems kandidatams, negu iš pradžių atrinktiesiems, arba pirkimo procedūra būtų pritraukusi daugiau dalyvių.“ Teismų praktikoje yra suformuotos aiškios taikymo taisyklės dėl pirkimo dokumentų nuostatų keitimo. Europos Sąjungos Teisingumo Teismo (toliau – ESTT) 2017-04-05 sprendimu (UAB „</w:t>
      </w:r>
      <w:proofErr w:type="spellStart"/>
      <w:r w:rsidRPr="00D23CC3">
        <w:rPr>
          <w:rFonts w:ascii="Calibri" w:hAnsi="Calibri" w:cs="Calibri"/>
          <w:sz w:val="24"/>
          <w:szCs w:val="24"/>
          <w:lang w:eastAsia="lt-LT"/>
        </w:rPr>
        <w:t>Borta</w:t>
      </w:r>
      <w:proofErr w:type="spellEnd"/>
      <w:r w:rsidRPr="00D23CC3">
        <w:rPr>
          <w:rFonts w:ascii="Calibri" w:hAnsi="Calibri" w:cs="Calibri"/>
          <w:sz w:val="24"/>
          <w:szCs w:val="24"/>
          <w:lang w:eastAsia="lt-LT"/>
        </w:rPr>
        <w:t xml:space="preserve">“ prieš VĮ Klaipėdos valstybinio jūrų </w:t>
      </w:r>
      <w:r w:rsidRPr="00D23CC3">
        <w:rPr>
          <w:rFonts w:ascii="Calibri" w:hAnsi="Calibri" w:cs="Calibri"/>
          <w:sz w:val="24"/>
          <w:szCs w:val="24"/>
          <w:lang w:eastAsia="lt-LT"/>
        </w:rPr>
        <w:lastRenderedPageBreak/>
        <w:t>uosto direkciją) byloje Nr. C-298/15 nurodyti</w:t>
      </w:r>
      <w:r w:rsidR="00EB713B" w:rsidRPr="00D23CC3">
        <w:rPr>
          <w:rFonts w:ascii="Calibri" w:hAnsi="Calibri" w:cs="Calibri"/>
          <w:sz w:val="24"/>
          <w:szCs w:val="24"/>
          <w:lang w:eastAsia="lt-LT"/>
        </w:rPr>
        <w:t xml:space="preserve"> </w:t>
      </w:r>
      <w:r w:rsidRPr="00D23CC3">
        <w:rPr>
          <w:rFonts w:ascii="Calibri" w:hAnsi="Calibri" w:cs="Calibri"/>
          <w:sz w:val="24"/>
          <w:szCs w:val="24"/>
          <w:lang w:eastAsia="lt-LT"/>
        </w:rPr>
        <w:t xml:space="preserve">kriterijai, kuriais remiantis pirkimo sąlygos gali būti pakeistos. Vienas iš jų – pakeitimai neturi būti tokie esminiai, kad pritrauktų potencialių dalyvių, kurie, jei šių pakeitimų nebūtų padaryta, nebūtų galėję pateikti pasiūlymo. Pagal Lietuvos Aukščiausiojo Teismo formuojamą praktiką, „&lt;...&gt; leistinumas keisti viešojo pirkimo sąlygas, atsižvelgiant į potencialių (naujų) dalyvių pritraukimo ribojimą, turėtų būti vertinamas daugiau </w:t>
      </w:r>
      <w:r w:rsidRPr="00D23CC3">
        <w:rPr>
          <w:rFonts w:ascii="Calibri" w:hAnsi="Calibri" w:cs="Calibri"/>
          <w:i/>
          <w:iCs/>
          <w:sz w:val="24"/>
          <w:szCs w:val="24"/>
          <w:lang w:eastAsia="lt-LT"/>
        </w:rPr>
        <w:t>de jure</w:t>
      </w:r>
      <w:r w:rsidRPr="00D23CC3">
        <w:rPr>
          <w:rFonts w:ascii="Calibri" w:hAnsi="Calibri" w:cs="Calibri"/>
          <w:sz w:val="24"/>
          <w:szCs w:val="24"/>
          <w:lang w:eastAsia="lt-LT"/>
        </w:rPr>
        <w:t xml:space="preserve"> (teisiškai), o ne </w:t>
      </w:r>
      <w:r w:rsidRPr="00D23CC3">
        <w:rPr>
          <w:rFonts w:ascii="Calibri" w:hAnsi="Calibri" w:cs="Calibri"/>
          <w:i/>
          <w:iCs/>
          <w:sz w:val="24"/>
          <w:szCs w:val="24"/>
          <w:lang w:eastAsia="lt-LT"/>
        </w:rPr>
        <w:t>de facto</w:t>
      </w:r>
      <w:r w:rsidRPr="00D23CC3">
        <w:rPr>
          <w:rFonts w:ascii="Calibri" w:hAnsi="Calibri" w:cs="Calibri"/>
          <w:sz w:val="24"/>
          <w:szCs w:val="24"/>
          <w:lang w:eastAsia="lt-LT"/>
        </w:rPr>
        <w:t>, t. y. turi būti vertinama potenciali galimybė, kad po pakeitimų galėtų atsirasti naujų dalyvių; šiam vertinimui nėra tiek svarbios faktinės aplinkybės, kad, pakeitus dalyvavimo viešojo pirkimo konkurse nuostatas, naujų dalyvių neatsirado; daug svarbiau nustatyti pakeistos (ar siekiamos pakeisti) viešojo pirkimo sąlygos turinį ir jos taikymo padarinius;&lt;…&gt; (Lietuvos Aukščiausiojo Teismo (toliau – LAT) 2017-06-22 nutartis civilinėje byloje Nr. E3K-3-279-690/2017).</w:t>
      </w:r>
    </w:p>
    <w:p w14:paraId="20D848F5" w14:textId="319C6A93" w:rsidR="00F257C6" w:rsidRPr="00D23CC3" w:rsidRDefault="00F257C6" w:rsidP="00F257C6">
      <w:pPr>
        <w:spacing w:after="0" w:line="240" w:lineRule="auto"/>
        <w:ind w:firstLine="720"/>
        <w:rPr>
          <w:rFonts w:ascii="Calibri" w:hAnsi="Calibri" w:cs="Calibri"/>
          <w:iCs/>
          <w:sz w:val="24"/>
          <w:szCs w:val="24"/>
          <w:lang w:eastAsia="lt-LT"/>
        </w:rPr>
      </w:pPr>
      <w:r w:rsidRPr="00D23CC3">
        <w:rPr>
          <w:rFonts w:ascii="Calibri" w:hAnsi="Calibri" w:cs="Calibri"/>
          <w:iCs/>
          <w:sz w:val="24"/>
          <w:szCs w:val="24"/>
          <w:lang w:eastAsia="lt-LT"/>
        </w:rPr>
        <w:t>Atsižvelgiant į aukščiau nurodytą teismų praktiką, vertintina, jog po Perkančiosios organizacijos Pirkimo procedūrų vykdymo metu atlikto  Pirkimo specialiųjų sąlygų priedo Nr. 7 „Kvalifikacijos ir kiti reikalavimai tiekėjui“ 2 punkto pakeitimo, gali (-</w:t>
      </w:r>
      <w:proofErr w:type="spellStart"/>
      <w:r w:rsidRPr="00D23CC3">
        <w:rPr>
          <w:rFonts w:ascii="Calibri" w:hAnsi="Calibri" w:cs="Calibri"/>
          <w:iCs/>
          <w:sz w:val="24"/>
          <w:szCs w:val="24"/>
          <w:lang w:eastAsia="lt-LT"/>
        </w:rPr>
        <w:t>ėtų</w:t>
      </w:r>
      <w:proofErr w:type="spellEnd"/>
      <w:r w:rsidRPr="00D23CC3">
        <w:rPr>
          <w:rFonts w:ascii="Calibri" w:hAnsi="Calibri" w:cs="Calibri"/>
          <w:iCs/>
          <w:sz w:val="24"/>
          <w:szCs w:val="24"/>
          <w:lang w:eastAsia="lt-LT"/>
        </w:rPr>
        <w:t xml:space="preserve">) atsirasti naujų dalyvių, nes pakeitimu praplėstos tiekėjų galimybės </w:t>
      </w:r>
      <w:r w:rsidR="005646AA" w:rsidRPr="00D23CC3">
        <w:rPr>
          <w:rFonts w:ascii="Calibri" w:hAnsi="Calibri" w:cs="Calibri"/>
          <w:iCs/>
          <w:sz w:val="24"/>
          <w:szCs w:val="24"/>
          <w:lang w:eastAsia="lt-LT"/>
        </w:rPr>
        <w:t xml:space="preserve">skaičiuojant įvykdytų panašių darbų vertę </w:t>
      </w:r>
      <w:r w:rsidRPr="00D23CC3">
        <w:rPr>
          <w:rFonts w:ascii="Calibri" w:hAnsi="Calibri" w:cs="Calibri"/>
          <w:iCs/>
          <w:sz w:val="24"/>
          <w:szCs w:val="24"/>
          <w:lang w:eastAsia="lt-LT"/>
        </w:rPr>
        <w:t>atitik</w:t>
      </w:r>
      <w:r w:rsidR="005646AA" w:rsidRPr="00D23CC3">
        <w:rPr>
          <w:rFonts w:ascii="Calibri" w:hAnsi="Calibri" w:cs="Calibri"/>
          <w:iCs/>
          <w:sz w:val="24"/>
          <w:szCs w:val="24"/>
          <w:lang w:eastAsia="lt-LT"/>
        </w:rPr>
        <w:t>čiai</w:t>
      </w:r>
      <w:r w:rsidRPr="00D23CC3">
        <w:rPr>
          <w:rFonts w:ascii="Calibri" w:hAnsi="Calibri" w:cs="Calibri"/>
          <w:iCs/>
          <w:sz w:val="24"/>
          <w:szCs w:val="24"/>
          <w:lang w:eastAsia="lt-LT"/>
        </w:rPr>
        <w:t xml:space="preserve"> nustatyt</w:t>
      </w:r>
      <w:r w:rsidR="00C944DC" w:rsidRPr="00D23CC3">
        <w:rPr>
          <w:rFonts w:ascii="Calibri" w:hAnsi="Calibri" w:cs="Calibri"/>
          <w:iCs/>
          <w:sz w:val="24"/>
          <w:szCs w:val="24"/>
          <w:lang w:eastAsia="lt-LT"/>
        </w:rPr>
        <w:t>am</w:t>
      </w:r>
      <w:r w:rsidRPr="00D23CC3">
        <w:rPr>
          <w:rFonts w:ascii="Calibri" w:hAnsi="Calibri" w:cs="Calibri"/>
          <w:iCs/>
          <w:sz w:val="24"/>
          <w:szCs w:val="24"/>
          <w:lang w:eastAsia="lt-LT"/>
        </w:rPr>
        <w:t xml:space="preserve"> reikalavim</w:t>
      </w:r>
      <w:r w:rsidR="00C944DC" w:rsidRPr="00D23CC3">
        <w:rPr>
          <w:rFonts w:ascii="Calibri" w:hAnsi="Calibri" w:cs="Calibri"/>
          <w:iCs/>
          <w:sz w:val="24"/>
          <w:szCs w:val="24"/>
          <w:lang w:eastAsia="lt-LT"/>
        </w:rPr>
        <w:t>ui</w:t>
      </w:r>
      <w:r w:rsidRPr="00D23CC3">
        <w:rPr>
          <w:rFonts w:ascii="Calibri" w:hAnsi="Calibri" w:cs="Calibri"/>
          <w:iCs/>
          <w:sz w:val="24"/>
          <w:szCs w:val="24"/>
          <w:lang w:eastAsia="lt-LT"/>
        </w:rPr>
        <w:t xml:space="preserve">. Toks pakeitimo pobūdis vertintinas esminiu, todėl vykdant tarptautinių pirkimų procedūras, negali būti atliekamas, pagal Įstatymo 36 straipsnio 6 dalį. Atsižvelgiant į nurodytą, Tarnyba, vadovaudamasi Įstatymo 36 straipsnio 6 dalimi, rekomenduoja šį Pirkimą nutraukti. </w:t>
      </w:r>
    </w:p>
    <w:p w14:paraId="24739F5F" w14:textId="77777777" w:rsidR="00F257C6" w:rsidRPr="00D23CC3" w:rsidRDefault="00F257C6" w:rsidP="00F257C6">
      <w:pPr>
        <w:spacing w:after="0" w:line="240" w:lineRule="auto"/>
        <w:ind w:firstLine="720"/>
        <w:rPr>
          <w:rFonts w:ascii="Calibri" w:hAnsi="Calibri" w:cs="Calibri"/>
          <w:iCs/>
          <w:sz w:val="24"/>
          <w:szCs w:val="24"/>
          <w:lang w:eastAsia="lt-LT"/>
        </w:rPr>
      </w:pPr>
      <w:r w:rsidRPr="00D23CC3">
        <w:rPr>
          <w:rFonts w:ascii="Calibri" w:hAnsi="Calibri" w:cs="Calibri"/>
          <w:iCs/>
          <w:sz w:val="24"/>
          <w:szCs w:val="24"/>
          <w:lang w:eastAsia="lt-LT"/>
        </w:rPr>
        <w:t>Taip pat atkreiptinas dėmesys, jog kvalifikacijos reikalavimų tikslas - ne atrinkti aukščiausią kvalifikaciją turinčius tiekėjus, bet atrinkti visus tiekėjus, kurie turi teisę ir (ar) būtų pajėgūs vykdyti pirkimo sutartį</w:t>
      </w:r>
      <w:r w:rsidRPr="00D23CC3">
        <w:rPr>
          <w:rStyle w:val="FootnoteReference"/>
          <w:rFonts w:ascii="Calibri" w:hAnsi="Calibri" w:cs="Calibri"/>
          <w:sz w:val="24"/>
          <w:szCs w:val="24"/>
          <w:lang w:eastAsia="lt-LT"/>
        </w:rPr>
        <w:footnoteReference w:id="1"/>
      </w:r>
      <w:r w:rsidRPr="00D23CC3">
        <w:rPr>
          <w:rFonts w:ascii="Calibri" w:hAnsi="Calibri" w:cs="Calibri"/>
          <w:iCs/>
          <w:sz w:val="24"/>
          <w:szCs w:val="24"/>
          <w:lang w:eastAsia="lt-LT"/>
        </w:rPr>
        <w:t xml:space="preserve">. Jeigu kvalifikacijos reikalavimai nustatomi, taikant </w:t>
      </w:r>
      <w:hyperlink r:id="rId7" w:history="1">
        <w:r w:rsidRPr="00D23CC3">
          <w:rPr>
            <w:rStyle w:val="Hyperlink"/>
            <w:rFonts w:ascii="Calibri" w:hAnsi="Calibri" w:cs="Calibri"/>
            <w:iCs/>
            <w:sz w:val="24"/>
            <w:szCs w:val="24"/>
            <w:lang w:eastAsia="lt-LT"/>
          </w:rPr>
          <w:t>Tiekėjo kvalifikacijos reikalavimų nustatymo metodikos</w:t>
        </w:r>
      </w:hyperlink>
      <w:r w:rsidRPr="00D23CC3">
        <w:rPr>
          <w:rFonts w:ascii="Calibri" w:hAnsi="Calibri" w:cs="Calibri"/>
          <w:iCs/>
          <w:sz w:val="24"/>
          <w:szCs w:val="24"/>
          <w:lang w:eastAsia="lt-LT"/>
        </w:rPr>
        <w:t xml:space="preserve"> 6 punktą, Pirkimo vykdytojas įpareigotas vadovautis šios metodikos ‎7 punkte nustatytais principais, Įstatymu bei aktualia teismų praktika (ESTT 2017 m. gegužės 4 d. sprendimu byla Esaprojekt, </w:t>
      </w:r>
      <w:hyperlink r:id="rId8" w:history="1">
        <w:r w:rsidRPr="00D23CC3">
          <w:rPr>
            <w:rStyle w:val="Hyperlink"/>
            <w:rFonts w:ascii="Calibri" w:hAnsi="Calibri" w:cs="Calibri"/>
            <w:iCs/>
            <w:sz w:val="24"/>
            <w:szCs w:val="24"/>
            <w:lang w:eastAsia="lt-LT"/>
          </w:rPr>
          <w:t>C-387/14</w:t>
        </w:r>
      </w:hyperlink>
      <w:r w:rsidRPr="00D23CC3">
        <w:rPr>
          <w:rFonts w:ascii="Calibri" w:hAnsi="Calibri" w:cs="Calibri"/>
          <w:iCs/>
          <w:sz w:val="24"/>
          <w:szCs w:val="24"/>
          <w:lang w:eastAsia="lt-LT"/>
        </w:rPr>
        <w:t xml:space="preserve">; LAT 2024 m. sausio 4 d. nutartimi c. b. Nr. e3K-3-65-381/2024, 2024 m. liepos 18 d. nutartimi c. b. Nr. e3K-3-182-381/2024, 2024 m. liepos 18 d. nutartimi c. b. Nr. e3K-3-177-781/2024). </w:t>
      </w:r>
    </w:p>
    <w:p w14:paraId="02B5B41E" w14:textId="11CFB5CD" w:rsidR="00F257C6" w:rsidRPr="00D23CC3" w:rsidRDefault="00F257C6" w:rsidP="00F257C6">
      <w:pPr>
        <w:spacing w:after="0" w:line="240" w:lineRule="auto"/>
        <w:ind w:firstLine="720"/>
        <w:rPr>
          <w:rFonts w:ascii="Calibri" w:hAnsi="Calibri" w:cs="Calibri"/>
          <w:iCs/>
          <w:sz w:val="24"/>
          <w:szCs w:val="24"/>
          <w:lang w:eastAsia="lt-LT"/>
        </w:rPr>
      </w:pPr>
      <w:r w:rsidRPr="00D23CC3">
        <w:rPr>
          <w:rFonts w:ascii="Calibri" w:hAnsi="Calibri" w:cs="Calibri"/>
          <w:iCs/>
          <w:sz w:val="24"/>
          <w:szCs w:val="24"/>
          <w:lang w:eastAsia="lt-LT"/>
        </w:rPr>
        <w:t>Pažymėtina, kad ESTT 2017 m. gegužės 4 d. sprendime byloje Esaprojekt, </w:t>
      </w:r>
      <w:hyperlink r:id="rId9" w:history="1">
        <w:r w:rsidRPr="00D23CC3">
          <w:rPr>
            <w:rStyle w:val="Hyperlink"/>
            <w:rFonts w:ascii="Calibri" w:hAnsi="Calibri" w:cs="Calibri"/>
            <w:iCs/>
            <w:sz w:val="24"/>
            <w:szCs w:val="24"/>
            <w:lang w:eastAsia="lt-LT"/>
          </w:rPr>
          <w:t>C-387/14</w:t>
        </w:r>
      </w:hyperlink>
      <w:r w:rsidRPr="00D23CC3">
        <w:rPr>
          <w:rStyle w:val="Hyperlink"/>
          <w:rFonts w:ascii="Calibri" w:hAnsi="Calibri" w:cs="Calibri"/>
          <w:iCs/>
          <w:sz w:val="24"/>
          <w:szCs w:val="24"/>
          <w:lang w:eastAsia="lt-LT"/>
        </w:rPr>
        <w:t xml:space="preserve"> </w:t>
      </w:r>
      <w:r w:rsidRPr="00D23CC3">
        <w:rPr>
          <w:rFonts w:ascii="Calibri" w:hAnsi="Calibri" w:cs="Calibri"/>
          <w:iCs/>
          <w:sz w:val="24"/>
          <w:szCs w:val="24"/>
          <w:lang w:eastAsia="lt-LT"/>
        </w:rPr>
        <w:t>nurodė: kai ūkio subjektas remiasi įmonių grupės, kuriai jis priklausė, patirtimi, ši turi būti vertinama atsižvelgiant į konkretų šio subjekto dalyvavimą, taigi į jo faktinį indėlį vykdant veiklą, kurios reikalauta iš šios grupės vykdant tam tikrą viešojo pirkimo sutartį; iš tikrųjų ūkio subjektas patirties faktiškai įgyja ne dėl to, kad tiesiog priklauso įmonių grupei, ir visai nesvarbus jo indėlis į ją, bet dėl to, jog tiesiogiai dalyvauja vykdydamas bent vieną viešojo pirkimo sutarties, kurią bendrai vykdo ši grupė, dalį; darytina išvada, kad ūkio subjektas negali kaip perkančiosios organizacijos reikalaujamos patirties nurodyti prekių ar paslaugų, kurias pristatė ar suteikė kiti įmonių grupės nariai, o jis pats faktiškai ir konkrečiai šios veiklos nevykdė.</w:t>
      </w:r>
      <w:r w:rsidR="006177F1" w:rsidRPr="00D23CC3">
        <w:rPr>
          <w:rFonts w:ascii="Calibri" w:hAnsi="Calibri" w:cs="Calibri"/>
          <w:iCs/>
          <w:sz w:val="24"/>
          <w:szCs w:val="24"/>
          <w:lang w:eastAsia="lt-LT"/>
        </w:rPr>
        <w:t xml:space="preserve"> </w:t>
      </w:r>
      <w:r w:rsidRPr="00D23CC3">
        <w:rPr>
          <w:rFonts w:ascii="Calibri" w:hAnsi="Calibri" w:cs="Calibri"/>
          <w:iCs/>
          <w:sz w:val="24"/>
          <w:szCs w:val="24"/>
          <w:lang w:eastAsia="lt-LT"/>
        </w:rPr>
        <w:t>Taigi, remtis patirtimi/sutartimis, kurias vykdė kartu su kitais ūkio subjektais, tiekėjas gali, bet tik ta</w:t>
      </w:r>
      <w:r w:rsidR="009766EF" w:rsidRPr="00D23CC3">
        <w:rPr>
          <w:rFonts w:ascii="Calibri" w:hAnsi="Calibri" w:cs="Calibri"/>
          <w:iCs/>
          <w:sz w:val="24"/>
          <w:szCs w:val="24"/>
          <w:lang w:eastAsia="lt-LT"/>
        </w:rPr>
        <w:t xml:space="preserve"> </w:t>
      </w:r>
      <w:r w:rsidRPr="00D23CC3">
        <w:rPr>
          <w:rFonts w:ascii="Calibri" w:hAnsi="Calibri" w:cs="Calibri"/>
          <w:iCs/>
          <w:sz w:val="24"/>
          <w:szCs w:val="24"/>
          <w:lang w:eastAsia="lt-LT"/>
        </w:rPr>
        <w:t xml:space="preserve">dalimi, kurią vykdė pats, t. y., vertinami būtent konkretaus ūkio subjekto, dalyvaujančio viešajame pirkime, atlikti darbai, jų vertė, apimtis, kiekiai. Nepaisant to, ar reikalavime yra nurodyti žodžiai "savo jėgomis", ar nėra, patirties vertinimas nesikeičia, t. y., vertinama tik ta dalis, kurią ūkio subjektas atliko pats. Atsižvelgiant į išdėstytą, Tarnyba rekomenduoja prieš </w:t>
      </w:r>
      <w:r w:rsidRPr="00D23CC3">
        <w:rPr>
          <w:rFonts w:ascii="Calibri" w:hAnsi="Calibri" w:cs="Calibri"/>
          <w:iCs/>
          <w:sz w:val="24"/>
          <w:szCs w:val="24"/>
          <w:lang w:eastAsia="lt-LT"/>
        </w:rPr>
        <w:lastRenderedPageBreak/>
        <w:t xml:space="preserve">inicijuojant naujo viešojo pirkimo procedūras pakartotinai įsivertinti nustatytus kvalifikacijos reikalavimus bei jų atitiktį galiojančiam teisiniam reglamentavimui ir juos patikslinti. </w:t>
      </w:r>
    </w:p>
    <w:p w14:paraId="0FCB83A5" w14:textId="77777777" w:rsidR="00F257C6" w:rsidRPr="00D23CC3" w:rsidRDefault="00F257C6" w:rsidP="00F257C6">
      <w:pPr>
        <w:spacing w:after="0" w:line="240" w:lineRule="auto"/>
        <w:ind w:firstLine="720"/>
        <w:rPr>
          <w:rFonts w:ascii="Calibri" w:hAnsi="Calibri" w:cs="Calibri"/>
          <w:iCs/>
          <w:sz w:val="24"/>
          <w:szCs w:val="24"/>
          <w:lang w:eastAsia="lt-LT"/>
        </w:rPr>
      </w:pPr>
      <w:r w:rsidRPr="00D23CC3">
        <w:rPr>
          <w:rFonts w:ascii="Calibri" w:hAnsi="Calibri" w:cs="Calibri"/>
          <w:iCs/>
          <w:sz w:val="24"/>
          <w:szCs w:val="24"/>
          <w:lang w:eastAsia="lt-LT"/>
        </w:rPr>
        <w:t xml:space="preserve">Pažymėtina, kad visais atvejais sprendimą dėl tolimesnio Pirkimo procedūros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w:t>
      </w:r>
    </w:p>
    <w:p w14:paraId="0D8612E2" w14:textId="77777777" w:rsidR="00F257C6" w:rsidRPr="00D23CC3" w:rsidRDefault="00F257C6" w:rsidP="00F257C6">
      <w:pPr>
        <w:spacing w:after="0" w:line="240" w:lineRule="auto"/>
        <w:ind w:firstLine="720"/>
        <w:rPr>
          <w:rFonts w:ascii="Calibri" w:hAnsi="Calibri" w:cs="Calibri"/>
          <w:iCs/>
          <w:sz w:val="24"/>
          <w:szCs w:val="24"/>
          <w:lang w:eastAsia="lt-LT"/>
        </w:rPr>
      </w:pPr>
    </w:p>
    <w:sectPr w:rsidR="00F257C6" w:rsidRPr="00D23CC3" w:rsidSect="00F257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BBCE3" w14:textId="77777777" w:rsidR="00F257C6" w:rsidRDefault="00F257C6" w:rsidP="00F257C6">
      <w:pPr>
        <w:spacing w:after="0" w:line="240" w:lineRule="auto"/>
      </w:pPr>
      <w:r>
        <w:separator/>
      </w:r>
    </w:p>
  </w:endnote>
  <w:endnote w:type="continuationSeparator" w:id="0">
    <w:p w14:paraId="4A85D4F3" w14:textId="77777777" w:rsidR="00F257C6" w:rsidRDefault="00F257C6" w:rsidP="00F2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F4578" w14:textId="77777777" w:rsidR="00F257C6" w:rsidRDefault="00F257C6" w:rsidP="00F257C6">
      <w:pPr>
        <w:spacing w:after="0" w:line="240" w:lineRule="auto"/>
      </w:pPr>
      <w:r>
        <w:separator/>
      </w:r>
    </w:p>
  </w:footnote>
  <w:footnote w:type="continuationSeparator" w:id="0">
    <w:p w14:paraId="473DA10A" w14:textId="77777777" w:rsidR="00F257C6" w:rsidRDefault="00F257C6" w:rsidP="00F257C6">
      <w:pPr>
        <w:spacing w:after="0" w:line="240" w:lineRule="auto"/>
      </w:pPr>
      <w:r>
        <w:continuationSeparator/>
      </w:r>
    </w:p>
  </w:footnote>
  <w:footnote w:id="1">
    <w:p w14:paraId="6EAE5114" w14:textId="77777777" w:rsidR="00F257C6" w:rsidRDefault="00F257C6" w:rsidP="00F257C6">
      <w:pPr>
        <w:pStyle w:val="FootnoteText"/>
      </w:pPr>
      <w:r>
        <w:rPr>
          <w:rStyle w:val="FootnoteReference"/>
        </w:rPr>
        <w:footnoteRef/>
      </w:r>
      <w:r>
        <w:t xml:space="preserve"> </w:t>
      </w:r>
      <w:hyperlink r:id="rId1" w:history="1">
        <w:r w:rsidRPr="005523AB">
          <w:rPr>
            <w:rStyle w:val="Hyperlink"/>
          </w:rPr>
          <w:t>Tiekėjo kvalifikacijos reikalavimų nustatymo metodikos</w:t>
        </w:r>
      </w:hyperlink>
      <w:r>
        <w:t xml:space="preserve"> 7.4 papunktis.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C6"/>
    <w:rsid w:val="00165F7C"/>
    <w:rsid w:val="001F7AD9"/>
    <w:rsid w:val="00383454"/>
    <w:rsid w:val="00383FCD"/>
    <w:rsid w:val="005646AA"/>
    <w:rsid w:val="0058766C"/>
    <w:rsid w:val="005F11FF"/>
    <w:rsid w:val="006177F1"/>
    <w:rsid w:val="009766EF"/>
    <w:rsid w:val="00AD2C64"/>
    <w:rsid w:val="00C944DC"/>
    <w:rsid w:val="00D13AEA"/>
    <w:rsid w:val="00D23CC3"/>
    <w:rsid w:val="00D66E16"/>
    <w:rsid w:val="00EB713B"/>
    <w:rsid w:val="00F257C6"/>
    <w:rsid w:val="00F32B45"/>
    <w:rsid w:val="00F96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3ADA"/>
  <w15:chartTrackingRefBased/>
  <w15:docId w15:val="{43A0962E-A2D8-4B8D-A0F1-E4F2B1D5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C6"/>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57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57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57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57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57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57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57C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57C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57C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7C6"/>
    <w:rPr>
      <w:rFonts w:eastAsiaTheme="majorEastAsia" w:cstheme="majorBidi"/>
      <w:color w:val="272727" w:themeColor="text1" w:themeTint="D8"/>
    </w:rPr>
  </w:style>
  <w:style w:type="paragraph" w:styleId="Title">
    <w:name w:val="Title"/>
    <w:basedOn w:val="Normal"/>
    <w:next w:val="Normal"/>
    <w:link w:val="TitleChar"/>
    <w:uiPriority w:val="10"/>
    <w:qFormat/>
    <w:rsid w:val="00F257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5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7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5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7C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57C6"/>
    <w:rPr>
      <w:i/>
      <w:iCs/>
      <w:color w:val="404040" w:themeColor="text1" w:themeTint="BF"/>
    </w:rPr>
  </w:style>
  <w:style w:type="paragraph" w:styleId="ListParagraph">
    <w:name w:val="List Paragraph"/>
    <w:basedOn w:val="Normal"/>
    <w:uiPriority w:val="34"/>
    <w:qFormat/>
    <w:rsid w:val="00F257C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257C6"/>
    <w:rPr>
      <w:i/>
      <w:iCs/>
      <w:color w:val="0F4761" w:themeColor="accent1" w:themeShade="BF"/>
    </w:rPr>
  </w:style>
  <w:style w:type="paragraph" w:styleId="IntenseQuote">
    <w:name w:val="Intense Quote"/>
    <w:basedOn w:val="Normal"/>
    <w:next w:val="Normal"/>
    <w:link w:val="IntenseQuoteChar"/>
    <w:uiPriority w:val="30"/>
    <w:qFormat/>
    <w:rsid w:val="00F257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57C6"/>
    <w:rPr>
      <w:i/>
      <w:iCs/>
      <w:color w:val="0F4761" w:themeColor="accent1" w:themeShade="BF"/>
    </w:rPr>
  </w:style>
  <w:style w:type="character" w:styleId="IntenseReference">
    <w:name w:val="Intense Reference"/>
    <w:basedOn w:val="DefaultParagraphFont"/>
    <w:uiPriority w:val="32"/>
    <w:qFormat/>
    <w:rsid w:val="00F257C6"/>
    <w:rPr>
      <w:b/>
      <w:bCs/>
      <w:smallCaps/>
      <w:color w:val="0F4761" w:themeColor="accent1" w:themeShade="BF"/>
      <w:spacing w:val="5"/>
    </w:rPr>
  </w:style>
  <w:style w:type="paragraph" w:styleId="FootnoteText">
    <w:name w:val="footnote text"/>
    <w:basedOn w:val="Normal"/>
    <w:link w:val="FootnoteTextChar"/>
    <w:uiPriority w:val="99"/>
    <w:semiHidden/>
    <w:unhideWhenUsed/>
    <w:rsid w:val="00F257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7C6"/>
    <w:rPr>
      <w:kern w:val="0"/>
      <w:sz w:val="20"/>
      <w:szCs w:val="20"/>
      <w14:ligatures w14:val="none"/>
    </w:rPr>
  </w:style>
  <w:style w:type="character" w:styleId="FootnoteReference">
    <w:name w:val="footnote reference"/>
    <w:basedOn w:val="DefaultParagraphFont"/>
    <w:uiPriority w:val="99"/>
    <w:semiHidden/>
    <w:unhideWhenUsed/>
    <w:rsid w:val="00F257C6"/>
    <w:rPr>
      <w:vertAlign w:val="superscript"/>
    </w:rPr>
  </w:style>
  <w:style w:type="character" w:styleId="Hyperlink">
    <w:name w:val="Hyperlink"/>
    <w:basedOn w:val="DefaultParagraphFont"/>
    <w:uiPriority w:val="99"/>
    <w:unhideWhenUsed/>
    <w:rsid w:val="00F257C6"/>
    <w:rPr>
      <w:color w:val="467886" w:themeColor="hyperlink"/>
      <w:u w:val="single"/>
    </w:rPr>
  </w:style>
  <w:style w:type="character" w:styleId="FollowedHyperlink">
    <w:name w:val="FollowedHyperlink"/>
    <w:basedOn w:val="DefaultParagraphFont"/>
    <w:uiPriority w:val="99"/>
    <w:semiHidden/>
    <w:unhideWhenUsed/>
    <w:rsid w:val="00D13A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190329&amp;pageIndex=0&amp;doclang=LT&amp;mode=lst&amp;dir=&amp;occ=first&amp;part=1&amp;cid=209372" TargetMode="External"/><Relationship Id="rId3" Type="http://schemas.openxmlformats.org/officeDocument/2006/relationships/webSettings" Target="webSettings.xml"/><Relationship Id="rId7" Type="http://schemas.openxmlformats.org/officeDocument/2006/relationships/hyperlink" Target="https://e-seimas.lrs.lt/portal/legalAct/lt/TAD/01aeb1815d8c11e7a53b83ca0142260e/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ctm/Supplier/PublicPurchase/788995?B=PP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uria.europa.eu/juris/document/document.jsf?text=&amp;docid=190329&amp;pageIndex=0&amp;doclang=LT&amp;mode=lst&amp;dir=&amp;occ=first&amp;part=1&amp;cid=20937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01aeb1815d8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5545</Words>
  <Characters>3161</Characters>
  <Application>Microsoft Office Word</Application>
  <DocSecurity>0</DocSecurity>
  <Lines>26</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4</cp:revision>
  <dcterms:created xsi:type="dcterms:W3CDTF">2024-12-06T08:45:00Z</dcterms:created>
  <dcterms:modified xsi:type="dcterms:W3CDTF">2024-12-06T08:47:00Z</dcterms:modified>
</cp:coreProperties>
</file>