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44750" w14:textId="5CE7A6B7" w:rsidR="0028646C" w:rsidRPr="00CB501F" w:rsidRDefault="0028646C" w:rsidP="00EF5131">
      <w:pPr>
        <w:spacing w:before="100" w:beforeAutospacing="1" w:after="100" w:afterAutospacing="1" w:line="240" w:lineRule="auto"/>
        <w:ind w:firstLine="567"/>
        <w:contextualSpacing/>
        <w:rPr>
          <w:rFonts w:cstheme="minorHAnsi"/>
          <w:sz w:val="24"/>
          <w:szCs w:val="24"/>
          <w:lang w:eastAsia="lt-LT"/>
        </w:rPr>
      </w:pPr>
      <w:r w:rsidRPr="00CB501F">
        <w:rPr>
          <w:rFonts w:cstheme="minorHAnsi"/>
          <w:sz w:val="24"/>
          <w:szCs w:val="24"/>
          <w:lang w:eastAsia="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E562E1F" w14:textId="041D0B72" w:rsidR="00B92B06" w:rsidRPr="001F28F9" w:rsidRDefault="0028646C" w:rsidP="007B254A">
      <w:pPr>
        <w:spacing w:before="100" w:beforeAutospacing="1" w:after="100" w:afterAutospacing="1" w:line="240" w:lineRule="auto"/>
        <w:ind w:firstLine="567"/>
        <w:contextualSpacing/>
        <w:rPr>
          <w:rFonts w:cstheme="minorHAnsi"/>
          <w:sz w:val="24"/>
          <w:szCs w:val="24"/>
          <w:lang w:eastAsia="lt-LT"/>
        </w:rPr>
      </w:pPr>
      <w:r w:rsidRPr="00CB501F">
        <w:rPr>
          <w:rFonts w:cstheme="minorHAnsi"/>
          <w:sz w:val="24"/>
          <w:szCs w:val="24"/>
          <w:lang w:eastAsia="lt-LT"/>
        </w:rPr>
        <w:t xml:space="preserve">Vadovaujantis Tarnybai Įstatyme nustatyta pažeidimų prevencijos funkcija, šiuo metu atliekama </w:t>
      </w:r>
      <w:r w:rsidR="00433B5E" w:rsidRPr="00433B5E">
        <w:rPr>
          <w:rFonts w:cstheme="minorHAnsi"/>
          <w:sz w:val="24"/>
          <w:szCs w:val="24"/>
          <w:lang w:eastAsia="lt-LT"/>
        </w:rPr>
        <w:t xml:space="preserve">Viešosios įstaigos Prienų ligoninė (toliau - Perkančioji organizacija) </w:t>
      </w:r>
      <w:r w:rsidR="00433B5E" w:rsidRPr="00433B5E">
        <w:rPr>
          <w:rFonts w:cstheme="minorHAnsi"/>
          <w:b/>
          <w:bCs/>
          <w:sz w:val="24"/>
          <w:szCs w:val="24"/>
          <w:lang w:eastAsia="lt-LT"/>
        </w:rPr>
        <w:t xml:space="preserve">vykdomo pirkimo Nr. </w:t>
      </w:r>
      <w:r w:rsidR="00901C62" w:rsidRPr="00901C62">
        <w:rPr>
          <w:rFonts w:cstheme="minorHAnsi"/>
          <w:b/>
          <w:bCs/>
          <w:sz w:val="24"/>
          <w:szCs w:val="24"/>
          <w:lang w:eastAsia="lt-LT"/>
        </w:rPr>
        <w:t>724647</w:t>
      </w:r>
      <w:r w:rsidR="00901C62">
        <w:rPr>
          <w:rFonts w:cstheme="minorHAnsi"/>
          <w:b/>
          <w:bCs/>
          <w:sz w:val="24"/>
          <w:szCs w:val="24"/>
          <w:lang w:eastAsia="lt-LT"/>
        </w:rPr>
        <w:t xml:space="preserve"> „</w:t>
      </w:r>
      <w:r w:rsidR="00413080" w:rsidRPr="00413080">
        <w:rPr>
          <w:rFonts w:cstheme="minorHAnsi"/>
          <w:b/>
          <w:bCs/>
          <w:sz w:val="24"/>
          <w:szCs w:val="24"/>
          <w:lang w:eastAsia="lt-LT"/>
        </w:rPr>
        <w:t>Ultragarsinės diagnostinės sistemos pirkimas</w:t>
      </w:r>
      <w:r w:rsidR="00413080">
        <w:rPr>
          <w:rFonts w:cstheme="minorHAnsi"/>
          <w:b/>
          <w:bCs/>
          <w:sz w:val="24"/>
          <w:szCs w:val="24"/>
          <w:lang w:eastAsia="lt-LT"/>
        </w:rPr>
        <w:t xml:space="preserve">“ </w:t>
      </w:r>
      <w:r w:rsidR="00413080" w:rsidRPr="00433B5E">
        <w:rPr>
          <w:rFonts w:cstheme="minorHAnsi"/>
          <w:sz w:val="24"/>
          <w:szCs w:val="24"/>
          <w:lang w:eastAsia="lt-LT"/>
        </w:rPr>
        <w:t xml:space="preserve">(toliau </w:t>
      </w:r>
      <w:r w:rsidR="00764FB1">
        <w:rPr>
          <w:rFonts w:cstheme="minorHAnsi"/>
          <w:sz w:val="24"/>
          <w:szCs w:val="24"/>
          <w:lang w:eastAsia="lt-LT"/>
        </w:rPr>
        <w:t>–</w:t>
      </w:r>
      <w:r w:rsidR="00413080" w:rsidRPr="00433B5E">
        <w:rPr>
          <w:rFonts w:cstheme="minorHAnsi"/>
          <w:sz w:val="24"/>
          <w:szCs w:val="24"/>
          <w:lang w:eastAsia="lt-LT"/>
        </w:rPr>
        <w:t xml:space="preserve"> Pirkimas</w:t>
      </w:r>
      <w:r w:rsidR="00764FB1">
        <w:rPr>
          <w:rFonts w:cstheme="minorHAnsi"/>
          <w:sz w:val="24"/>
          <w:szCs w:val="24"/>
          <w:lang w:eastAsia="lt-LT"/>
        </w:rPr>
        <w:t xml:space="preserve"> Nr. </w:t>
      </w:r>
      <w:r w:rsidR="00764FB1" w:rsidRPr="00BF654A">
        <w:rPr>
          <w:rFonts w:cstheme="minorHAnsi"/>
          <w:sz w:val="24"/>
          <w:szCs w:val="24"/>
          <w:lang w:eastAsia="lt-LT"/>
        </w:rPr>
        <w:t>2</w:t>
      </w:r>
      <w:r w:rsidR="00413080" w:rsidRPr="00433B5E">
        <w:rPr>
          <w:rFonts w:cstheme="minorHAnsi"/>
          <w:sz w:val="24"/>
          <w:szCs w:val="24"/>
          <w:lang w:eastAsia="lt-LT"/>
        </w:rPr>
        <w:t>) dokumentų atitikties Įstatymui</w:t>
      </w:r>
      <w:r w:rsidR="00413080">
        <w:rPr>
          <w:rFonts w:cstheme="minorHAnsi"/>
          <w:sz w:val="24"/>
          <w:szCs w:val="24"/>
          <w:lang w:eastAsia="lt-LT"/>
        </w:rPr>
        <w:t xml:space="preserve"> </w:t>
      </w:r>
      <w:r w:rsidR="00413080" w:rsidRPr="00433B5E">
        <w:rPr>
          <w:rFonts w:cstheme="minorHAnsi"/>
          <w:sz w:val="24"/>
          <w:szCs w:val="24"/>
          <w:lang w:eastAsia="lt-LT"/>
        </w:rPr>
        <w:t>ir su jo įgyvendinimu susijusiems teisės aktams peržiūra (peržiūra prevenciniais tikslais atliekama tam tikra apimtimi).</w:t>
      </w:r>
      <w:r w:rsidR="00413080">
        <w:rPr>
          <w:rFonts w:cstheme="minorHAnsi"/>
          <w:sz w:val="24"/>
          <w:szCs w:val="24"/>
          <w:lang w:eastAsia="lt-LT"/>
        </w:rPr>
        <w:t xml:space="preserve"> Pirkimas vykdomas pakartotinai, po </w:t>
      </w:r>
      <w:r w:rsidR="007B254A">
        <w:rPr>
          <w:rFonts w:cstheme="minorHAnsi"/>
          <w:sz w:val="24"/>
          <w:szCs w:val="24"/>
          <w:lang w:eastAsia="lt-LT"/>
        </w:rPr>
        <w:t xml:space="preserve">nutraukto viešojo </w:t>
      </w:r>
      <w:r w:rsidR="007B254A" w:rsidRPr="007B254A">
        <w:rPr>
          <w:rFonts w:cstheme="minorHAnsi"/>
          <w:sz w:val="24"/>
          <w:szCs w:val="24"/>
          <w:lang w:eastAsia="lt-LT"/>
        </w:rPr>
        <w:t xml:space="preserve">pirkimo Nr. </w:t>
      </w:r>
      <w:r w:rsidR="00433B5E" w:rsidRPr="007B254A">
        <w:rPr>
          <w:rFonts w:cstheme="minorHAnsi"/>
          <w:sz w:val="24"/>
          <w:szCs w:val="24"/>
          <w:lang w:eastAsia="lt-LT"/>
        </w:rPr>
        <w:t xml:space="preserve">716429 "Ultragarsinės diagnostinės sistemos pirkimas" </w:t>
      </w:r>
      <w:r w:rsidR="00BF654A">
        <w:rPr>
          <w:rFonts w:cstheme="minorHAnsi"/>
          <w:sz w:val="24"/>
          <w:szCs w:val="24"/>
          <w:lang w:eastAsia="lt-LT"/>
        </w:rPr>
        <w:t xml:space="preserve">(toliau – Pirkimas Nr. 1) </w:t>
      </w:r>
      <w:r w:rsidR="007B254A">
        <w:rPr>
          <w:rFonts w:cstheme="minorHAnsi"/>
          <w:sz w:val="24"/>
          <w:szCs w:val="24"/>
          <w:lang w:eastAsia="lt-LT"/>
        </w:rPr>
        <w:t>procedūrų</w:t>
      </w:r>
      <w:r w:rsidR="00764FB1">
        <w:rPr>
          <w:rFonts w:cstheme="minorHAnsi"/>
          <w:sz w:val="24"/>
          <w:szCs w:val="24"/>
          <w:lang w:eastAsia="lt-LT"/>
        </w:rPr>
        <w:t>.</w:t>
      </w:r>
      <w:r w:rsidR="00BF654A">
        <w:rPr>
          <w:rFonts w:cstheme="minorHAnsi"/>
          <w:sz w:val="24"/>
          <w:szCs w:val="24"/>
          <w:lang w:eastAsia="lt-LT"/>
        </w:rPr>
        <w:t xml:space="preserve"> </w:t>
      </w:r>
      <w:r w:rsidR="00B34586">
        <w:rPr>
          <w:rFonts w:cstheme="minorHAnsi"/>
          <w:sz w:val="24"/>
          <w:szCs w:val="24"/>
          <w:lang w:eastAsia="lt-LT"/>
        </w:rPr>
        <w:t xml:space="preserve">Dėl </w:t>
      </w:r>
      <w:r w:rsidR="00BF654A">
        <w:rPr>
          <w:rFonts w:cstheme="minorHAnsi"/>
          <w:sz w:val="24"/>
          <w:szCs w:val="24"/>
          <w:lang w:eastAsia="lt-LT"/>
        </w:rPr>
        <w:t xml:space="preserve">Pirkimo Nr. 1 </w:t>
      </w:r>
      <w:r w:rsidR="00B34586">
        <w:rPr>
          <w:rFonts w:cstheme="minorHAnsi"/>
          <w:sz w:val="24"/>
          <w:szCs w:val="24"/>
          <w:lang w:eastAsia="lt-LT"/>
        </w:rPr>
        <w:t xml:space="preserve">dokumentų </w:t>
      </w:r>
      <w:r w:rsidR="001F28F9">
        <w:rPr>
          <w:rFonts w:cstheme="minorHAnsi"/>
          <w:sz w:val="24"/>
          <w:szCs w:val="24"/>
          <w:lang w:eastAsia="lt-LT"/>
        </w:rPr>
        <w:t xml:space="preserve">Tarnyba </w:t>
      </w:r>
      <w:r w:rsidR="00B34586" w:rsidRPr="001F28F9">
        <w:rPr>
          <w:rFonts w:cstheme="minorHAnsi"/>
          <w:sz w:val="24"/>
          <w:szCs w:val="24"/>
          <w:lang w:eastAsia="lt-LT"/>
        </w:rPr>
        <w:t xml:space="preserve">2024 m. </w:t>
      </w:r>
      <w:r w:rsidR="00BB34DF" w:rsidRPr="001F28F9">
        <w:rPr>
          <w:rFonts w:cstheme="minorHAnsi"/>
          <w:sz w:val="24"/>
          <w:szCs w:val="24"/>
          <w:lang w:eastAsia="lt-LT"/>
        </w:rPr>
        <w:t>gegu</w:t>
      </w:r>
      <w:r w:rsidR="00BB34DF">
        <w:rPr>
          <w:rFonts w:cstheme="minorHAnsi"/>
          <w:sz w:val="24"/>
          <w:szCs w:val="24"/>
          <w:lang w:eastAsia="lt-LT"/>
        </w:rPr>
        <w:t xml:space="preserve">žės </w:t>
      </w:r>
      <w:r w:rsidR="00BB34DF" w:rsidRPr="001F28F9">
        <w:rPr>
          <w:rFonts w:cstheme="minorHAnsi"/>
          <w:sz w:val="24"/>
          <w:szCs w:val="24"/>
          <w:lang w:eastAsia="lt-LT"/>
        </w:rPr>
        <w:t>8 d. teik</w:t>
      </w:r>
      <w:r w:rsidR="001F28F9">
        <w:rPr>
          <w:rFonts w:cstheme="minorHAnsi"/>
          <w:sz w:val="24"/>
          <w:szCs w:val="24"/>
          <w:lang w:eastAsia="lt-LT"/>
        </w:rPr>
        <w:t xml:space="preserve">ė </w:t>
      </w:r>
      <w:r w:rsidR="00651332">
        <w:rPr>
          <w:rFonts w:cstheme="minorHAnsi"/>
          <w:sz w:val="24"/>
          <w:szCs w:val="24"/>
          <w:lang w:eastAsia="lt-LT"/>
        </w:rPr>
        <w:t xml:space="preserve">pastabas bei </w:t>
      </w:r>
      <w:r w:rsidR="001F28F9">
        <w:rPr>
          <w:rFonts w:cstheme="minorHAnsi"/>
          <w:sz w:val="24"/>
          <w:szCs w:val="24"/>
          <w:lang w:eastAsia="lt-LT"/>
        </w:rPr>
        <w:t>rekomenda</w:t>
      </w:r>
      <w:r w:rsidR="00651332">
        <w:rPr>
          <w:rFonts w:cstheme="minorHAnsi"/>
          <w:sz w:val="24"/>
          <w:szCs w:val="24"/>
          <w:lang w:eastAsia="lt-LT"/>
        </w:rPr>
        <w:t xml:space="preserve">vo </w:t>
      </w:r>
      <w:r w:rsidR="001F28F9">
        <w:rPr>
          <w:rFonts w:cstheme="minorHAnsi"/>
          <w:sz w:val="24"/>
          <w:szCs w:val="24"/>
          <w:lang w:eastAsia="lt-LT"/>
        </w:rPr>
        <w:t xml:space="preserve">nutraukti Pirkimo Nr. </w:t>
      </w:r>
      <w:r w:rsidR="001F28F9" w:rsidRPr="001F28F9">
        <w:rPr>
          <w:rFonts w:cstheme="minorHAnsi"/>
          <w:sz w:val="24"/>
          <w:szCs w:val="24"/>
          <w:lang w:eastAsia="lt-LT"/>
        </w:rPr>
        <w:t>1</w:t>
      </w:r>
      <w:r w:rsidR="001F28F9">
        <w:rPr>
          <w:rFonts w:cstheme="minorHAnsi"/>
          <w:sz w:val="24"/>
          <w:szCs w:val="24"/>
          <w:lang w:eastAsia="lt-LT"/>
        </w:rPr>
        <w:t xml:space="preserve"> procedūras.</w:t>
      </w:r>
    </w:p>
    <w:p w14:paraId="04A68DA6" w14:textId="77777777" w:rsidR="006641B1" w:rsidRDefault="006641B1" w:rsidP="00433B5E">
      <w:pPr>
        <w:spacing w:before="100" w:beforeAutospacing="1" w:after="100" w:afterAutospacing="1" w:line="240" w:lineRule="auto"/>
        <w:ind w:firstLine="567"/>
        <w:contextualSpacing/>
        <w:rPr>
          <w:rFonts w:cstheme="minorHAnsi"/>
          <w:sz w:val="24"/>
          <w:szCs w:val="24"/>
          <w:lang w:eastAsia="lt-LT"/>
        </w:rPr>
      </w:pPr>
    </w:p>
    <w:p w14:paraId="7F044DE5" w14:textId="06A61578" w:rsidR="0028646C" w:rsidRDefault="0028646C" w:rsidP="00EF5131">
      <w:pPr>
        <w:spacing w:before="100" w:beforeAutospacing="1" w:after="100" w:afterAutospacing="1" w:line="240" w:lineRule="auto"/>
        <w:ind w:firstLine="567"/>
        <w:contextualSpacing/>
        <w:rPr>
          <w:rFonts w:cstheme="minorHAnsi"/>
          <w:sz w:val="24"/>
          <w:szCs w:val="24"/>
          <w:lang w:eastAsia="lt-LT"/>
        </w:rPr>
      </w:pPr>
      <w:r w:rsidRPr="00CB501F">
        <w:rPr>
          <w:rFonts w:cstheme="minorHAnsi"/>
          <w:sz w:val="24"/>
          <w:szCs w:val="24"/>
          <w:lang w:eastAsia="lt-LT"/>
        </w:rPr>
        <w:t xml:space="preserve">Tarnyba, prevencine tvarka </w:t>
      </w:r>
      <w:r w:rsidR="00651332">
        <w:rPr>
          <w:rFonts w:cstheme="minorHAnsi"/>
          <w:sz w:val="24"/>
          <w:szCs w:val="24"/>
          <w:lang w:eastAsia="lt-LT"/>
        </w:rPr>
        <w:t xml:space="preserve">įvertinusi </w:t>
      </w:r>
      <w:r w:rsidRPr="00CB501F">
        <w:rPr>
          <w:rFonts w:cstheme="minorHAnsi"/>
          <w:sz w:val="24"/>
          <w:szCs w:val="24"/>
          <w:lang w:eastAsia="lt-LT"/>
        </w:rPr>
        <w:t xml:space="preserve">Pirkimo </w:t>
      </w:r>
      <w:r w:rsidR="00AD1366">
        <w:rPr>
          <w:rFonts w:cstheme="minorHAnsi"/>
          <w:sz w:val="24"/>
          <w:szCs w:val="24"/>
          <w:lang w:eastAsia="lt-LT"/>
        </w:rPr>
        <w:t xml:space="preserve">Nr. </w:t>
      </w:r>
      <w:r w:rsidR="00AD1366" w:rsidRPr="00AD1366">
        <w:rPr>
          <w:rFonts w:cstheme="minorHAnsi"/>
          <w:sz w:val="24"/>
          <w:szCs w:val="24"/>
          <w:lang w:eastAsia="lt-LT"/>
        </w:rPr>
        <w:t xml:space="preserve">2 </w:t>
      </w:r>
      <w:r w:rsidRPr="00CB501F">
        <w:rPr>
          <w:rFonts w:cstheme="minorHAnsi"/>
          <w:sz w:val="24"/>
          <w:szCs w:val="24"/>
          <w:lang w:eastAsia="lt-LT"/>
        </w:rPr>
        <w:t xml:space="preserve">dokumentus </w:t>
      </w:r>
      <w:r w:rsidR="002F351F" w:rsidRPr="002F351F">
        <w:rPr>
          <w:rFonts w:cstheme="minorHAnsi"/>
          <w:sz w:val="24"/>
          <w:szCs w:val="24"/>
          <w:lang w:eastAsia="lt-LT"/>
        </w:rPr>
        <w:t>ir atsižvelgdama į galiojantį teisinį reglamentavimą</w:t>
      </w:r>
      <w:r w:rsidR="002F351F">
        <w:rPr>
          <w:rFonts w:cstheme="minorHAnsi"/>
          <w:sz w:val="24"/>
          <w:szCs w:val="24"/>
          <w:lang w:eastAsia="lt-LT"/>
        </w:rPr>
        <w:t xml:space="preserve">, </w:t>
      </w:r>
      <w:r w:rsidRPr="00CB501F">
        <w:rPr>
          <w:rFonts w:cstheme="minorHAnsi"/>
          <w:sz w:val="24"/>
          <w:szCs w:val="24"/>
          <w:lang w:eastAsia="lt-LT"/>
        </w:rPr>
        <w:t xml:space="preserve">teikia pastabas ir rekomendacijas (toliau – Rekomendacija) dėl Pirkimo </w:t>
      </w:r>
      <w:r w:rsidR="00AD1366">
        <w:rPr>
          <w:rFonts w:cstheme="minorHAnsi"/>
          <w:sz w:val="24"/>
          <w:szCs w:val="24"/>
          <w:lang w:eastAsia="lt-LT"/>
        </w:rPr>
        <w:t xml:space="preserve">Nr. 2 </w:t>
      </w:r>
      <w:r w:rsidRPr="00CB501F">
        <w:rPr>
          <w:rFonts w:cstheme="minorHAnsi"/>
          <w:sz w:val="24"/>
          <w:szCs w:val="24"/>
          <w:lang w:eastAsia="lt-LT"/>
        </w:rPr>
        <w:t>dokumentų nuostatų</w:t>
      </w:r>
      <w:r w:rsidR="00EF5131">
        <w:rPr>
          <w:rFonts w:cstheme="minorHAnsi"/>
          <w:sz w:val="24"/>
          <w:szCs w:val="24"/>
          <w:lang w:eastAsia="lt-LT"/>
        </w:rPr>
        <w:t>:</w:t>
      </w:r>
    </w:p>
    <w:p w14:paraId="4FBD164E" w14:textId="1D294F93" w:rsidR="00322562" w:rsidRPr="00322562" w:rsidRDefault="00322562" w:rsidP="00322562">
      <w:pPr>
        <w:pStyle w:val="tajtip"/>
        <w:numPr>
          <w:ilvl w:val="0"/>
          <w:numId w:val="3"/>
        </w:numPr>
        <w:shd w:val="clear" w:color="auto" w:fill="FFFFFF"/>
        <w:contextualSpacing/>
        <w:rPr>
          <w:rFonts w:asciiTheme="minorHAnsi" w:hAnsiTheme="minorHAnsi" w:cstheme="minorHAnsi"/>
          <w:b/>
          <w:bCs/>
          <w:lang w:val="lt-LT"/>
        </w:rPr>
      </w:pPr>
      <w:r w:rsidRPr="00322562">
        <w:rPr>
          <w:rFonts w:asciiTheme="minorHAnsi" w:hAnsiTheme="minorHAnsi" w:cstheme="minorHAnsi"/>
          <w:b/>
          <w:bCs/>
          <w:lang w:val="lt-LT"/>
        </w:rPr>
        <w:t>Dėl Pirkimo techninės specifikacijos</w:t>
      </w:r>
    </w:p>
    <w:p w14:paraId="33D5B2CF" w14:textId="2C92602E" w:rsidR="0020294A" w:rsidRDefault="0020294A" w:rsidP="00DA1E41">
      <w:pPr>
        <w:pStyle w:val="tajtip"/>
        <w:shd w:val="clear" w:color="auto" w:fill="FFFFFF"/>
        <w:ind w:firstLine="540"/>
        <w:contextualSpacing/>
        <w:rPr>
          <w:rFonts w:asciiTheme="minorHAnsi" w:hAnsiTheme="minorHAnsi" w:cstheme="minorHAnsi"/>
          <w:lang w:val="lt-LT"/>
        </w:rPr>
      </w:pPr>
      <w:r w:rsidRPr="0020294A">
        <w:rPr>
          <w:rFonts w:asciiTheme="minorHAnsi" w:hAnsiTheme="minorHAnsi" w:cstheme="minorHAnsi"/>
          <w:lang w:val="lt-LT"/>
        </w:rPr>
        <w:t xml:space="preserve">Tarnyba prašė Perkančiosios organizacijos nurodyti bent kelis gamintojus ir konkrečius šių gamintojų įrangos modelius, kurie pilnai atitinka techninės specifikacijos reikalavimų visumą (prie kiekvieno techninio reikalavimo atitinkamai nurodant konkrečios tiekėjo siūlomos įrangos parametrus), kartu pateikiant įrodymus, kad būtų galimybė </w:t>
      </w:r>
      <w:r w:rsidR="00651332">
        <w:rPr>
          <w:rFonts w:asciiTheme="minorHAnsi" w:hAnsiTheme="minorHAnsi" w:cstheme="minorHAnsi"/>
          <w:lang w:val="lt-LT"/>
        </w:rPr>
        <w:t xml:space="preserve">įvertinti </w:t>
      </w:r>
      <w:r w:rsidRPr="0020294A">
        <w:rPr>
          <w:rFonts w:asciiTheme="minorHAnsi" w:hAnsiTheme="minorHAnsi" w:cstheme="minorHAnsi"/>
          <w:lang w:val="lt-LT"/>
        </w:rPr>
        <w:t>nurodytų modelių atitiktį techninės specifikacijos reikalavimams ir techniniams kokybės kriterijams.</w:t>
      </w:r>
    </w:p>
    <w:p w14:paraId="68C245D9" w14:textId="63E54E47" w:rsidR="002B438D" w:rsidRDefault="0020294A" w:rsidP="00A35AAD">
      <w:pPr>
        <w:pStyle w:val="tajtip"/>
        <w:shd w:val="clear" w:color="auto" w:fill="FFFFFF"/>
        <w:ind w:firstLine="540"/>
        <w:contextualSpacing/>
        <w:rPr>
          <w:rFonts w:asciiTheme="minorHAnsi" w:hAnsiTheme="minorHAnsi" w:cstheme="minorHAnsi"/>
          <w:lang w:val="lt-LT"/>
        </w:rPr>
      </w:pPr>
      <w:r w:rsidRPr="00DA1E41">
        <w:rPr>
          <w:rFonts w:asciiTheme="minorHAnsi" w:hAnsiTheme="minorHAnsi" w:cstheme="minorHAnsi"/>
          <w:lang w:val="lt-LT"/>
        </w:rPr>
        <w:t xml:space="preserve">Perkančioji organizacija pateikė Tarnybai lentelę su trijų gamintojų modeliais: </w:t>
      </w:r>
      <w:r w:rsidR="008C09F9" w:rsidRPr="004F5CDF">
        <w:rPr>
          <w:rFonts w:asciiTheme="minorHAnsi" w:hAnsiTheme="minorHAnsi" w:cstheme="minorHAnsi"/>
          <w:b/>
          <w:bCs/>
          <w:lang w:val="lt-LT"/>
        </w:rPr>
        <w:t xml:space="preserve">Canon </w:t>
      </w:r>
      <w:proofErr w:type="spellStart"/>
      <w:r w:rsidR="008C09F9" w:rsidRPr="004F5CDF">
        <w:rPr>
          <w:rFonts w:asciiTheme="minorHAnsi" w:hAnsiTheme="minorHAnsi" w:cstheme="minorHAnsi"/>
          <w:b/>
          <w:bCs/>
          <w:lang w:val="lt-LT"/>
        </w:rPr>
        <w:t>Aplio</w:t>
      </w:r>
      <w:proofErr w:type="spellEnd"/>
      <w:r w:rsidR="008C09F9" w:rsidRPr="004F5CDF">
        <w:rPr>
          <w:rFonts w:asciiTheme="minorHAnsi" w:hAnsiTheme="minorHAnsi" w:cstheme="minorHAnsi"/>
          <w:b/>
          <w:bCs/>
          <w:lang w:val="lt-LT"/>
        </w:rPr>
        <w:t xml:space="preserve"> I800, </w:t>
      </w:r>
      <w:proofErr w:type="spellStart"/>
      <w:r w:rsidR="00665FD8" w:rsidRPr="004F5CDF">
        <w:rPr>
          <w:rFonts w:asciiTheme="minorHAnsi" w:hAnsiTheme="minorHAnsi" w:cstheme="minorHAnsi"/>
          <w:b/>
          <w:bCs/>
          <w:lang w:val="lt-LT"/>
        </w:rPr>
        <w:t>Mindray</w:t>
      </w:r>
      <w:proofErr w:type="spellEnd"/>
      <w:r w:rsidR="00665FD8" w:rsidRPr="004F5CDF">
        <w:rPr>
          <w:rFonts w:asciiTheme="minorHAnsi" w:hAnsiTheme="minorHAnsi" w:cstheme="minorHAnsi"/>
          <w:b/>
          <w:bCs/>
          <w:lang w:val="lt-LT"/>
        </w:rPr>
        <w:t xml:space="preserve"> </w:t>
      </w:r>
      <w:proofErr w:type="spellStart"/>
      <w:r w:rsidR="00665FD8" w:rsidRPr="004F5CDF">
        <w:rPr>
          <w:rFonts w:asciiTheme="minorHAnsi" w:hAnsiTheme="minorHAnsi" w:cstheme="minorHAnsi"/>
          <w:b/>
          <w:bCs/>
          <w:lang w:val="lt-LT"/>
        </w:rPr>
        <w:t>Resona</w:t>
      </w:r>
      <w:proofErr w:type="spellEnd"/>
      <w:r w:rsidR="00665FD8" w:rsidRPr="004F5CDF">
        <w:rPr>
          <w:rFonts w:asciiTheme="minorHAnsi" w:hAnsiTheme="minorHAnsi" w:cstheme="minorHAnsi"/>
          <w:b/>
          <w:bCs/>
          <w:lang w:val="lt-LT"/>
        </w:rPr>
        <w:t xml:space="preserve"> I9, </w:t>
      </w:r>
      <w:r w:rsidR="004F5CDF" w:rsidRPr="004F5CDF">
        <w:rPr>
          <w:rFonts w:asciiTheme="minorHAnsi" w:hAnsiTheme="minorHAnsi" w:cstheme="minorHAnsi"/>
          <w:b/>
          <w:bCs/>
          <w:lang w:val="lt-LT"/>
        </w:rPr>
        <w:t xml:space="preserve">Siemens </w:t>
      </w:r>
      <w:proofErr w:type="spellStart"/>
      <w:r w:rsidR="004F5CDF" w:rsidRPr="004F5CDF">
        <w:rPr>
          <w:rFonts w:asciiTheme="minorHAnsi" w:hAnsiTheme="minorHAnsi" w:cstheme="minorHAnsi"/>
          <w:b/>
          <w:bCs/>
          <w:lang w:val="lt-LT"/>
        </w:rPr>
        <w:t>Healthineers</w:t>
      </w:r>
      <w:proofErr w:type="spellEnd"/>
      <w:r w:rsidR="004F5CDF" w:rsidRPr="004F5CDF">
        <w:rPr>
          <w:rFonts w:asciiTheme="minorHAnsi" w:hAnsiTheme="minorHAnsi" w:cstheme="minorHAnsi"/>
          <w:b/>
          <w:bCs/>
          <w:lang w:val="lt-LT"/>
        </w:rPr>
        <w:t xml:space="preserve"> ACUSON </w:t>
      </w:r>
      <w:proofErr w:type="spellStart"/>
      <w:r w:rsidR="004F5CDF" w:rsidRPr="004F5CDF">
        <w:rPr>
          <w:rFonts w:asciiTheme="minorHAnsi" w:hAnsiTheme="minorHAnsi" w:cstheme="minorHAnsi"/>
          <w:b/>
          <w:bCs/>
          <w:lang w:val="lt-LT"/>
        </w:rPr>
        <w:t>Sequoia</w:t>
      </w:r>
      <w:proofErr w:type="spellEnd"/>
      <w:r w:rsidR="004F5CDF">
        <w:rPr>
          <w:rFonts w:asciiTheme="minorHAnsi" w:hAnsiTheme="minorHAnsi" w:cstheme="minorHAnsi"/>
          <w:lang w:val="lt-LT"/>
        </w:rPr>
        <w:t xml:space="preserve">. </w:t>
      </w:r>
      <w:r w:rsidR="00BF3E11">
        <w:rPr>
          <w:rFonts w:asciiTheme="minorHAnsi" w:hAnsiTheme="minorHAnsi" w:cstheme="minorHAnsi"/>
          <w:lang w:val="lt-LT"/>
        </w:rPr>
        <w:t>Pažymėtina, jog visi nurodyti</w:t>
      </w:r>
      <w:r w:rsidR="00651332">
        <w:rPr>
          <w:rFonts w:asciiTheme="minorHAnsi" w:hAnsiTheme="minorHAnsi" w:cstheme="minorHAnsi"/>
          <w:lang w:val="lt-LT"/>
        </w:rPr>
        <w:t xml:space="preserve"> įrangos</w:t>
      </w:r>
      <w:r w:rsidR="00BF3E11">
        <w:rPr>
          <w:rFonts w:asciiTheme="minorHAnsi" w:hAnsiTheme="minorHAnsi" w:cstheme="minorHAnsi"/>
          <w:lang w:val="lt-LT"/>
        </w:rPr>
        <w:t xml:space="preserve"> modeliai yra priskirtini </w:t>
      </w:r>
      <w:r w:rsidR="00142EF4">
        <w:rPr>
          <w:rFonts w:asciiTheme="minorHAnsi" w:hAnsiTheme="minorHAnsi" w:cstheme="minorHAnsi"/>
          <w:lang w:val="lt-LT"/>
        </w:rPr>
        <w:t xml:space="preserve">ekspertinei arba </w:t>
      </w:r>
      <w:proofErr w:type="spellStart"/>
      <w:r w:rsidR="00E40668">
        <w:rPr>
          <w:rFonts w:asciiTheme="minorHAnsi" w:hAnsiTheme="minorHAnsi" w:cstheme="minorHAnsi"/>
          <w:lang w:val="lt-LT"/>
        </w:rPr>
        <w:t>premium</w:t>
      </w:r>
      <w:proofErr w:type="spellEnd"/>
      <w:r w:rsidR="00E40668">
        <w:rPr>
          <w:rFonts w:asciiTheme="minorHAnsi" w:hAnsiTheme="minorHAnsi" w:cstheme="minorHAnsi"/>
          <w:lang w:val="lt-LT"/>
        </w:rPr>
        <w:t xml:space="preserve"> </w:t>
      </w:r>
      <w:r w:rsidR="00142EF4">
        <w:rPr>
          <w:rFonts w:asciiTheme="minorHAnsi" w:hAnsiTheme="minorHAnsi" w:cstheme="minorHAnsi"/>
          <w:lang w:val="lt-LT"/>
        </w:rPr>
        <w:t>pažangumo kategorijai</w:t>
      </w:r>
      <w:r w:rsidR="00E40668">
        <w:rPr>
          <w:rFonts w:asciiTheme="minorHAnsi" w:hAnsiTheme="minorHAnsi" w:cstheme="minorHAnsi"/>
          <w:lang w:val="lt-LT"/>
        </w:rPr>
        <w:t>, kur</w:t>
      </w:r>
      <w:r w:rsidR="004D3BD7">
        <w:rPr>
          <w:rFonts w:asciiTheme="minorHAnsi" w:hAnsiTheme="minorHAnsi" w:cstheme="minorHAnsi"/>
          <w:lang w:val="lt-LT"/>
        </w:rPr>
        <w:t>ių</w:t>
      </w:r>
      <w:r w:rsidR="00651332">
        <w:rPr>
          <w:rFonts w:asciiTheme="minorHAnsi" w:hAnsiTheme="minorHAnsi" w:cstheme="minorHAnsi"/>
          <w:lang w:val="lt-LT"/>
        </w:rPr>
        <w:t>, Tarnybos nuomone, įvertinus</w:t>
      </w:r>
      <w:r w:rsidR="00957E92">
        <w:rPr>
          <w:rFonts w:asciiTheme="minorHAnsi" w:hAnsiTheme="minorHAnsi" w:cstheme="minorHAnsi"/>
          <w:lang w:val="lt-LT"/>
        </w:rPr>
        <w:t xml:space="preserve"> </w:t>
      </w:r>
      <w:r w:rsidR="00D2671A">
        <w:rPr>
          <w:rFonts w:asciiTheme="minorHAnsi" w:hAnsiTheme="minorHAnsi" w:cstheme="minorHAnsi"/>
          <w:lang w:val="lt-LT"/>
        </w:rPr>
        <w:t>planuojamą</w:t>
      </w:r>
      <w:r w:rsidR="00957E92">
        <w:rPr>
          <w:rFonts w:asciiTheme="minorHAnsi" w:hAnsiTheme="minorHAnsi" w:cstheme="minorHAnsi"/>
          <w:lang w:val="lt-LT"/>
        </w:rPr>
        <w:t xml:space="preserve"> Pirkimo Nr. </w:t>
      </w:r>
      <w:r w:rsidR="00957E92" w:rsidRPr="00957E92">
        <w:rPr>
          <w:rFonts w:asciiTheme="minorHAnsi" w:hAnsiTheme="minorHAnsi" w:cstheme="minorHAnsi"/>
          <w:lang w:val="lt-LT"/>
        </w:rPr>
        <w:t>2 vert</w:t>
      </w:r>
      <w:r w:rsidR="00957E92">
        <w:rPr>
          <w:rFonts w:asciiTheme="minorHAnsi" w:hAnsiTheme="minorHAnsi" w:cstheme="minorHAnsi"/>
          <w:lang w:val="lt-LT"/>
        </w:rPr>
        <w:t>ę</w:t>
      </w:r>
      <w:r w:rsidR="00D2671A">
        <w:rPr>
          <w:rFonts w:asciiTheme="minorHAnsi" w:hAnsiTheme="minorHAnsi" w:cstheme="minorHAnsi"/>
          <w:lang w:val="lt-LT"/>
        </w:rPr>
        <w:t>,</w:t>
      </w:r>
      <w:r w:rsidR="00957E92">
        <w:rPr>
          <w:rFonts w:asciiTheme="minorHAnsi" w:hAnsiTheme="minorHAnsi" w:cstheme="minorHAnsi"/>
          <w:lang w:val="lt-LT"/>
        </w:rPr>
        <w:t xml:space="preserve"> </w:t>
      </w:r>
      <w:r w:rsidR="00651332">
        <w:rPr>
          <w:rFonts w:asciiTheme="minorHAnsi" w:hAnsiTheme="minorHAnsi" w:cstheme="minorHAnsi"/>
          <w:lang w:val="lt-LT"/>
        </w:rPr>
        <w:t xml:space="preserve">Perkančioji organizacija įsigyti Pirkimu Nr. 2 neturėtų </w:t>
      </w:r>
      <w:r w:rsidR="006427E3">
        <w:rPr>
          <w:rFonts w:asciiTheme="minorHAnsi" w:hAnsiTheme="minorHAnsi" w:cstheme="minorHAnsi"/>
          <w:lang w:val="lt-LT"/>
        </w:rPr>
        <w:t>objektyvių galimybių</w:t>
      </w:r>
      <w:r w:rsidR="00CF7FAA">
        <w:rPr>
          <w:rFonts w:asciiTheme="minorHAnsi" w:hAnsiTheme="minorHAnsi" w:cstheme="minorHAnsi"/>
          <w:lang w:val="lt-LT"/>
        </w:rPr>
        <w:t xml:space="preserve"> (atsižvelgiant į tai, jog </w:t>
      </w:r>
      <w:r w:rsidR="00D758FC">
        <w:rPr>
          <w:rFonts w:asciiTheme="minorHAnsi" w:hAnsiTheme="minorHAnsi" w:cstheme="minorHAnsi"/>
          <w:lang w:val="lt-LT"/>
        </w:rPr>
        <w:t xml:space="preserve">Perkančioji organizacija </w:t>
      </w:r>
      <w:r w:rsidR="00651332">
        <w:rPr>
          <w:rFonts w:asciiTheme="minorHAnsi" w:hAnsiTheme="minorHAnsi" w:cstheme="minorHAnsi"/>
          <w:lang w:val="lt-LT"/>
        </w:rPr>
        <w:t xml:space="preserve">siekia </w:t>
      </w:r>
      <w:r w:rsidR="00723CCA">
        <w:rPr>
          <w:rFonts w:asciiTheme="minorHAnsi" w:hAnsiTheme="minorHAnsi" w:cstheme="minorHAnsi"/>
          <w:lang w:val="lt-LT"/>
        </w:rPr>
        <w:t xml:space="preserve">įsigyti </w:t>
      </w:r>
      <w:r w:rsidR="00723CCA" w:rsidRPr="00723CCA">
        <w:rPr>
          <w:rFonts w:asciiTheme="minorHAnsi" w:hAnsiTheme="minorHAnsi" w:cstheme="minorHAnsi"/>
          <w:lang w:val="lt-LT"/>
        </w:rPr>
        <w:t>2</w:t>
      </w:r>
      <w:r w:rsidR="00723CCA">
        <w:rPr>
          <w:rFonts w:asciiTheme="minorHAnsi" w:hAnsiTheme="minorHAnsi" w:cstheme="minorHAnsi"/>
          <w:lang w:val="lt-LT"/>
        </w:rPr>
        <w:t xml:space="preserve"> naujos įrangos vienetus</w:t>
      </w:r>
      <w:r w:rsidR="00723CCA">
        <w:rPr>
          <w:rStyle w:val="FootnoteReference"/>
          <w:rFonts w:asciiTheme="minorHAnsi" w:hAnsiTheme="minorHAnsi" w:cstheme="minorHAnsi"/>
          <w:lang w:val="lt-LT"/>
        </w:rPr>
        <w:footnoteReference w:id="1"/>
      </w:r>
      <w:r w:rsidR="00CF7FAA">
        <w:rPr>
          <w:rFonts w:asciiTheme="minorHAnsi" w:hAnsiTheme="minorHAnsi" w:cstheme="minorHAnsi"/>
          <w:lang w:val="lt-LT"/>
        </w:rPr>
        <w:t>).</w:t>
      </w:r>
      <w:r w:rsidR="0007518E" w:rsidRPr="0007518E">
        <w:rPr>
          <w:rFonts w:asciiTheme="minorHAnsi" w:hAnsiTheme="minorHAnsi" w:cstheme="minorHAnsi"/>
          <w:lang w:val="lt-LT"/>
        </w:rPr>
        <w:t xml:space="preserve"> </w:t>
      </w:r>
      <w:r w:rsidR="00415A5E">
        <w:rPr>
          <w:rFonts w:asciiTheme="minorHAnsi" w:hAnsiTheme="minorHAnsi" w:cstheme="minorHAnsi"/>
          <w:lang w:val="lt-LT"/>
        </w:rPr>
        <w:t xml:space="preserve">Akcentuotina, jog </w:t>
      </w:r>
      <w:r w:rsidR="00C64FC5">
        <w:rPr>
          <w:rFonts w:asciiTheme="minorHAnsi" w:hAnsiTheme="minorHAnsi" w:cstheme="minorHAnsi"/>
          <w:lang w:val="lt-LT"/>
        </w:rPr>
        <w:t xml:space="preserve">aukštesnės pažangumo kategorijos (šiuo atveju ekspertinės arba </w:t>
      </w:r>
      <w:proofErr w:type="spellStart"/>
      <w:r w:rsidR="00C64FC5">
        <w:rPr>
          <w:rFonts w:asciiTheme="minorHAnsi" w:hAnsiTheme="minorHAnsi" w:cstheme="minorHAnsi"/>
          <w:lang w:val="lt-LT"/>
        </w:rPr>
        <w:t>premium</w:t>
      </w:r>
      <w:proofErr w:type="spellEnd"/>
      <w:r w:rsidR="00C64FC5">
        <w:rPr>
          <w:rFonts w:asciiTheme="minorHAnsi" w:hAnsiTheme="minorHAnsi" w:cstheme="minorHAnsi"/>
          <w:lang w:val="lt-LT"/>
        </w:rPr>
        <w:t xml:space="preserve"> kategorijos) </w:t>
      </w:r>
      <w:r w:rsidR="006F4546">
        <w:rPr>
          <w:rFonts w:asciiTheme="minorHAnsi" w:hAnsiTheme="minorHAnsi" w:cstheme="minorHAnsi"/>
          <w:lang w:val="lt-LT"/>
        </w:rPr>
        <w:t>įrang</w:t>
      </w:r>
      <w:r w:rsidR="002704CB">
        <w:rPr>
          <w:rFonts w:asciiTheme="minorHAnsi" w:hAnsiTheme="minorHAnsi" w:cstheme="minorHAnsi"/>
          <w:lang w:val="lt-LT"/>
        </w:rPr>
        <w:t>os</w:t>
      </w:r>
      <w:r w:rsidR="00651332">
        <w:rPr>
          <w:rFonts w:asciiTheme="minorHAnsi" w:hAnsiTheme="minorHAnsi" w:cstheme="minorHAnsi"/>
          <w:lang w:val="lt-LT"/>
        </w:rPr>
        <w:t xml:space="preserve"> </w:t>
      </w:r>
      <w:r w:rsidR="002704CB">
        <w:rPr>
          <w:rFonts w:asciiTheme="minorHAnsi" w:hAnsiTheme="minorHAnsi" w:cstheme="minorHAnsi"/>
          <w:lang w:val="lt-LT"/>
        </w:rPr>
        <w:t>at</w:t>
      </w:r>
      <w:r w:rsidR="002D3364">
        <w:rPr>
          <w:rFonts w:asciiTheme="minorHAnsi" w:hAnsiTheme="minorHAnsi" w:cstheme="minorHAnsi"/>
          <w:lang w:val="lt-LT"/>
        </w:rPr>
        <w:t>itiktis techninei specifikacijai</w:t>
      </w:r>
      <w:r w:rsidR="00651332">
        <w:rPr>
          <w:rFonts w:asciiTheme="minorHAnsi" w:hAnsiTheme="minorHAnsi" w:cstheme="minorHAnsi"/>
          <w:lang w:val="lt-LT"/>
        </w:rPr>
        <w:t xml:space="preserve"> negali būti vertinama</w:t>
      </w:r>
      <w:r w:rsidR="006A3899">
        <w:rPr>
          <w:rFonts w:asciiTheme="minorHAnsi" w:hAnsiTheme="minorHAnsi" w:cstheme="minorHAnsi"/>
          <w:lang w:val="lt-LT"/>
        </w:rPr>
        <w:t xml:space="preserve"> taip</w:t>
      </w:r>
      <w:r w:rsidR="002D3364">
        <w:rPr>
          <w:rFonts w:asciiTheme="minorHAnsi" w:hAnsiTheme="minorHAnsi" w:cstheme="minorHAnsi"/>
          <w:lang w:val="lt-LT"/>
        </w:rPr>
        <w:t xml:space="preserve">, </w:t>
      </w:r>
      <w:r w:rsidR="00651332">
        <w:rPr>
          <w:rFonts w:asciiTheme="minorHAnsi" w:hAnsiTheme="minorHAnsi" w:cstheme="minorHAnsi"/>
          <w:lang w:val="lt-LT"/>
        </w:rPr>
        <w:t xml:space="preserve">kad </w:t>
      </w:r>
      <w:r w:rsidR="0003284B">
        <w:rPr>
          <w:rFonts w:asciiTheme="minorHAnsi" w:hAnsiTheme="minorHAnsi" w:cstheme="minorHAnsi"/>
          <w:lang w:val="lt-LT"/>
        </w:rPr>
        <w:t>techninė specifikacij</w:t>
      </w:r>
      <w:r w:rsidR="00651332">
        <w:rPr>
          <w:rFonts w:asciiTheme="minorHAnsi" w:hAnsiTheme="minorHAnsi" w:cstheme="minorHAnsi"/>
          <w:lang w:val="lt-LT"/>
        </w:rPr>
        <w:t xml:space="preserve">a parengta tinkamai ir užtikrina </w:t>
      </w:r>
      <w:r w:rsidR="0003284B">
        <w:rPr>
          <w:rFonts w:asciiTheme="minorHAnsi" w:hAnsiTheme="minorHAnsi" w:cstheme="minorHAnsi"/>
          <w:lang w:val="lt-LT"/>
        </w:rPr>
        <w:t>konkurenc</w:t>
      </w:r>
      <w:r w:rsidR="00651332">
        <w:rPr>
          <w:rFonts w:asciiTheme="minorHAnsi" w:hAnsiTheme="minorHAnsi" w:cstheme="minorHAnsi"/>
          <w:lang w:val="lt-LT"/>
        </w:rPr>
        <w:t>iją. Atliekant r</w:t>
      </w:r>
      <w:r w:rsidR="009F06A7">
        <w:rPr>
          <w:rFonts w:asciiTheme="minorHAnsi" w:hAnsiTheme="minorHAnsi" w:cstheme="minorHAnsi"/>
          <w:lang w:val="lt-LT"/>
        </w:rPr>
        <w:t>inkos tyrim</w:t>
      </w:r>
      <w:r w:rsidR="00651332">
        <w:rPr>
          <w:rFonts w:asciiTheme="minorHAnsi" w:hAnsiTheme="minorHAnsi" w:cstheme="minorHAnsi"/>
          <w:lang w:val="lt-LT"/>
        </w:rPr>
        <w:t>ą</w:t>
      </w:r>
      <w:r w:rsidR="009F06A7">
        <w:rPr>
          <w:rFonts w:asciiTheme="minorHAnsi" w:hAnsiTheme="minorHAnsi" w:cstheme="minorHAnsi"/>
          <w:lang w:val="lt-LT"/>
        </w:rPr>
        <w:t xml:space="preserve"> turi būti vertinama lygiavertė, tos pačios pažangumo kategorijos įrang</w:t>
      </w:r>
      <w:r w:rsidR="00AF0219">
        <w:rPr>
          <w:rFonts w:asciiTheme="minorHAnsi" w:hAnsiTheme="minorHAnsi" w:cstheme="minorHAnsi"/>
          <w:lang w:val="lt-LT"/>
        </w:rPr>
        <w:t xml:space="preserve">a, atsižvelgiant į </w:t>
      </w:r>
      <w:r w:rsidR="00A61B1D">
        <w:rPr>
          <w:rFonts w:asciiTheme="minorHAnsi" w:hAnsiTheme="minorHAnsi" w:cstheme="minorHAnsi"/>
          <w:lang w:val="lt-LT"/>
        </w:rPr>
        <w:t xml:space="preserve">pirkimui skirtas lėšas. </w:t>
      </w:r>
      <w:r w:rsidR="00F74BF1">
        <w:rPr>
          <w:rFonts w:asciiTheme="minorHAnsi" w:hAnsiTheme="minorHAnsi" w:cstheme="minorHAnsi"/>
          <w:lang w:val="lt-LT"/>
        </w:rPr>
        <w:t>Nepaisant to, jog Perkančioji organizacija</w:t>
      </w:r>
      <w:r w:rsidR="00821106">
        <w:rPr>
          <w:rFonts w:asciiTheme="minorHAnsi" w:hAnsiTheme="minorHAnsi" w:cstheme="minorHAnsi"/>
          <w:lang w:val="lt-LT"/>
        </w:rPr>
        <w:t xml:space="preserve">, pakartotinai vykdydama </w:t>
      </w:r>
      <w:r w:rsidR="00FF6E2B">
        <w:rPr>
          <w:rFonts w:asciiTheme="minorHAnsi" w:hAnsiTheme="minorHAnsi" w:cstheme="minorHAnsi"/>
          <w:lang w:val="lt-LT"/>
        </w:rPr>
        <w:t xml:space="preserve">Pirkimą Nr. </w:t>
      </w:r>
      <w:r w:rsidR="00FF6E2B" w:rsidRPr="00FF6E2B">
        <w:rPr>
          <w:rFonts w:asciiTheme="minorHAnsi" w:hAnsiTheme="minorHAnsi" w:cstheme="minorHAnsi"/>
          <w:lang w:val="lt-LT"/>
        </w:rPr>
        <w:t xml:space="preserve">2 </w:t>
      </w:r>
      <w:r w:rsidR="00F74BF1">
        <w:rPr>
          <w:rFonts w:asciiTheme="minorHAnsi" w:hAnsiTheme="minorHAnsi" w:cstheme="minorHAnsi"/>
          <w:lang w:val="lt-LT"/>
        </w:rPr>
        <w:t xml:space="preserve">atliko </w:t>
      </w:r>
      <w:r w:rsidR="00FF6E2B">
        <w:rPr>
          <w:rFonts w:asciiTheme="minorHAnsi" w:hAnsiTheme="minorHAnsi" w:cstheme="minorHAnsi"/>
          <w:lang w:val="lt-LT"/>
        </w:rPr>
        <w:t>techninės specifikacijos korekcijas</w:t>
      </w:r>
      <w:r w:rsidR="00950A96">
        <w:rPr>
          <w:rFonts w:asciiTheme="minorHAnsi" w:hAnsiTheme="minorHAnsi" w:cstheme="minorHAnsi"/>
          <w:lang w:val="lt-LT"/>
        </w:rPr>
        <w:t xml:space="preserve">, bet </w:t>
      </w:r>
      <w:r w:rsidR="006A3899">
        <w:rPr>
          <w:rFonts w:asciiTheme="minorHAnsi" w:hAnsiTheme="minorHAnsi" w:cstheme="minorHAnsi"/>
          <w:lang w:val="lt-LT"/>
        </w:rPr>
        <w:t xml:space="preserve">įvertinus pateiktus dokumentus, darytina išvada, kad </w:t>
      </w:r>
      <w:r w:rsidR="00950A96">
        <w:rPr>
          <w:rFonts w:asciiTheme="minorHAnsi" w:hAnsiTheme="minorHAnsi" w:cstheme="minorHAnsi"/>
          <w:lang w:val="lt-LT"/>
        </w:rPr>
        <w:t>techninės specifikacijos reikalavimų visumą</w:t>
      </w:r>
      <w:r w:rsidR="006A3899">
        <w:rPr>
          <w:rFonts w:asciiTheme="minorHAnsi" w:hAnsiTheme="minorHAnsi" w:cstheme="minorHAnsi"/>
          <w:lang w:val="lt-LT"/>
        </w:rPr>
        <w:t xml:space="preserve">, vertinant </w:t>
      </w:r>
      <w:r w:rsidR="00281AD4">
        <w:rPr>
          <w:rFonts w:asciiTheme="minorHAnsi" w:hAnsiTheme="minorHAnsi" w:cstheme="minorHAnsi"/>
          <w:lang w:val="lt-LT"/>
        </w:rPr>
        <w:t>ekonomin</w:t>
      </w:r>
      <w:r w:rsidR="00D80AD4">
        <w:rPr>
          <w:rFonts w:asciiTheme="minorHAnsi" w:hAnsiTheme="minorHAnsi" w:cstheme="minorHAnsi"/>
          <w:lang w:val="lt-LT"/>
        </w:rPr>
        <w:t>ei</w:t>
      </w:r>
      <w:r w:rsidR="00736286">
        <w:rPr>
          <w:rFonts w:asciiTheme="minorHAnsi" w:hAnsiTheme="minorHAnsi" w:cstheme="minorHAnsi"/>
          <w:lang w:val="lt-LT"/>
        </w:rPr>
        <w:t xml:space="preserve"> kategorijai priskiriam</w:t>
      </w:r>
      <w:r w:rsidR="006A3899">
        <w:rPr>
          <w:rFonts w:asciiTheme="minorHAnsi" w:hAnsiTheme="minorHAnsi" w:cstheme="minorHAnsi"/>
          <w:lang w:val="lt-LT"/>
        </w:rPr>
        <w:t>ą</w:t>
      </w:r>
      <w:r w:rsidR="00736286">
        <w:rPr>
          <w:rFonts w:asciiTheme="minorHAnsi" w:hAnsiTheme="minorHAnsi" w:cstheme="minorHAnsi"/>
          <w:lang w:val="lt-LT"/>
        </w:rPr>
        <w:t xml:space="preserve"> įrang</w:t>
      </w:r>
      <w:r w:rsidR="006A3899">
        <w:rPr>
          <w:rFonts w:asciiTheme="minorHAnsi" w:hAnsiTheme="minorHAnsi" w:cstheme="minorHAnsi"/>
          <w:lang w:val="lt-LT"/>
        </w:rPr>
        <w:t>ą, šiuo atveju</w:t>
      </w:r>
      <w:r w:rsidR="00736286">
        <w:rPr>
          <w:rFonts w:asciiTheme="minorHAnsi" w:hAnsiTheme="minorHAnsi" w:cstheme="minorHAnsi"/>
          <w:lang w:val="lt-LT"/>
        </w:rPr>
        <w:t xml:space="preserve"> atitinka</w:t>
      </w:r>
      <w:r w:rsidR="00950A96">
        <w:rPr>
          <w:rFonts w:asciiTheme="minorHAnsi" w:hAnsiTheme="minorHAnsi" w:cstheme="minorHAnsi"/>
          <w:lang w:val="lt-LT"/>
        </w:rPr>
        <w:t xml:space="preserve"> tik </w:t>
      </w:r>
      <w:r w:rsidR="00A93E7D">
        <w:rPr>
          <w:rFonts w:asciiTheme="minorHAnsi" w:hAnsiTheme="minorHAnsi" w:cstheme="minorHAnsi"/>
          <w:lang w:val="lt-LT"/>
        </w:rPr>
        <w:t>vieninteli</w:t>
      </w:r>
      <w:r w:rsidR="0005502A">
        <w:rPr>
          <w:rFonts w:asciiTheme="minorHAnsi" w:hAnsiTheme="minorHAnsi" w:cstheme="minorHAnsi"/>
          <w:lang w:val="lt-LT"/>
        </w:rPr>
        <w:t>o gamintojo</w:t>
      </w:r>
      <w:r w:rsidR="00736286">
        <w:rPr>
          <w:rFonts w:asciiTheme="minorHAnsi" w:hAnsiTheme="minorHAnsi" w:cstheme="minorHAnsi"/>
          <w:lang w:val="lt-LT"/>
        </w:rPr>
        <w:t xml:space="preserve"> </w:t>
      </w:r>
      <w:proofErr w:type="spellStart"/>
      <w:r w:rsidR="00DA5D53" w:rsidRPr="00DA5D53">
        <w:rPr>
          <w:rFonts w:asciiTheme="minorHAnsi" w:hAnsiTheme="minorHAnsi" w:cstheme="minorHAnsi"/>
          <w:b/>
          <w:bCs/>
          <w:lang w:val="lt-LT"/>
        </w:rPr>
        <w:t>Mindray</w:t>
      </w:r>
      <w:proofErr w:type="spellEnd"/>
      <w:r w:rsidR="00DA5D53" w:rsidRPr="00DA5D53">
        <w:rPr>
          <w:rFonts w:asciiTheme="minorHAnsi" w:hAnsiTheme="minorHAnsi" w:cstheme="minorHAnsi"/>
          <w:b/>
          <w:bCs/>
          <w:lang w:val="lt-LT"/>
        </w:rPr>
        <w:t xml:space="preserve"> </w:t>
      </w:r>
      <w:proofErr w:type="spellStart"/>
      <w:r w:rsidR="00DA5D53" w:rsidRPr="00DA5D53">
        <w:rPr>
          <w:rFonts w:asciiTheme="minorHAnsi" w:hAnsiTheme="minorHAnsi" w:cstheme="minorHAnsi"/>
          <w:b/>
          <w:bCs/>
          <w:lang w:val="lt-LT"/>
        </w:rPr>
        <w:t>Consona</w:t>
      </w:r>
      <w:proofErr w:type="spellEnd"/>
      <w:r w:rsidR="00DA5D53" w:rsidRPr="00DA5D53">
        <w:rPr>
          <w:rFonts w:asciiTheme="minorHAnsi" w:hAnsiTheme="minorHAnsi" w:cstheme="minorHAnsi"/>
          <w:b/>
          <w:bCs/>
          <w:lang w:val="lt-LT"/>
        </w:rPr>
        <w:t xml:space="preserve"> </w:t>
      </w:r>
      <w:r w:rsidR="00F85214">
        <w:rPr>
          <w:rFonts w:asciiTheme="minorHAnsi" w:hAnsiTheme="minorHAnsi" w:cstheme="minorHAnsi"/>
          <w:b/>
          <w:bCs/>
          <w:lang w:val="lt-LT"/>
        </w:rPr>
        <w:t>serij</w:t>
      </w:r>
      <w:r w:rsidR="00B92ED3">
        <w:rPr>
          <w:rFonts w:asciiTheme="minorHAnsi" w:hAnsiTheme="minorHAnsi" w:cstheme="minorHAnsi"/>
          <w:b/>
          <w:bCs/>
          <w:lang w:val="lt-LT"/>
        </w:rPr>
        <w:t>os modeliai</w:t>
      </w:r>
      <w:r w:rsidR="0005502A">
        <w:rPr>
          <w:rFonts w:asciiTheme="minorHAnsi" w:hAnsiTheme="minorHAnsi" w:cstheme="minorHAnsi"/>
          <w:lang w:val="lt-LT"/>
        </w:rPr>
        <w:t>.</w:t>
      </w:r>
    </w:p>
    <w:p w14:paraId="6014B447" w14:textId="5C8FA1F2" w:rsidR="00A35AAD" w:rsidRDefault="002B438D" w:rsidP="00EF16F1">
      <w:pPr>
        <w:pStyle w:val="tajtip"/>
        <w:shd w:val="clear" w:color="auto" w:fill="FFFFFF"/>
        <w:ind w:firstLine="540"/>
        <w:contextualSpacing/>
        <w:rPr>
          <w:rFonts w:asciiTheme="minorHAnsi" w:hAnsiTheme="minorHAnsi" w:cstheme="minorHAnsi"/>
          <w:lang w:val="lt-LT"/>
        </w:rPr>
      </w:pPr>
      <w:r w:rsidRPr="00A35AAD">
        <w:rPr>
          <w:rFonts w:asciiTheme="minorHAnsi" w:hAnsiTheme="minorHAnsi" w:cstheme="minorHAnsi"/>
          <w:lang w:val="lt-LT"/>
        </w:rPr>
        <w:t>Įstatymo 37 straipsnio 3 dalis</w:t>
      </w:r>
      <w:r w:rsidRPr="00A35AAD">
        <w:rPr>
          <w:rFonts w:asciiTheme="minorHAnsi" w:hAnsiTheme="minorHAnsi" w:cstheme="minorHAnsi"/>
          <w:vertAlign w:val="superscript"/>
          <w:lang w:val="lt-LT"/>
        </w:rPr>
        <w:footnoteReference w:id="2"/>
      </w:r>
      <w:r w:rsidRPr="00A35AAD">
        <w:rPr>
          <w:rFonts w:asciiTheme="minorHAnsi" w:hAnsiTheme="minorHAnsi" w:cstheme="minorHAnsi"/>
          <w:lang w:val="lt-LT"/>
        </w:rPr>
        <w:t xml:space="preserve"> nustato, jog techninė specifikacija turi užtikrinti konkurenciją ir nediskriminuoti tiekėjų. Teismų praktikoje perkančiosioms organizacijoms pripažįstama didelė </w:t>
      </w:r>
      <w:proofErr w:type="spellStart"/>
      <w:r w:rsidRPr="00A35AAD">
        <w:rPr>
          <w:rFonts w:asciiTheme="minorHAnsi" w:hAnsiTheme="minorHAnsi" w:cstheme="minorHAnsi"/>
          <w:lang w:val="lt-LT"/>
        </w:rPr>
        <w:t>diskrecija</w:t>
      </w:r>
      <w:proofErr w:type="spellEnd"/>
      <w:r w:rsidRPr="00A35AAD">
        <w:rPr>
          <w:rFonts w:asciiTheme="minorHAnsi" w:hAnsiTheme="minorHAnsi" w:cstheme="minorHAnsi"/>
          <w:lang w:val="lt-LT"/>
        </w:rPr>
        <w:t xml:space="preserve">, nustatant techninės specifikacijos reikalavimus, nes jos geriausiai </w:t>
      </w:r>
      <w:r w:rsidRPr="00A35AAD">
        <w:rPr>
          <w:rFonts w:asciiTheme="minorHAnsi" w:hAnsiTheme="minorHAnsi" w:cstheme="minorHAnsi"/>
          <w:lang w:val="lt-LT"/>
        </w:rPr>
        <w:lastRenderedPageBreak/>
        <w:t>žino poreikį ir siekiamus rezultatus, tačiau kartu akcentuojama perkančiųjų organizacijų pareiga technines specifikacijas parengti taip, kad ekonominės veiklos vykdytojams būtų sudaromos vienodos galimybės dalyvauti pirkimo procedūroje ir nesudaroma nepagrįstų kliūčių, taikant konkrečiam ekonominės veiklos vykdytojui palankius reikalavimus</w:t>
      </w:r>
      <w:r w:rsidRPr="00A35AAD">
        <w:rPr>
          <w:rFonts w:asciiTheme="minorHAnsi" w:hAnsiTheme="minorHAnsi" w:cstheme="minorHAnsi"/>
          <w:vertAlign w:val="superscript"/>
          <w:lang w:val="lt-LT"/>
        </w:rPr>
        <w:footnoteReference w:id="3"/>
      </w:r>
      <w:r w:rsidRPr="00A35AAD">
        <w:rPr>
          <w:rFonts w:asciiTheme="minorHAnsi" w:hAnsiTheme="minorHAnsi" w:cstheme="minorHAnsi"/>
          <w:lang w:val="lt-LT"/>
        </w:rPr>
        <w:t>.</w:t>
      </w:r>
      <w:r w:rsidR="00EF16F1">
        <w:rPr>
          <w:rFonts w:asciiTheme="minorHAnsi" w:hAnsiTheme="minorHAnsi" w:cstheme="minorHAnsi"/>
          <w:lang w:val="lt-LT"/>
        </w:rPr>
        <w:t xml:space="preserve"> </w:t>
      </w:r>
      <w:r w:rsidR="000D54A5">
        <w:rPr>
          <w:rFonts w:asciiTheme="minorHAnsi" w:hAnsiTheme="minorHAnsi" w:cstheme="minorHAnsi"/>
          <w:lang w:val="lt-LT"/>
        </w:rPr>
        <w:t>Tarnyb</w:t>
      </w:r>
      <w:r w:rsidR="00377D74">
        <w:rPr>
          <w:rFonts w:asciiTheme="minorHAnsi" w:hAnsiTheme="minorHAnsi" w:cstheme="minorHAnsi"/>
          <w:lang w:val="lt-LT"/>
        </w:rPr>
        <w:t xml:space="preserve">a nenustatė (iš viešai skelbiamos informacijos ir duomenų), kad rinkoje siūlomi </w:t>
      </w:r>
      <w:r w:rsidR="00C4591A">
        <w:rPr>
          <w:rFonts w:asciiTheme="minorHAnsi" w:hAnsiTheme="minorHAnsi" w:cstheme="minorHAnsi"/>
          <w:lang w:val="lt-LT"/>
        </w:rPr>
        <w:t>kit</w:t>
      </w:r>
      <w:r w:rsidR="00377D74">
        <w:rPr>
          <w:rFonts w:asciiTheme="minorHAnsi" w:hAnsiTheme="minorHAnsi" w:cstheme="minorHAnsi"/>
          <w:lang w:val="lt-LT"/>
        </w:rPr>
        <w:t>ų</w:t>
      </w:r>
      <w:r w:rsidR="00C4591A">
        <w:rPr>
          <w:rFonts w:asciiTheme="minorHAnsi" w:hAnsiTheme="minorHAnsi" w:cstheme="minorHAnsi"/>
          <w:lang w:val="lt-LT"/>
        </w:rPr>
        <w:t xml:space="preserve"> gamintoj</w:t>
      </w:r>
      <w:r w:rsidR="00377D74">
        <w:rPr>
          <w:rFonts w:asciiTheme="minorHAnsi" w:hAnsiTheme="minorHAnsi" w:cstheme="minorHAnsi"/>
          <w:lang w:val="lt-LT"/>
        </w:rPr>
        <w:t xml:space="preserve">ų įrangos modeliai, kurie priskirtini </w:t>
      </w:r>
      <w:r w:rsidR="00232ABC">
        <w:rPr>
          <w:rFonts w:asciiTheme="minorHAnsi" w:hAnsiTheme="minorHAnsi" w:cstheme="minorHAnsi"/>
          <w:lang w:val="lt-LT"/>
        </w:rPr>
        <w:t>ekonominei kategorijai (</w:t>
      </w:r>
      <w:r w:rsidR="00377D74">
        <w:rPr>
          <w:rFonts w:asciiTheme="minorHAnsi" w:hAnsiTheme="minorHAnsi" w:cstheme="minorHAnsi"/>
          <w:lang w:val="lt-LT"/>
        </w:rPr>
        <w:t xml:space="preserve">buvo vertinta atsižvelgiant į </w:t>
      </w:r>
      <w:r w:rsidR="00232ABC">
        <w:rPr>
          <w:rFonts w:asciiTheme="minorHAnsi" w:hAnsiTheme="minorHAnsi" w:cstheme="minorHAnsi"/>
          <w:lang w:val="lt-LT"/>
        </w:rPr>
        <w:t xml:space="preserve">planuojamą </w:t>
      </w:r>
      <w:r w:rsidR="00521F37">
        <w:rPr>
          <w:rFonts w:asciiTheme="minorHAnsi" w:hAnsiTheme="minorHAnsi" w:cstheme="minorHAnsi"/>
          <w:lang w:val="lt-LT"/>
        </w:rPr>
        <w:t>Pirkimo Nr.</w:t>
      </w:r>
      <w:r w:rsidR="00521F37" w:rsidRPr="00521F37">
        <w:rPr>
          <w:rFonts w:asciiTheme="minorHAnsi" w:hAnsiTheme="minorHAnsi" w:cstheme="minorHAnsi"/>
          <w:lang w:val="lt-LT"/>
        </w:rPr>
        <w:t>2</w:t>
      </w:r>
      <w:r w:rsidR="00521F37">
        <w:rPr>
          <w:rFonts w:asciiTheme="minorHAnsi" w:hAnsiTheme="minorHAnsi" w:cstheme="minorHAnsi"/>
          <w:lang w:val="lt-LT"/>
        </w:rPr>
        <w:t xml:space="preserve"> vertę) </w:t>
      </w:r>
      <w:r w:rsidR="00C4591A">
        <w:rPr>
          <w:rFonts w:asciiTheme="minorHAnsi" w:hAnsiTheme="minorHAnsi" w:cstheme="minorHAnsi"/>
          <w:lang w:val="lt-LT"/>
        </w:rPr>
        <w:t>atiti</w:t>
      </w:r>
      <w:r w:rsidR="00377D74">
        <w:rPr>
          <w:rFonts w:asciiTheme="minorHAnsi" w:hAnsiTheme="minorHAnsi" w:cstheme="minorHAnsi"/>
          <w:lang w:val="lt-LT"/>
        </w:rPr>
        <w:t>nka</w:t>
      </w:r>
      <w:r w:rsidR="00C4591A">
        <w:rPr>
          <w:rFonts w:asciiTheme="minorHAnsi" w:hAnsiTheme="minorHAnsi" w:cstheme="minorHAnsi"/>
          <w:lang w:val="lt-LT"/>
        </w:rPr>
        <w:t xml:space="preserve"> </w:t>
      </w:r>
      <w:r w:rsidR="006D0355">
        <w:rPr>
          <w:rFonts w:asciiTheme="minorHAnsi" w:hAnsiTheme="minorHAnsi" w:cstheme="minorHAnsi"/>
          <w:lang w:val="lt-LT"/>
        </w:rPr>
        <w:t xml:space="preserve">Pirkimo Nr. </w:t>
      </w:r>
      <w:r w:rsidR="006D0355" w:rsidRPr="006D0355">
        <w:rPr>
          <w:rFonts w:asciiTheme="minorHAnsi" w:hAnsiTheme="minorHAnsi" w:cstheme="minorHAnsi"/>
          <w:lang w:val="lt-LT"/>
        </w:rPr>
        <w:t>2 technin</w:t>
      </w:r>
      <w:r w:rsidR="006D0355">
        <w:rPr>
          <w:rFonts w:asciiTheme="minorHAnsi" w:hAnsiTheme="minorHAnsi" w:cstheme="minorHAnsi"/>
          <w:lang w:val="lt-LT"/>
        </w:rPr>
        <w:t>ės specifikacijos reikalavimų visumą</w:t>
      </w:r>
      <w:r w:rsidR="001708EE">
        <w:rPr>
          <w:rFonts w:asciiTheme="minorHAnsi" w:hAnsiTheme="minorHAnsi" w:cstheme="minorHAnsi"/>
          <w:lang w:val="lt-LT"/>
        </w:rPr>
        <w:t xml:space="preserve">, o </w:t>
      </w:r>
      <w:r w:rsidR="00377D74">
        <w:rPr>
          <w:rFonts w:asciiTheme="minorHAnsi" w:hAnsiTheme="minorHAnsi" w:cstheme="minorHAnsi"/>
          <w:lang w:val="lt-LT"/>
        </w:rPr>
        <w:t xml:space="preserve">pati </w:t>
      </w:r>
      <w:r w:rsidR="009744C6">
        <w:rPr>
          <w:rFonts w:asciiTheme="minorHAnsi" w:hAnsiTheme="minorHAnsi" w:cstheme="minorHAnsi"/>
          <w:lang w:val="lt-LT"/>
        </w:rPr>
        <w:t>Perkančioji organizacija nepateikė įrodymų, kurie pagrįstų</w:t>
      </w:r>
      <w:r w:rsidR="00377D74">
        <w:rPr>
          <w:rFonts w:asciiTheme="minorHAnsi" w:hAnsiTheme="minorHAnsi" w:cstheme="minorHAnsi"/>
          <w:lang w:val="lt-LT"/>
        </w:rPr>
        <w:t xml:space="preserve"> ir įrodytų</w:t>
      </w:r>
      <w:r w:rsidR="009744C6">
        <w:rPr>
          <w:rFonts w:asciiTheme="minorHAnsi" w:hAnsiTheme="minorHAnsi" w:cstheme="minorHAnsi"/>
          <w:lang w:val="lt-LT"/>
        </w:rPr>
        <w:t xml:space="preserve">, jog </w:t>
      </w:r>
      <w:r w:rsidR="00DB4243">
        <w:rPr>
          <w:rFonts w:asciiTheme="minorHAnsi" w:hAnsiTheme="minorHAnsi" w:cstheme="minorHAnsi"/>
          <w:lang w:val="lt-LT"/>
        </w:rPr>
        <w:t xml:space="preserve">Pirkimo Nr. </w:t>
      </w:r>
      <w:r w:rsidR="00DB4243" w:rsidRPr="00DB4243">
        <w:rPr>
          <w:rFonts w:asciiTheme="minorHAnsi" w:hAnsiTheme="minorHAnsi" w:cstheme="minorHAnsi"/>
          <w:lang w:val="lt-LT"/>
        </w:rPr>
        <w:t xml:space="preserve">2 </w:t>
      </w:r>
      <w:r w:rsidR="001D0CBA">
        <w:rPr>
          <w:rFonts w:asciiTheme="minorHAnsi" w:hAnsiTheme="minorHAnsi" w:cstheme="minorHAnsi"/>
          <w:lang w:val="lt-LT"/>
        </w:rPr>
        <w:t>t</w:t>
      </w:r>
      <w:r w:rsidR="007F5C11">
        <w:rPr>
          <w:rFonts w:asciiTheme="minorHAnsi" w:hAnsiTheme="minorHAnsi" w:cstheme="minorHAnsi"/>
          <w:lang w:val="lt-LT"/>
        </w:rPr>
        <w:t>echninės specifikacijos reikalavimų visumą atitinka daugiau nei vien</w:t>
      </w:r>
      <w:r w:rsidR="00770EAB">
        <w:rPr>
          <w:rFonts w:asciiTheme="minorHAnsi" w:hAnsiTheme="minorHAnsi" w:cstheme="minorHAnsi"/>
          <w:lang w:val="lt-LT"/>
        </w:rPr>
        <w:t>o konkretaus gamintojo įranga</w:t>
      </w:r>
      <w:r w:rsidR="008B1D9D">
        <w:rPr>
          <w:rFonts w:asciiTheme="minorHAnsi" w:hAnsiTheme="minorHAnsi" w:cstheme="minorHAnsi"/>
          <w:lang w:val="lt-LT"/>
        </w:rPr>
        <w:t xml:space="preserve">, </w:t>
      </w:r>
      <w:r w:rsidR="008B1D9D" w:rsidRPr="008B1D9D">
        <w:rPr>
          <w:rFonts w:asciiTheme="minorHAnsi" w:hAnsiTheme="minorHAnsi" w:cstheme="minorHAnsi"/>
          <w:lang w:val="lt-LT"/>
        </w:rPr>
        <w:t>vertinant pagal įrangos kategoriją</w:t>
      </w:r>
      <w:r w:rsidR="00377D74">
        <w:rPr>
          <w:rFonts w:asciiTheme="minorHAnsi" w:hAnsiTheme="minorHAnsi" w:cstheme="minorHAnsi"/>
          <w:lang w:val="lt-LT"/>
        </w:rPr>
        <w:t xml:space="preserve"> bei </w:t>
      </w:r>
      <w:r w:rsidR="008B1D9D" w:rsidRPr="008B1D9D">
        <w:rPr>
          <w:rFonts w:asciiTheme="minorHAnsi" w:hAnsiTheme="minorHAnsi" w:cstheme="minorHAnsi"/>
          <w:lang w:val="lt-LT"/>
        </w:rPr>
        <w:t>orientacinę kainą lygiaverčius prietaisus</w:t>
      </w:r>
      <w:r w:rsidR="00770EAB">
        <w:rPr>
          <w:rFonts w:asciiTheme="minorHAnsi" w:hAnsiTheme="minorHAnsi" w:cstheme="minorHAnsi"/>
          <w:lang w:val="lt-LT"/>
        </w:rPr>
        <w:t>.</w:t>
      </w:r>
    </w:p>
    <w:p w14:paraId="3B8AD03D" w14:textId="77777777" w:rsidR="00B32158" w:rsidRDefault="00B32158" w:rsidP="008B1D9D">
      <w:pPr>
        <w:pStyle w:val="tajtip"/>
        <w:shd w:val="clear" w:color="auto" w:fill="FFFFFF"/>
        <w:ind w:firstLine="540"/>
        <w:contextualSpacing/>
        <w:rPr>
          <w:rFonts w:asciiTheme="minorHAnsi" w:hAnsiTheme="minorHAnsi" w:cstheme="minorHAnsi"/>
          <w:lang w:val="lt-LT"/>
        </w:rPr>
      </w:pPr>
    </w:p>
    <w:p w14:paraId="3C5D27AF" w14:textId="30207317" w:rsidR="00EE50D4" w:rsidRDefault="00EE50D4" w:rsidP="00EE50D4">
      <w:pPr>
        <w:pStyle w:val="tajtip"/>
        <w:numPr>
          <w:ilvl w:val="0"/>
          <w:numId w:val="3"/>
        </w:numPr>
        <w:shd w:val="clear" w:color="auto" w:fill="FFFFFF"/>
        <w:contextualSpacing/>
        <w:rPr>
          <w:rFonts w:asciiTheme="minorHAnsi" w:hAnsiTheme="minorHAnsi" w:cstheme="minorHAnsi"/>
          <w:b/>
          <w:bCs/>
          <w:lang w:val="lt-LT"/>
        </w:rPr>
      </w:pPr>
      <w:r w:rsidRPr="00EE50D4">
        <w:rPr>
          <w:rFonts w:asciiTheme="minorHAnsi" w:hAnsiTheme="minorHAnsi" w:cstheme="minorHAnsi"/>
          <w:b/>
          <w:bCs/>
          <w:lang w:val="lt-LT"/>
        </w:rPr>
        <w:t>Dėl ekonominio naudingumo vertinimo kriterijų</w:t>
      </w:r>
    </w:p>
    <w:p w14:paraId="1C795DEB" w14:textId="0D44B522" w:rsidR="00282702" w:rsidRDefault="00026AC1" w:rsidP="007C1A3D">
      <w:pPr>
        <w:pStyle w:val="tajtip"/>
        <w:shd w:val="clear" w:color="auto" w:fill="FFFFFF"/>
        <w:ind w:firstLine="540"/>
        <w:contextualSpacing/>
        <w:rPr>
          <w:rFonts w:asciiTheme="minorHAnsi" w:hAnsiTheme="minorHAnsi" w:cstheme="minorHAnsi"/>
          <w:b/>
          <w:bCs/>
          <w:lang w:val="lt-LT"/>
        </w:rPr>
      </w:pPr>
      <w:r w:rsidRPr="00A143C1">
        <w:rPr>
          <w:rFonts w:ascii="Calibri" w:hAnsi="Calibri" w:cs="Calibri"/>
          <w:lang w:val="lt-LT"/>
        </w:rPr>
        <w:t xml:space="preserve">Specialiųjų Pirkimo sąlygų </w:t>
      </w:r>
      <w:r w:rsidR="00C76448" w:rsidRPr="00A143C1">
        <w:rPr>
          <w:rFonts w:ascii="Calibri" w:hAnsi="Calibri" w:cs="Calibri"/>
          <w:lang w:val="lt-LT"/>
        </w:rPr>
        <w:t xml:space="preserve">7 priede „Pasiūlymų vertinimo kriterijai ir sąlygos“ </w:t>
      </w:r>
      <w:r w:rsidR="00EE50D4" w:rsidRPr="00A143C1">
        <w:rPr>
          <w:rFonts w:ascii="Calibri" w:hAnsi="Calibri" w:cs="Calibri"/>
          <w:lang w:val="lt-LT"/>
        </w:rPr>
        <w:t>nurodyti kokybės kriterijai</w:t>
      </w:r>
      <w:r w:rsidR="0015452D" w:rsidRPr="00A143C1">
        <w:rPr>
          <w:rFonts w:ascii="Calibri" w:hAnsi="Calibri" w:cs="Calibri"/>
          <w:lang w:val="lt-LT"/>
        </w:rPr>
        <w:t xml:space="preserve"> (</w:t>
      </w:r>
      <w:r w:rsidR="007D593B" w:rsidRPr="00A143C1">
        <w:rPr>
          <w:rFonts w:ascii="Calibri" w:hAnsi="Calibri" w:cs="Calibri"/>
          <w:lang w:val="lt-LT"/>
        </w:rPr>
        <w:t>l</w:t>
      </w:r>
      <w:r w:rsidR="00ED449F" w:rsidRPr="00180BDB">
        <w:rPr>
          <w:rFonts w:ascii="Calibri" w:hAnsi="Calibri" w:cs="Calibri"/>
          <w:bCs/>
          <w:lang w:val="lt-LT"/>
        </w:rPr>
        <w:t>ietimui jautriame ultragarso sistemos valdymo ekrane galimybė realiu laiku atvaizduoti skenuojamą vaizdą</w:t>
      </w:r>
      <w:r w:rsidR="007D593B" w:rsidRPr="00A143C1">
        <w:rPr>
          <w:rFonts w:ascii="Calibri" w:hAnsi="Calibri" w:cs="Calibri"/>
          <w:lang w:val="lt-LT"/>
        </w:rPr>
        <w:t>; padidintos skiriamosios gebos režimas, pasirinktoje intereso zonoje (B režime) ≥ 3 lygių</w:t>
      </w:r>
      <w:r w:rsidR="00473AC4" w:rsidRPr="00A143C1">
        <w:rPr>
          <w:rFonts w:ascii="Calibri" w:hAnsi="Calibri" w:cs="Calibri"/>
          <w:lang w:val="lt-LT"/>
        </w:rPr>
        <w:t>; p</w:t>
      </w:r>
      <w:r w:rsidR="00473AC4" w:rsidRPr="00180BDB">
        <w:rPr>
          <w:rFonts w:ascii="Calibri" w:hAnsi="Calibri" w:cs="Calibri"/>
          <w:lang w:val="lt-LT"/>
        </w:rPr>
        <w:t>apildomi radiologiniai tyrimai:</w:t>
      </w:r>
      <w:r w:rsidR="00473AC4" w:rsidRPr="00A143C1">
        <w:rPr>
          <w:rFonts w:ascii="Calibri" w:hAnsi="Calibri" w:cs="Calibri"/>
          <w:lang w:val="lt-LT"/>
        </w:rPr>
        <w:t xml:space="preserve"> </w:t>
      </w:r>
      <w:proofErr w:type="spellStart"/>
      <w:r w:rsidR="00473AC4" w:rsidRPr="00180BDB">
        <w:rPr>
          <w:rFonts w:ascii="Calibri" w:hAnsi="Calibri" w:cs="Calibri"/>
          <w:lang w:val="lt-LT"/>
        </w:rPr>
        <w:t>Strain</w:t>
      </w:r>
      <w:proofErr w:type="spellEnd"/>
      <w:r w:rsidR="00473AC4" w:rsidRPr="00180BDB">
        <w:rPr>
          <w:rFonts w:ascii="Calibri" w:hAnsi="Calibri" w:cs="Calibri"/>
          <w:lang w:val="lt-LT"/>
        </w:rPr>
        <w:t xml:space="preserve"> </w:t>
      </w:r>
      <w:proofErr w:type="spellStart"/>
      <w:r w:rsidR="00473AC4" w:rsidRPr="00180BDB">
        <w:rPr>
          <w:rFonts w:ascii="Calibri" w:hAnsi="Calibri" w:cs="Calibri"/>
          <w:lang w:val="lt-LT"/>
        </w:rPr>
        <w:t>elastografijos</w:t>
      </w:r>
      <w:proofErr w:type="spellEnd"/>
      <w:r w:rsidR="00473AC4" w:rsidRPr="00180BDB">
        <w:rPr>
          <w:rFonts w:ascii="Calibri" w:hAnsi="Calibri" w:cs="Calibri"/>
          <w:lang w:val="lt-LT"/>
        </w:rPr>
        <w:t xml:space="preserve"> modulis</w:t>
      </w:r>
      <w:r w:rsidR="00473AC4" w:rsidRPr="00A143C1">
        <w:rPr>
          <w:rFonts w:ascii="Calibri" w:hAnsi="Calibri" w:cs="Calibri"/>
          <w:lang w:val="lt-LT"/>
        </w:rPr>
        <w:t xml:space="preserve">; </w:t>
      </w:r>
      <w:r w:rsidR="00473AC4" w:rsidRPr="00A143C1">
        <w:rPr>
          <w:rFonts w:ascii="Calibri" w:hAnsi="Calibri" w:cs="Calibri"/>
          <w:bCs/>
          <w:lang w:val="lt-LT"/>
        </w:rPr>
        <w:t>v</w:t>
      </w:r>
      <w:r w:rsidR="00473AC4" w:rsidRPr="00180BDB">
        <w:rPr>
          <w:rFonts w:ascii="Calibri" w:hAnsi="Calibri" w:cs="Calibri"/>
          <w:bCs/>
          <w:lang w:val="lt-LT"/>
        </w:rPr>
        <w:t>aldymo panelė nuo centrinės padėties pasukama 90° į kairę ir 90° į dešinę</w:t>
      </w:r>
      <w:r w:rsidR="00473AC4" w:rsidRPr="00A143C1">
        <w:rPr>
          <w:rFonts w:ascii="Calibri" w:hAnsi="Calibri" w:cs="Calibri"/>
          <w:bCs/>
          <w:lang w:val="lt-LT"/>
        </w:rPr>
        <w:t>; s</w:t>
      </w:r>
      <w:r w:rsidR="00473AC4" w:rsidRPr="00180BDB">
        <w:rPr>
          <w:rFonts w:ascii="Calibri" w:hAnsi="Calibri" w:cs="Calibri"/>
          <w:bCs/>
          <w:lang w:val="lt-LT"/>
        </w:rPr>
        <w:t xml:space="preserve">istemos skleidžiamas triukšmas darbo metu ne didesnis nei 30 </w:t>
      </w:r>
      <w:proofErr w:type="spellStart"/>
      <w:r w:rsidR="00473AC4" w:rsidRPr="00180BDB">
        <w:rPr>
          <w:rFonts w:ascii="Calibri" w:hAnsi="Calibri" w:cs="Calibri"/>
          <w:bCs/>
          <w:lang w:val="lt-LT"/>
        </w:rPr>
        <w:t>dB</w:t>
      </w:r>
      <w:proofErr w:type="spellEnd"/>
      <w:r w:rsidR="00473AC4" w:rsidRPr="00A143C1">
        <w:rPr>
          <w:rFonts w:ascii="Calibri" w:hAnsi="Calibri" w:cs="Calibri"/>
          <w:bCs/>
          <w:lang w:val="lt-LT"/>
        </w:rPr>
        <w:t>)</w:t>
      </w:r>
      <w:r w:rsidR="00A143C1">
        <w:rPr>
          <w:rFonts w:ascii="Calibri" w:hAnsi="Calibri" w:cs="Calibri"/>
          <w:bCs/>
          <w:lang w:val="lt-LT"/>
        </w:rPr>
        <w:t xml:space="preserve">, kuriems </w:t>
      </w:r>
      <w:r w:rsidR="001F53F8" w:rsidRPr="001F53F8">
        <w:rPr>
          <w:rFonts w:asciiTheme="minorHAnsi" w:hAnsiTheme="minorHAnsi" w:cstheme="minorHAnsi"/>
          <w:lang w:val="lt-LT"/>
        </w:rPr>
        <w:t>suteik</w:t>
      </w:r>
      <w:r w:rsidR="001F53F8">
        <w:rPr>
          <w:rFonts w:asciiTheme="minorHAnsi" w:hAnsiTheme="minorHAnsi" w:cstheme="minorHAnsi"/>
          <w:lang w:val="lt-LT"/>
        </w:rPr>
        <w:t xml:space="preserve">iamas </w:t>
      </w:r>
      <w:r w:rsidR="00360176">
        <w:rPr>
          <w:rFonts w:asciiTheme="minorHAnsi" w:hAnsiTheme="minorHAnsi" w:cstheme="minorHAnsi"/>
          <w:lang w:val="lt-LT"/>
        </w:rPr>
        <w:t>30</w:t>
      </w:r>
      <w:r w:rsidR="001F53F8">
        <w:rPr>
          <w:rFonts w:asciiTheme="minorHAnsi" w:hAnsiTheme="minorHAnsi" w:cstheme="minorHAnsi"/>
          <w:lang w:val="lt-LT"/>
        </w:rPr>
        <w:t xml:space="preserve"> </w:t>
      </w:r>
      <w:r w:rsidR="001F53F8" w:rsidRPr="001F53F8">
        <w:rPr>
          <w:rFonts w:asciiTheme="minorHAnsi" w:hAnsiTheme="minorHAnsi" w:cstheme="minorHAnsi"/>
          <w:lang w:val="lt-LT"/>
        </w:rPr>
        <w:t>iš 100 lyginam</w:t>
      </w:r>
      <w:r w:rsidR="001F53F8">
        <w:rPr>
          <w:rFonts w:asciiTheme="minorHAnsi" w:hAnsiTheme="minorHAnsi" w:cstheme="minorHAnsi"/>
          <w:lang w:val="lt-LT"/>
        </w:rPr>
        <w:t xml:space="preserve">asis svoris </w:t>
      </w:r>
      <w:r w:rsidR="001F53F8" w:rsidRPr="001F53F8">
        <w:rPr>
          <w:rFonts w:asciiTheme="minorHAnsi" w:hAnsiTheme="minorHAnsi" w:cstheme="minorHAnsi"/>
          <w:lang w:val="lt-LT"/>
        </w:rPr>
        <w:t>ekonominio naudingumo įvertinime</w:t>
      </w:r>
      <w:r w:rsidR="001F53F8">
        <w:rPr>
          <w:rFonts w:asciiTheme="minorHAnsi" w:hAnsiTheme="minorHAnsi" w:cstheme="minorHAnsi"/>
          <w:lang w:val="lt-LT"/>
        </w:rPr>
        <w:t>.</w:t>
      </w:r>
      <w:r w:rsidR="00360176">
        <w:rPr>
          <w:rFonts w:asciiTheme="minorHAnsi" w:hAnsiTheme="minorHAnsi" w:cstheme="minorHAnsi"/>
          <w:lang w:val="lt-LT"/>
        </w:rPr>
        <w:t xml:space="preserve"> </w:t>
      </w:r>
      <w:r w:rsidR="00F63859">
        <w:rPr>
          <w:rFonts w:asciiTheme="minorHAnsi" w:hAnsiTheme="minorHAnsi" w:cstheme="minorHAnsi"/>
          <w:lang w:val="lt-LT"/>
        </w:rPr>
        <w:t>Pagal Tarnybos turimus duomenis, pasirinkti kokybės kriterijai orientuoti</w:t>
      </w:r>
      <w:r w:rsidR="00377D74">
        <w:rPr>
          <w:rFonts w:asciiTheme="minorHAnsi" w:hAnsiTheme="minorHAnsi" w:cstheme="minorHAnsi"/>
          <w:lang w:val="lt-LT"/>
        </w:rPr>
        <w:t xml:space="preserve"> būtent </w:t>
      </w:r>
      <w:r w:rsidR="00F63859">
        <w:rPr>
          <w:rFonts w:asciiTheme="minorHAnsi" w:hAnsiTheme="minorHAnsi" w:cstheme="minorHAnsi"/>
          <w:lang w:val="lt-LT"/>
        </w:rPr>
        <w:t xml:space="preserve">į </w:t>
      </w:r>
      <w:proofErr w:type="spellStart"/>
      <w:r w:rsidR="00F63859" w:rsidRPr="00F63859">
        <w:rPr>
          <w:rFonts w:asciiTheme="minorHAnsi" w:hAnsiTheme="minorHAnsi" w:cstheme="minorHAnsi"/>
          <w:b/>
          <w:bCs/>
          <w:lang w:val="lt-LT"/>
        </w:rPr>
        <w:t>Mindray</w:t>
      </w:r>
      <w:proofErr w:type="spellEnd"/>
      <w:r w:rsidR="00F63859" w:rsidRPr="00F63859">
        <w:rPr>
          <w:rFonts w:asciiTheme="minorHAnsi" w:hAnsiTheme="minorHAnsi" w:cstheme="minorHAnsi"/>
          <w:b/>
          <w:bCs/>
          <w:lang w:val="lt-LT"/>
        </w:rPr>
        <w:t xml:space="preserve"> </w:t>
      </w:r>
      <w:proofErr w:type="spellStart"/>
      <w:r w:rsidR="00F63859" w:rsidRPr="00F63859">
        <w:rPr>
          <w:rFonts w:asciiTheme="minorHAnsi" w:hAnsiTheme="minorHAnsi" w:cstheme="minorHAnsi"/>
          <w:b/>
          <w:bCs/>
          <w:lang w:val="lt-LT"/>
        </w:rPr>
        <w:t>Consona</w:t>
      </w:r>
      <w:proofErr w:type="spellEnd"/>
      <w:r w:rsidR="00F63859" w:rsidRPr="00F63859">
        <w:rPr>
          <w:rFonts w:asciiTheme="minorHAnsi" w:hAnsiTheme="minorHAnsi" w:cstheme="minorHAnsi"/>
          <w:b/>
          <w:bCs/>
          <w:lang w:val="lt-LT"/>
        </w:rPr>
        <w:t xml:space="preserve"> serijos modeli</w:t>
      </w:r>
      <w:r w:rsidR="00F63859">
        <w:rPr>
          <w:rFonts w:asciiTheme="minorHAnsi" w:hAnsiTheme="minorHAnsi" w:cstheme="minorHAnsi"/>
          <w:b/>
          <w:bCs/>
          <w:lang w:val="lt-LT"/>
        </w:rPr>
        <w:t>us</w:t>
      </w:r>
      <w:r w:rsidR="00BC2792">
        <w:rPr>
          <w:rFonts w:asciiTheme="minorHAnsi" w:hAnsiTheme="minorHAnsi" w:cstheme="minorHAnsi"/>
          <w:b/>
          <w:bCs/>
          <w:lang w:val="lt-LT"/>
        </w:rPr>
        <w:t>.</w:t>
      </w:r>
    </w:p>
    <w:p w14:paraId="25A9DD2F" w14:textId="77777777" w:rsidR="007C1A3D" w:rsidRDefault="007C1A3D" w:rsidP="007C1A3D">
      <w:pPr>
        <w:pStyle w:val="tajtip"/>
        <w:shd w:val="clear" w:color="auto" w:fill="FFFFFF"/>
        <w:ind w:firstLine="540"/>
        <w:contextualSpacing/>
        <w:rPr>
          <w:rFonts w:asciiTheme="minorHAnsi" w:hAnsiTheme="minorHAnsi" w:cstheme="minorHAnsi"/>
          <w:b/>
          <w:bCs/>
          <w:lang w:val="lt-LT"/>
        </w:rPr>
      </w:pPr>
    </w:p>
    <w:p w14:paraId="347983C2" w14:textId="08B6F578" w:rsidR="00302DA1" w:rsidRDefault="00EE50D4" w:rsidP="009B714F">
      <w:pPr>
        <w:pStyle w:val="tajtip"/>
        <w:shd w:val="clear" w:color="auto" w:fill="FFFFFF"/>
        <w:ind w:firstLine="540"/>
        <w:contextualSpacing/>
        <w:rPr>
          <w:rFonts w:asciiTheme="minorHAnsi" w:hAnsiTheme="minorHAnsi" w:cstheme="minorHAnsi"/>
          <w:lang w:val="lt-LT"/>
        </w:rPr>
      </w:pPr>
      <w:r w:rsidRPr="00EE50D4">
        <w:rPr>
          <w:rFonts w:asciiTheme="minorHAnsi" w:hAnsiTheme="minorHAnsi" w:cstheme="minorHAnsi"/>
          <w:lang w:val="lt-LT"/>
        </w:rPr>
        <w:t>Įstatymo 37 straipsnio 3 dalyje nurodyta, jog „Techninė specifikacija turi užtikrinti konkurenciją ir nediskriminuoti tiekėjų“, o pagal 55 straipsnio 5 dalį, pasirinkti pasiūlymų vertinimo kriterijai neturi Perkančiajai organizacijai suteikti neribotos pasirinkimo laisvės ir turi užtikrinti veiksmingą tiekėjų konkurenciją.</w:t>
      </w:r>
      <w:r w:rsidR="007C1A3D">
        <w:rPr>
          <w:rFonts w:asciiTheme="minorHAnsi" w:hAnsiTheme="minorHAnsi" w:cstheme="minorHAnsi"/>
          <w:lang w:val="lt-LT"/>
        </w:rPr>
        <w:t xml:space="preserve"> </w:t>
      </w:r>
      <w:r w:rsidRPr="00EE50D4">
        <w:rPr>
          <w:rFonts w:asciiTheme="minorHAnsi" w:hAnsiTheme="minorHAnsi" w:cstheme="minorHAnsi"/>
          <w:lang w:val="lt-LT"/>
        </w:rPr>
        <w:t xml:space="preserve">Įstatyme </w:t>
      </w:r>
      <w:r w:rsidR="007C1A3D">
        <w:rPr>
          <w:rFonts w:asciiTheme="minorHAnsi" w:hAnsiTheme="minorHAnsi" w:cstheme="minorHAnsi"/>
          <w:lang w:val="lt-LT"/>
        </w:rPr>
        <w:t xml:space="preserve">taip pat </w:t>
      </w:r>
      <w:r w:rsidRPr="00EE50D4">
        <w:rPr>
          <w:rFonts w:asciiTheme="minorHAnsi" w:hAnsiTheme="minorHAnsi" w:cstheme="minorHAnsi"/>
          <w:lang w:val="lt-LT"/>
        </w:rPr>
        <w:t>yra įtvirtinta pareiga pirkimams skiriamas lėšas naudoti racionaliai, o vykdant pirkimą užtikrinti Įstatyme įtvirtintų principų laikymąsi.</w:t>
      </w:r>
    </w:p>
    <w:p w14:paraId="17C9101C" w14:textId="1FE58244" w:rsidR="007E5C08" w:rsidRDefault="00EE50D4" w:rsidP="002715D8">
      <w:pPr>
        <w:pStyle w:val="tajtip"/>
        <w:shd w:val="clear" w:color="auto" w:fill="FFFFFF"/>
        <w:ind w:firstLine="540"/>
        <w:contextualSpacing/>
        <w:rPr>
          <w:rFonts w:asciiTheme="minorHAnsi" w:hAnsiTheme="minorHAnsi" w:cstheme="minorHAnsi"/>
          <w:lang w:val="lt-LT"/>
        </w:rPr>
      </w:pPr>
      <w:r w:rsidRPr="00095287">
        <w:rPr>
          <w:rFonts w:asciiTheme="minorHAnsi" w:hAnsiTheme="minorHAnsi" w:cstheme="minorHAnsi"/>
          <w:lang w:val="lt-LT"/>
        </w:rPr>
        <w:t xml:space="preserve">Nagrinėjamu atveju nesant įrodymų, jog Pirkimo </w:t>
      </w:r>
      <w:r w:rsidR="001D0CBA">
        <w:rPr>
          <w:rFonts w:asciiTheme="minorHAnsi" w:hAnsiTheme="minorHAnsi" w:cstheme="minorHAnsi"/>
          <w:lang w:val="lt-LT"/>
        </w:rPr>
        <w:t>t</w:t>
      </w:r>
      <w:r w:rsidRPr="00095287">
        <w:rPr>
          <w:rFonts w:asciiTheme="minorHAnsi" w:hAnsiTheme="minorHAnsi" w:cstheme="minorHAnsi"/>
          <w:lang w:val="lt-LT"/>
        </w:rPr>
        <w:t>echninės specifikacijos reikalavimų visumą atitinka daugiau nei vieno konkretaus gamintojo modelis</w:t>
      </w:r>
      <w:r w:rsidR="002715D8">
        <w:rPr>
          <w:rFonts w:asciiTheme="minorHAnsi" w:hAnsiTheme="minorHAnsi" w:cstheme="minorHAnsi"/>
          <w:lang w:val="lt-LT"/>
        </w:rPr>
        <w:t>, vertinant</w:t>
      </w:r>
      <w:r w:rsidR="002715D8" w:rsidRPr="002715D8">
        <w:rPr>
          <w:rFonts w:asciiTheme="minorHAnsi" w:eastAsiaTheme="minorHAnsi" w:hAnsiTheme="minorHAnsi" w:cstheme="minorHAnsi"/>
          <w:sz w:val="22"/>
          <w:szCs w:val="22"/>
          <w:lang w:val="lt-LT"/>
        </w:rPr>
        <w:t xml:space="preserve"> </w:t>
      </w:r>
      <w:r w:rsidR="002715D8" w:rsidRPr="002715D8">
        <w:rPr>
          <w:rFonts w:asciiTheme="minorHAnsi" w:hAnsiTheme="minorHAnsi" w:cstheme="minorHAnsi"/>
          <w:lang w:val="lt-LT"/>
        </w:rPr>
        <w:t>tos pačios pažangumo kategorijos įrang</w:t>
      </w:r>
      <w:r w:rsidR="002715D8">
        <w:rPr>
          <w:rFonts w:asciiTheme="minorHAnsi" w:hAnsiTheme="minorHAnsi" w:cstheme="minorHAnsi"/>
          <w:lang w:val="lt-LT"/>
        </w:rPr>
        <w:t>ą</w:t>
      </w:r>
      <w:r w:rsidR="002715D8" w:rsidRPr="002715D8">
        <w:rPr>
          <w:rFonts w:asciiTheme="minorHAnsi" w:hAnsiTheme="minorHAnsi" w:cstheme="minorHAnsi"/>
          <w:lang w:val="lt-LT"/>
        </w:rPr>
        <w:t xml:space="preserve">, atsižvelgiant į </w:t>
      </w:r>
      <w:r w:rsidR="00377D74">
        <w:rPr>
          <w:rFonts w:asciiTheme="minorHAnsi" w:hAnsiTheme="minorHAnsi" w:cstheme="minorHAnsi"/>
          <w:lang w:val="lt-LT"/>
        </w:rPr>
        <w:t>P</w:t>
      </w:r>
      <w:r w:rsidR="002715D8" w:rsidRPr="002715D8">
        <w:rPr>
          <w:rFonts w:asciiTheme="minorHAnsi" w:hAnsiTheme="minorHAnsi" w:cstheme="minorHAnsi"/>
          <w:lang w:val="lt-LT"/>
        </w:rPr>
        <w:t xml:space="preserve">irkimui </w:t>
      </w:r>
      <w:r w:rsidR="00377D74">
        <w:rPr>
          <w:rFonts w:asciiTheme="minorHAnsi" w:hAnsiTheme="minorHAnsi" w:cstheme="minorHAnsi"/>
          <w:lang w:val="lt-LT"/>
        </w:rPr>
        <w:t xml:space="preserve">Nr. 2 </w:t>
      </w:r>
      <w:r w:rsidR="002715D8" w:rsidRPr="002715D8">
        <w:rPr>
          <w:rFonts w:asciiTheme="minorHAnsi" w:hAnsiTheme="minorHAnsi" w:cstheme="minorHAnsi"/>
          <w:lang w:val="lt-LT"/>
        </w:rPr>
        <w:t>skirtas lėšas</w:t>
      </w:r>
      <w:r w:rsidRPr="00095287">
        <w:rPr>
          <w:rFonts w:asciiTheme="minorHAnsi" w:hAnsiTheme="minorHAnsi" w:cstheme="minorHAnsi"/>
          <w:lang w:val="lt-LT"/>
        </w:rPr>
        <w:t xml:space="preserve">, Tarnyba rekomenduoja Pirkimą </w:t>
      </w:r>
      <w:r w:rsidR="002715D8">
        <w:rPr>
          <w:rFonts w:asciiTheme="minorHAnsi" w:hAnsiTheme="minorHAnsi" w:cstheme="minorHAnsi"/>
          <w:lang w:val="lt-LT"/>
        </w:rPr>
        <w:t xml:space="preserve">Nr. </w:t>
      </w:r>
      <w:r w:rsidR="002715D8" w:rsidRPr="002715D8">
        <w:rPr>
          <w:rFonts w:asciiTheme="minorHAnsi" w:hAnsiTheme="minorHAnsi" w:cstheme="minorHAnsi"/>
          <w:lang w:val="lt-LT"/>
        </w:rPr>
        <w:t xml:space="preserve">2 </w:t>
      </w:r>
      <w:r w:rsidRPr="00095287">
        <w:rPr>
          <w:rFonts w:asciiTheme="minorHAnsi" w:hAnsiTheme="minorHAnsi" w:cstheme="minorHAnsi"/>
          <w:lang w:val="lt-LT"/>
        </w:rPr>
        <w:t>nutraukti</w:t>
      </w:r>
      <w:r w:rsidR="00377D74">
        <w:rPr>
          <w:rFonts w:asciiTheme="minorHAnsi" w:hAnsiTheme="minorHAnsi" w:cstheme="minorHAnsi"/>
          <w:lang w:val="lt-LT"/>
        </w:rPr>
        <w:t xml:space="preserve"> arba pateikti Tarnybai konkrečius įrodymus, patvirtinančius, kad techninės specifikacijos visumą atitinka ne vieno gamintojo įranga</w:t>
      </w:r>
      <w:r w:rsidR="002715D8">
        <w:rPr>
          <w:rFonts w:asciiTheme="minorHAnsi" w:hAnsiTheme="minorHAnsi" w:cstheme="minorHAnsi"/>
          <w:lang w:val="lt-LT"/>
        </w:rPr>
        <w:t>.</w:t>
      </w:r>
    </w:p>
    <w:p w14:paraId="6693C263" w14:textId="4041146A" w:rsidR="002F40CC" w:rsidRDefault="002F40CC" w:rsidP="00643669">
      <w:pPr>
        <w:pStyle w:val="tajtip"/>
        <w:shd w:val="clear" w:color="auto" w:fill="FFFFFF"/>
        <w:ind w:firstLine="540"/>
        <w:contextualSpacing/>
        <w:rPr>
          <w:rFonts w:asciiTheme="minorHAnsi" w:hAnsiTheme="minorHAnsi" w:cstheme="minorHAnsi"/>
          <w:lang w:val="lt-LT"/>
        </w:rPr>
      </w:pPr>
      <w:r w:rsidRPr="002F40CC">
        <w:rPr>
          <w:rFonts w:asciiTheme="minorHAnsi" w:hAnsiTheme="minorHAnsi" w:cstheme="minorHAnsi"/>
          <w:lang w:val="lt-LT"/>
        </w:rPr>
        <w:t xml:space="preserve">Pažymėtina, kad visais atvejais sprendimą dėl tolimesnio Pirkimo </w:t>
      </w:r>
      <w:r w:rsidR="00B11B4E">
        <w:rPr>
          <w:rFonts w:asciiTheme="minorHAnsi" w:hAnsiTheme="minorHAnsi" w:cstheme="minorHAnsi"/>
          <w:lang w:val="lt-LT"/>
        </w:rPr>
        <w:t xml:space="preserve">Nr. </w:t>
      </w:r>
      <w:r w:rsidR="00B11B4E" w:rsidRPr="00B11B4E">
        <w:rPr>
          <w:rFonts w:asciiTheme="minorHAnsi" w:hAnsiTheme="minorHAnsi" w:cstheme="minorHAnsi"/>
          <w:lang w:val="lt-LT"/>
        </w:rPr>
        <w:t xml:space="preserve">2 </w:t>
      </w:r>
      <w:r w:rsidRPr="002F40CC">
        <w:rPr>
          <w:rFonts w:asciiTheme="minorHAnsi" w:hAnsiTheme="minorHAnsi" w:cstheme="minorHAnsi"/>
          <w:lang w:val="lt-LT"/>
        </w:rPr>
        <w:t>procedūr</w:t>
      </w:r>
      <w:r w:rsidR="001D0CBA">
        <w:rPr>
          <w:rFonts w:asciiTheme="minorHAnsi" w:hAnsiTheme="minorHAnsi" w:cstheme="minorHAnsi"/>
          <w:lang w:val="lt-LT"/>
        </w:rPr>
        <w:t>os</w:t>
      </w:r>
      <w:r w:rsidRPr="002F40CC">
        <w:rPr>
          <w:rFonts w:asciiTheme="minorHAnsi" w:hAnsiTheme="minorHAnsi" w:cstheme="minorHAnsi"/>
          <w:lang w:val="lt-LT"/>
        </w:rPr>
        <w:t xml:space="preserve"> vykdymo ar nutraukimo priima pati Perkančioji organizacija, nes Tarnybos pateikta Rekomendacija nėra privalomojo pobūdžio įpareigojimas, tačiau Perkančiajai organizacijai, neatsižvelgus į Rekomendaciją, yra sprendžiamas klausimas dėl Pirkimo perdavimo išsamiam vertinimui. Atkreiptinas dėmesys, kad Įstatymo 36 straipsnio 6 dalyje nustatyta, kad „&lt;...&gt; Tarptautinių pirkimų atveju negali būti daromi tokie esminiai pirkimo sąlygų pakeitimai, dėl kurių būtų buvę galima leisti dalyvauti kitiems kandidatams, negu iš pradžių atrinktiesiems, arba pirkimo procedūra būtų pritraukusi daugiau dalyvių.“</w:t>
      </w:r>
    </w:p>
    <w:sectPr w:rsidR="002F40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CF301" w14:textId="77777777" w:rsidR="00C462BE" w:rsidRDefault="00C462BE" w:rsidP="00054927">
      <w:pPr>
        <w:spacing w:after="0" w:line="240" w:lineRule="auto"/>
      </w:pPr>
      <w:r>
        <w:separator/>
      </w:r>
    </w:p>
  </w:endnote>
  <w:endnote w:type="continuationSeparator" w:id="0">
    <w:p w14:paraId="6D7C30AB" w14:textId="77777777" w:rsidR="00C462BE" w:rsidRDefault="00C462BE" w:rsidP="0005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57955" w14:textId="77777777" w:rsidR="00C462BE" w:rsidRDefault="00C462BE" w:rsidP="00054927">
      <w:pPr>
        <w:spacing w:after="0" w:line="240" w:lineRule="auto"/>
      </w:pPr>
      <w:r>
        <w:separator/>
      </w:r>
    </w:p>
  </w:footnote>
  <w:footnote w:type="continuationSeparator" w:id="0">
    <w:p w14:paraId="686426EF" w14:textId="77777777" w:rsidR="00C462BE" w:rsidRDefault="00C462BE" w:rsidP="00054927">
      <w:pPr>
        <w:spacing w:after="0" w:line="240" w:lineRule="auto"/>
      </w:pPr>
      <w:r>
        <w:continuationSeparator/>
      </w:r>
    </w:p>
  </w:footnote>
  <w:footnote w:id="1">
    <w:p w14:paraId="2761C675" w14:textId="7BFEAE78" w:rsidR="00723CCA" w:rsidRDefault="00723CCA">
      <w:pPr>
        <w:pStyle w:val="FootnoteText"/>
      </w:pPr>
      <w:r>
        <w:rPr>
          <w:rStyle w:val="FootnoteReference"/>
        </w:rPr>
        <w:footnoteRef/>
      </w:r>
      <w:r>
        <w:t xml:space="preserve"> Techninės specifikacijos (Pirkimo </w:t>
      </w:r>
      <w:r w:rsidR="00740FD5">
        <w:t xml:space="preserve">specialiųjų sąlygų </w:t>
      </w:r>
      <w:r w:rsidR="00824AE9">
        <w:t>2 priedas).</w:t>
      </w:r>
    </w:p>
  </w:footnote>
  <w:footnote w:id="2">
    <w:p w14:paraId="55B219C7" w14:textId="77777777" w:rsidR="002B438D" w:rsidRPr="00402C3D" w:rsidRDefault="002B438D" w:rsidP="002B438D">
      <w:pPr>
        <w:pStyle w:val="FootnoteText"/>
        <w:rPr>
          <w:rFonts w:ascii="Calibri" w:hAnsi="Calibri" w:cs="Calibri"/>
        </w:rPr>
      </w:pPr>
      <w:r>
        <w:rPr>
          <w:rStyle w:val="FootnoteReference"/>
        </w:rPr>
        <w:footnoteRef/>
      </w:r>
      <w:r w:rsidRPr="00AB12DD">
        <w:t xml:space="preserve"> </w:t>
      </w:r>
      <w:r w:rsidRPr="00402C3D">
        <w:rPr>
          <w:rFonts w:ascii="Calibri" w:hAnsi="Calibri" w:cs="Calibri"/>
        </w:rPr>
        <w:t>Įgyvendinanti Europos parlamento ir Tarybos 2014 m. vasario 26 d. direktyvos 2014/24/ES dėl viešųjų pirkimų, kuria panaikinama Direktyva 2004/18/EB 42 straipsnio 2 dalį: „&lt;...&gt;Techninėmis specifikacijomis ekonominės veiklos vykdytojams sudaromos vienodos galimybės dalyvauti pirkimo procedūroje ir nesudaromos nepagrįstos kliūtys atverti viešuosius pirkimus konkurencijai.“</w:t>
      </w:r>
    </w:p>
  </w:footnote>
  <w:footnote w:id="3">
    <w:p w14:paraId="2C93D969" w14:textId="4FCBD410" w:rsidR="002B438D" w:rsidRPr="00402C3D" w:rsidRDefault="002B438D" w:rsidP="002B438D">
      <w:pPr>
        <w:pStyle w:val="FootnoteText"/>
        <w:rPr>
          <w:rFonts w:ascii="Calibri" w:hAnsi="Calibri" w:cs="Calibri"/>
        </w:rPr>
      </w:pPr>
      <w:r w:rsidRPr="00402C3D">
        <w:rPr>
          <w:rStyle w:val="FootnoteReference"/>
        </w:rPr>
        <w:footnoteRef/>
      </w:r>
      <w:r w:rsidRPr="00402C3D">
        <w:t xml:space="preserve"> </w:t>
      </w:r>
      <w:r w:rsidRPr="00402C3D">
        <w:rPr>
          <w:rFonts w:ascii="Calibri" w:hAnsi="Calibri" w:cs="Calibri"/>
        </w:rPr>
        <w:t>L</w:t>
      </w:r>
      <w:r w:rsidR="00397444">
        <w:rPr>
          <w:rFonts w:ascii="Calibri" w:hAnsi="Calibri" w:cs="Calibri"/>
        </w:rPr>
        <w:t xml:space="preserve">ietuvos </w:t>
      </w:r>
      <w:r w:rsidRPr="00402C3D">
        <w:rPr>
          <w:rFonts w:ascii="Calibri" w:hAnsi="Calibri" w:cs="Calibri"/>
        </w:rPr>
        <w:t>A</w:t>
      </w:r>
      <w:r w:rsidR="00397444">
        <w:rPr>
          <w:rFonts w:ascii="Calibri" w:hAnsi="Calibri" w:cs="Calibri"/>
        </w:rPr>
        <w:t>ukščiausiojo Teismo</w:t>
      </w:r>
      <w:r w:rsidRPr="00402C3D">
        <w:rPr>
          <w:rFonts w:ascii="Calibri" w:hAnsi="Calibri" w:cs="Calibri"/>
        </w:rPr>
        <w:t xml:space="preserve"> 2019 m. sausio 2 d. nutartis civilinėje byloje Nr. e3K-3-32-378/2019.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D25CF3"/>
    <w:multiLevelType w:val="multilevel"/>
    <w:tmpl w:val="3D7E74A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B6E0601"/>
    <w:multiLevelType w:val="hybridMultilevel"/>
    <w:tmpl w:val="D288574C"/>
    <w:lvl w:ilvl="0" w:tplc="569AA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DF3F00"/>
    <w:multiLevelType w:val="hybridMultilevel"/>
    <w:tmpl w:val="A7003D4C"/>
    <w:lvl w:ilvl="0" w:tplc="3CD89D00">
      <w:start w:val="1"/>
      <w:numFmt w:val="decimal"/>
      <w:lvlText w:val="%1)"/>
      <w:lvlJc w:val="left"/>
      <w:pPr>
        <w:ind w:left="54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4801128"/>
    <w:multiLevelType w:val="hybridMultilevel"/>
    <w:tmpl w:val="DDA6AB40"/>
    <w:lvl w:ilvl="0" w:tplc="16504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FA15E5"/>
    <w:multiLevelType w:val="multilevel"/>
    <w:tmpl w:val="50125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36587056">
    <w:abstractNumId w:val="1"/>
  </w:num>
  <w:num w:numId="2" w16cid:durableId="144709971">
    <w:abstractNumId w:val="0"/>
  </w:num>
  <w:num w:numId="3" w16cid:durableId="1794403475">
    <w:abstractNumId w:val="2"/>
  </w:num>
  <w:num w:numId="4" w16cid:durableId="1410150409">
    <w:abstractNumId w:val="3"/>
  </w:num>
  <w:num w:numId="5" w16cid:durableId="1002389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15"/>
    <w:rsid w:val="00003A0B"/>
    <w:rsid w:val="00003B87"/>
    <w:rsid w:val="00004A26"/>
    <w:rsid w:val="00005C17"/>
    <w:rsid w:val="000118E2"/>
    <w:rsid w:val="0001645D"/>
    <w:rsid w:val="00021CC0"/>
    <w:rsid w:val="0002483B"/>
    <w:rsid w:val="000261A8"/>
    <w:rsid w:val="00026AC1"/>
    <w:rsid w:val="00027236"/>
    <w:rsid w:val="00031A27"/>
    <w:rsid w:val="0003284B"/>
    <w:rsid w:val="000377BF"/>
    <w:rsid w:val="00054927"/>
    <w:rsid w:val="0005502A"/>
    <w:rsid w:val="00074ECA"/>
    <w:rsid w:val="0007518E"/>
    <w:rsid w:val="00075BF9"/>
    <w:rsid w:val="000761C0"/>
    <w:rsid w:val="00093BF4"/>
    <w:rsid w:val="00095287"/>
    <w:rsid w:val="000A6A80"/>
    <w:rsid w:val="000B2196"/>
    <w:rsid w:val="000C2C7D"/>
    <w:rsid w:val="000C5BE3"/>
    <w:rsid w:val="000D54A5"/>
    <w:rsid w:val="000E69E0"/>
    <w:rsid w:val="000F68A3"/>
    <w:rsid w:val="000F7E13"/>
    <w:rsid w:val="00117516"/>
    <w:rsid w:val="00122230"/>
    <w:rsid w:val="001263B8"/>
    <w:rsid w:val="00132405"/>
    <w:rsid w:val="0013375D"/>
    <w:rsid w:val="00134B4B"/>
    <w:rsid w:val="00137B37"/>
    <w:rsid w:val="00142EF4"/>
    <w:rsid w:val="00151755"/>
    <w:rsid w:val="0015452D"/>
    <w:rsid w:val="00161283"/>
    <w:rsid w:val="00164D71"/>
    <w:rsid w:val="00167B6F"/>
    <w:rsid w:val="001708EE"/>
    <w:rsid w:val="001718AF"/>
    <w:rsid w:val="00180BDB"/>
    <w:rsid w:val="00187CF2"/>
    <w:rsid w:val="001A7BBE"/>
    <w:rsid w:val="001B279B"/>
    <w:rsid w:val="001C47F5"/>
    <w:rsid w:val="001C4AD6"/>
    <w:rsid w:val="001D0CBA"/>
    <w:rsid w:val="001D3C60"/>
    <w:rsid w:val="001D7D28"/>
    <w:rsid w:val="001E2265"/>
    <w:rsid w:val="001E2330"/>
    <w:rsid w:val="001E2B27"/>
    <w:rsid w:val="001F096F"/>
    <w:rsid w:val="001F28F9"/>
    <w:rsid w:val="001F53F8"/>
    <w:rsid w:val="0020042E"/>
    <w:rsid w:val="0020294A"/>
    <w:rsid w:val="00207B42"/>
    <w:rsid w:val="00214541"/>
    <w:rsid w:val="0021757F"/>
    <w:rsid w:val="00220637"/>
    <w:rsid w:val="00221750"/>
    <w:rsid w:val="00232ABC"/>
    <w:rsid w:val="00232E0F"/>
    <w:rsid w:val="002472F4"/>
    <w:rsid w:val="002545D6"/>
    <w:rsid w:val="002600E1"/>
    <w:rsid w:val="0026173C"/>
    <w:rsid w:val="002635D4"/>
    <w:rsid w:val="00266ED6"/>
    <w:rsid w:val="002704CB"/>
    <w:rsid w:val="002715D8"/>
    <w:rsid w:val="00271E0D"/>
    <w:rsid w:val="00280B7F"/>
    <w:rsid w:val="00281AD4"/>
    <w:rsid w:val="00282702"/>
    <w:rsid w:val="0028646C"/>
    <w:rsid w:val="002914C1"/>
    <w:rsid w:val="002A0627"/>
    <w:rsid w:val="002A07FE"/>
    <w:rsid w:val="002B00B9"/>
    <w:rsid w:val="002B438D"/>
    <w:rsid w:val="002C15C8"/>
    <w:rsid w:val="002C6814"/>
    <w:rsid w:val="002C6F6F"/>
    <w:rsid w:val="002C73BA"/>
    <w:rsid w:val="002D1F8A"/>
    <w:rsid w:val="002D2E71"/>
    <w:rsid w:val="002D3364"/>
    <w:rsid w:val="002D4D99"/>
    <w:rsid w:val="002D71C4"/>
    <w:rsid w:val="002E1948"/>
    <w:rsid w:val="002E3F8A"/>
    <w:rsid w:val="002F351F"/>
    <w:rsid w:val="002F40CC"/>
    <w:rsid w:val="00302DA1"/>
    <w:rsid w:val="00303591"/>
    <w:rsid w:val="00304EC5"/>
    <w:rsid w:val="00322562"/>
    <w:rsid w:val="0032725C"/>
    <w:rsid w:val="00331331"/>
    <w:rsid w:val="00337A1D"/>
    <w:rsid w:val="00337AA0"/>
    <w:rsid w:val="00340A63"/>
    <w:rsid w:val="00342F65"/>
    <w:rsid w:val="003446E8"/>
    <w:rsid w:val="003452DD"/>
    <w:rsid w:val="00360176"/>
    <w:rsid w:val="00363AE9"/>
    <w:rsid w:val="00366ACB"/>
    <w:rsid w:val="00371B50"/>
    <w:rsid w:val="0037513A"/>
    <w:rsid w:val="00377D74"/>
    <w:rsid w:val="00394735"/>
    <w:rsid w:val="00397444"/>
    <w:rsid w:val="003A0781"/>
    <w:rsid w:val="003A1135"/>
    <w:rsid w:val="003A4FE2"/>
    <w:rsid w:val="003C3D26"/>
    <w:rsid w:val="003C4D9A"/>
    <w:rsid w:val="003D3F92"/>
    <w:rsid w:val="003D72A0"/>
    <w:rsid w:val="003E0FF0"/>
    <w:rsid w:val="003E343B"/>
    <w:rsid w:val="004016EF"/>
    <w:rsid w:val="0040265C"/>
    <w:rsid w:val="004063A8"/>
    <w:rsid w:val="00413080"/>
    <w:rsid w:val="00415A5E"/>
    <w:rsid w:val="00426F26"/>
    <w:rsid w:val="00433B5E"/>
    <w:rsid w:val="0043463F"/>
    <w:rsid w:val="0045069F"/>
    <w:rsid w:val="00452EC7"/>
    <w:rsid w:val="00454231"/>
    <w:rsid w:val="00455250"/>
    <w:rsid w:val="0046034C"/>
    <w:rsid w:val="00461481"/>
    <w:rsid w:val="004661C1"/>
    <w:rsid w:val="0047247E"/>
    <w:rsid w:val="00473AC4"/>
    <w:rsid w:val="00480006"/>
    <w:rsid w:val="004953AB"/>
    <w:rsid w:val="004954AA"/>
    <w:rsid w:val="004A214D"/>
    <w:rsid w:val="004A433A"/>
    <w:rsid w:val="004B18DB"/>
    <w:rsid w:val="004B1A28"/>
    <w:rsid w:val="004B4205"/>
    <w:rsid w:val="004C2493"/>
    <w:rsid w:val="004C653A"/>
    <w:rsid w:val="004D3BD7"/>
    <w:rsid w:val="004D51E4"/>
    <w:rsid w:val="004E3616"/>
    <w:rsid w:val="004F5CDF"/>
    <w:rsid w:val="004F7BC6"/>
    <w:rsid w:val="005002FC"/>
    <w:rsid w:val="005007EA"/>
    <w:rsid w:val="00501E36"/>
    <w:rsid w:val="005022E4"/>
    <w:rsid w:val="005027F1"/>
    <w:rsid w:val="00503DFE"/>
    <w:rsid w:val="00515ED5"/>
    <w:rsid w:val="00521F37"/>
    <w:rsid w:val="00534451"/>
    <w:rsid w:val="00535E7B"/>
    <w:rsid w:val="005406E3"/>
    <w:rsid w:val="005449A0"/>
    <w:rsid w:val="005461BF"/>
    <w:rsid w:val="00550D68"/>
    <w:rsid w:val="0055672D"/>
    <w:rsid w:val="00561AB3"/>
    <w:rsid w:val="00571009"/>
    <w:rsid w:val="005838B3"/>
    <w:rsid w:val="005867D1"/>
    <w:rsid w:val="00591002"/>
    <w:rsid w:val="0059448F"/>
    <w:rsid w:val="005951D9"/>
    <w:rsid w:val="005A1E3B"/>
    <w:rsid w:val="005A230F"/>
    <w:rsid w:val="005A6497"/>
    <w:rsid w:val="005B4ADE"/>
    <w:rsid w:val="005E692D"/>
    <w:rsid w:val="005F57C7"/>
    <w:rsid w:val="00610E10"/>
    <w:rsid w:val="00613296"/>
    <w:rsid w:val="00615CC5"/>
    <w:rsid w:val="00615EE6"/>
    <w:rsid w:val="00617F42"/>
    <w:rsid w:val="00626825"/>
    <w:rsid w:val="00627D85"/>
    <w:rsid w:val="00631FCC"/>
    <w:rsid w:val="00636EE5"/>
    <w:rsid w:val="006427E3"/>
    <w:rsid w:val="00643669"/>
    <w:rsid w:val="00651332"/>
    <w:rsid w:val="00653E52"/>
    <w:rsid w:val="00655CB3"/>
    <w:rsid w:val="006641B1"/>
    <w:rsid w:val="00665FD8"/>
    <w:rsid w:val="0067673C"/>
    <w:rsid w:val="00682F11"/>
    <w:rsid w:val="00683B53"/>
    <w:rsid w:val="0068425F"/>
    <w:rsid w:val="00692115"/>
    <w:rsid w:val="00696C02"/>
    <w:rsid w:val="006A1AFB"/>
    <w:rsid w:val="006A2821"/>
    <w:rsid w:val="006A3899"/>
    <w:rsid w:val="006A605C"/>
    <w:rsid w:val="006D026E"/>
    <w:rsid w:val="006D0355"/>
    <w:rsid w:val="006D05DE"/>
    <w:rsid w:val="006D38F0"/>
    <w:rsid w:val="006D488E"/>
    <w:rsid w:val="006D7D76"/>
    <w:rsid w:val="006E106D"/>
    <w:rsid w:val="006E3A7F"/>
    <w:rsid w:val="006F2E80"/>
    <w:rsid w:val="006F3D68"/>
    <w:rsid w:val="006F4546"/>
    <w:rsid w:val="006F53D4"/>
    <w:rsid w:val="007124AE"/>
    <w:rsid w:val="0071485A"/>
    <w:rsid w:val="00716684"/>
    <w:rsid w:val="00716B2C"/>
    <w:rsid w:val="00723CCA"/>
    <w:rsid w:val="00730524"/>
    <w:rsid w:val="007317D1"/>
    <w:rsid w:val="0073238F"/>
    <w:rsid w:val="00732ED4"/>
    <w:rsid w:val="007331E6"/>
    <w:rsid w:val="00736286"/>
    <w:rsid w:val="00740FD5"/>
    <w:rsid w:val="0075102B"/>
    <w:rsid w:val="00752009"/>
    <w:rsid w:val="00764FB1"/>
    <w:rsid w:val="00766B5E"/>
    <w:rsid w:val="00770EAB"/>
    <w:rsid w:val="00773A1C"/>
    <w:rsid w:val="00776514"/>
    <w:rsid w:val="0077711D"/>
    <w:rsid w:val="00791D6A"/>
    <w:rsid w:val="00793047"/>
    <w:rsid w:val="0079387D"/>
    <w:rsid w:val="00794B15"/>
    <w:rsid w:val="00797B8E"/>
    <w:rsid w:val="007A274D"/>
    <w:rsid w:val="007A6E2A"/>
    <w:rsid w:val="007A7E76"/>
    <w:rsid w:val="007B254A"/>
    <w:rsid w:val="007B45FE"/>
    <w:rsid w:val="007C11DF"/>
    <w:rsid w:val="007C1A3D"/>
    <w:rsid w:val="007D1C09"/>
    <w:rsid w:val="007D593B"/>
    <w:rsid w:val="007D6908"/>
    <w:rsid w:val="007E3042"/>
    <w:rsid w:val="007E5C08"/>
    <w:rsid w:val="007F2454"/>
    <w:rsid w:val="007F2735"/>
    <w:rsid w:val="007F5C11"/>
    <w:rsid w:val="007F7264"/>
    <w:rsid w:val="00803717"/>
    <w:rsid w:val="00811F43"/>
    <w:rsid w:val="0081511A"/>
    <w:rsid w:val="00821106"/>
    <w:rsid w:val="0082196F"/>
    <w:rsid w:val="00824AE9"/>
    <w:rsid w:val="00850913"/>
    <w:rsid w:val="008668D9"/>
    <w:rsid w:val="00870205"/>
    <w:rsid w:val="00876189"/>
    <w:rsid w:val="008765BE"/>
    <w:rsid w:val="008819CD"/>
    <w:rsid w:val="008859A0"/>
    <w:rsid w:val="008872A3"/>
    <w:rsid w:val="00892335"/>
    <w:rsid w:val="008A336C"/>
    <w:rsid w:val="008B1D9D"/>
    <w:rsid w:val="008C09F9"/>
    <w:rsid w:val="008C0F33"/>
    <w:rsid w:val="008D4614"/>
    <w:rsid w:val="008E1FC6"/>
    <w:rsid w:val="00900897"/>
    <w:rsid w:val="00901C62"/>
    <w:rsid w:val="0090634B"/>
    <w:rsid w:val="009123FC"/>
    <w:rsid w:val="00914793"/>
    <w:rsid w:val="00920D60"/>
    <w:rsid w:val="00924309"/>
    <w:rsid w:val="00926B93"/>
    <w:rsid w:val="0093034B"/>
    <w:rsid w:val="00931D7A"/>
    <w:rsid w:val="00934F3D"/>
    <w:rsid w:val="00943AE6"/>
    <w:rsid w:val="0094453A"/>
    <w:rsid w:val="00946373"/>
    <w:rsid w:val="00950921"/>
    <w:rsid w:val="00950A96"/>
    <w:rsid w:val="00952244"/>
    <w:rsid w:val="00955180"/>
    <w:rsid w:val="00957E92"/>
    <w:rsid w:val="00963928"/>
    <w:rsid w:val="00971043"/>
    <w:rsid w:val="00972A9B"/>
    <w:rsid w:val="009744C6"/>
    <w:rsid w:val="00990699"/>
    <w:rsid w:val="00991906"/>
    <w:rsid w:val="00996E37"/>
    <w:rsid w:val="009B105F"/>
    <w:rsid w:val="009B1A86"/>
    <w:rsid w:val="009B67C8"/>
    <w:rsid w:val="009B714F"/>
    <w:rsid w:val="009C5040"/>
    <w:rsid w:val="009C6614"/>
    <w:rsid w:val="009D1FC4"/>
    <w:rsid w:val="009E4C33"/>
    <w:rsid w:val="009E7D72"/>
    <w:rsid w:val="009F06A7"/>
    <w:rsid w:val="009F3D88"/>
    <w:rsid w:val="009F3E62"/>
    <w:rsid w:val="00A143C1"/>
    <w:rsid w:val="00A250C2"/>
    <w:rsid w:val="00A35208"/>
    <w:rsid w:val="00A35AAD"/>
    <w:rsid w:val="00A5070B"/>
    <w:rsid w:val="00A61B1D"/>
    <w:rsid w:val="00A93E7D"/>
    <w:rsid w:val="00A94836"/>
    <w:rsid w:val="00A9644D"/>
    <w:rsid w:val="00A97770"/>
    <w:rsid w:val="00AA0FE8"/>
    <w:rsid w:val="00AA3221"/>
    <w:rsid w:val="00AA33DE"/>
    <w:rsid w:val="00AA6932"/>
    <w:rsid w:val="00AC07C8"/>
    <w:rsid w:val="00AC5413"/>
    <w:rsid w:val="00AD1366"/>
    <w:rsid w:val="00AD3CE6"/>
    <w:rsid w:val="00AE0093"/>
    <w:rsid w:val="00AF0219"/>
    <w:rsid w:val="00AF0F55"/>
    <w:rsid w:val="00AF1851"/>
    <w:rsid w:val="00AF78B8"/>
    <w:rsid w:val="00B00BE9"/>
    <w:rsid w:val="00B0740F"/>
    <w:rsid w:val="00B11B4E"/>
    <w:rsid w:val="00B12672"/>
    <w:rsid w:val="00B1792E"/>
    <w:rsid w:val="00B23126"/>
    <w:rsid w:val="00B32158"/>
    <w:rsid w:val="00B33432"/>
    <w:rsid w:val="00B34586"/>
    <w:rsid w:val="00B352C3"/>
    <w:rsid w:val="00B36AAC"/>
    <w:rsid w:val="00B421F8"/>
    <w:rsid w:val="00B44F6D"/>
    <w:rsid w:val="00B5160A"/>
    <w:rsid w:val="00B5324C"/>
    <w:rsid w:val="00B66478"/>
    <w:rsid w:val="00B7010A"/>
    <w:rsid w:val="00B731C2"/>
    <w:rsid w:val="00B81D61"/>
    <w:rsid w:val="00B84EDC"/>
    <w:rsid w:val="00B87101"/>
    <w:rsid w:val="00B92B06"/>
    <w:rsid w:val="00B92ED3"/>
    <w:rsid w:val="00BB34DF"/>
    <w:rsid w:val="00BC1E59"/>
    <w:rsid w:val="00BC2792"/>
    <w:rsid w:val="00BC7978"/>
    <w:rsid w:val="00BD07BB"/>
    <w:rsid w:val="00BD5C80"/>
    <w:rsid w:val="00BD7643"/>
    <w:rsid w:val="00BE699B"/>
    <w:rsid w:val="00BF3E11"/>
    <w:rsid w:val="00BF654A"/>
    <w:rsid w:val="00C02B8A"/>
    <w:rsid w:val="00C07B70"/>
    <w:rsid w:val="00C12213"/>
    <w:rsid w:val="00C12356"/>
    <w:rsid w:val="00C25752"/>
    <w:rsid w:val="00C30259"/>
    <w:rsid w:val="00C31052"/>
    <w:rsid w:val="00C32C9A"/>
    <w:rsid w:val="00C36205"/>
    <w:rsid w:val="00C37A8D"/>
    <w:rsid w:val="00C4584E"/>
    <w:rsid w:val="00C4591A"/>
    <w:rsid w:val="00C461E6"/>
    <w:rsid w:val="00C46244"/>
    <w:rsid w:val="00C462BE"/>
    <w:rsid w:val="00C46564"/>
    <w:rsid w:val="00C578EC"/>
    <w:rsid w:val="00C640D6"/>
    <w:rsid w:val="00C641BF"/>
    <w:rsid w:val="00C6441E"/>
    <w:rsid w:val="00C64FC5"/>
    <w:rsid w:val="00C76448"/>
    <w:rsid w:val="00C805C9"/>
    <w:rsid w:val="00C8396B"/>
    <w:rsid w:val="00CA1776"/>
    <w:rsid w:val="00CA2B6C"/>
    <w:rsid w:val="00CA5CBE"/>
    <w:rsid w:val="00CA617B"/>
    <w:rsid w:val="00CB1C74"/>
    <w:rsid w:val="00CB3B5F"/>
    <w:rsid w:val="00CB501F"/>
    <w:rsid w:val="00CB761C"/>
    <w:rsid w:val="00CC21C2"/>
    <w:rsid w:val="00CC29FF"/>
    <w:rsid w:val="00CD1029"/>
    <w:rsid w:val="00CD6E08"/>
    <w:rsid w:val="00CF03AA"/>
    <w:rsid w:val="00CF7876"/>
    <w:rsid w:val="00CF7FAA"/>
    <w:rsid w:val="00D0127D"/>
    <w:rsid w:val="00D01428"/>
    <w:rsid w:val="00D04067"/>
    <w:rsid w:val="00D0449F"/>
    <w:rsid w:val="00D11201"/>
    <w:rsid w:val="00D146B4"/>
    <w:rsid w:val="00D15007"/>
    <w:rsid w:val="00D21654"/>
    <w:rsid w:val="00D2233C"/>
    <w:rsid w:val="00D25E94"/>
    <w:rsid w:val="00D2671A"/>
    <w:rsid w:val="00D33257"/>
    <w:rsid w:val="00D44F4E"/>
    <w:rsid w:val="00D47EBA"/>
    <w:rsid w:val="00D515B0"/>
    <w:rsid w:val="00D52A72"/>
    <w:rsid w:val="00D542C8"/>
    <w:rsid w:val="00D61EB0"/>
    <w:rsid w:val="00D74BE7"/>
    <w:rsid w:val="00D758FC"/>
    <w:rsid w:val="00D80AD4"/>
    <w:rsid w:val="00D82FBD"/>
    <w:rsid w:val="00D8500B"/>
    <w:rsid w:val="00D87331"/>
    <w:rsid w:val="00D92C9B"/>
    <w:rsid w:val="00D97AC3"/>
    <w:rsid w:val="00DA1E41"/>
    <w:rsid w:val="00DA28F8"/>
    <w:rsid w:val="00DA3BD2"/>
    <w:rsid w:val="00DA5D53"/>
    <w:rsid w:val="00DA66EE"/>
    <w:rsid w:val="00DB4243"/>
    <w:rsid w:val="00DB4734"/>
    <w:rsid w:val="00DB7F7C"/>
    <w:rsid w:val="00DE670F"/>
    <w:rsid w:val="00E1388F"/>
    <w:rsid w:val="00E146B6"/>
    <w:rsid w:val="00E1508A"/>
    <w:rsid w:val="00E1771D"/>
    <w:rsid w:val="00E2368B"/>
    <w:rsid w:val="00E254CB"/>
    <w:rsid w:val="00E30A2F"/>
    <w:rsid w:val="00E40668"/>
    <w:rsid w:val="00E53A92"/>
    <w:rsid w:val="00E543D2"/>
    <w:rsid w:val="00E54D2E"/>
    <w:rsid w:val="00E564D6"/>
    <w:rsid w:val="00E93548"/>
    <w:rsid w:val="00E96F2A"/>
    <w:rsid w:val="00EA0D92"/>
    <w:rsid w:val="00EA707E"/>
    <w:rsid w:val="00EC23A9"/>
    <w:rsid w:val="00EC41EA"/>
    <w:rsid w:val="00ED1B5D"/>
    <w:rsid w:val="00ED2701"/>
    <w:rsid w:val="00ED378B"/>
    <w:rsid w:val="00ED449F"/>
    <w:rsid w:val="00ED4924"/>
    <w:rsid w:val="00ED5664"/>
    <w:rsid w:val="00ED66EF"/>
    <w:rsid w:val="00EE35AF"/>
    <w:rsid w:val="00EE50D4"/>
    <w:rsid w:val="00EF032A"/>
    <w:rsid w:val="00EF16F1"/>
    <w:rsid w:val="00EF4C58"/>
    <w:rsid w:val="00EF5131"/>
    <w:rsid w:val="00F00D42"/>
    <w:rsid w:val="00F06193"/>
    <w:rsid w:val="00F07F1A"/>
    <w:rsid w:val="00F13030"/>
    <w:rsid w:val="00F2056E"/>
    <w:rsid w:val="00F53F0C"/>
    <w:rsid w:val="00F63859"/>
    <w:rsid w:val="00F63C1F"/>
    <w:rsid w:val="00F74BF1"/>
    <w:rsid w:val="00F75671"/>
    <w:rsid w:val="00F76ECF"/>
    <w:rsid w:val="00F83801"/>
    <w:rsid w:val="00F85214"/>
    <w:rsid w:val="00F90B15"/>
    <w:rsid w:val="00F92713"/>
    <w:rsid w:val="00F956DA"/>
    <w:rsid w:val="00FA455B"/>
    <w:rsid w:val="00FA5989"/>
    <w:rsid w:val="00FC0D6E"/>
    <w:rsid w:val="00FD3AB7"/>
    <w:rsid w:val="00FD4EFA"/>
    <w:rsid w:val="00FE20F2"/>
    <w:rsid w:val="00FE302A"/>
    <w:rsid w:val="00FE31CC"/>
    <w:rsid w:val="00FE44CE"/>
    <w:rsid w:val="00FE4C29"/>
    <w:rsid w:val="00FE52F1"/>
    <w:rsid w:val="00FF24B9"/>
    <w:rsid w:val="00FF6E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C9C1"/>
  <w15:chartTrackingRefBased/>
  <w15:docId w15:val="{E4255AD3-2257-4FB3-B047-269D7864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46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8872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054927"/>
    <w:pPr>
      <w:spacing w:after="0" w:line="240" w:lineRule="auto"/>
    </w:pPr>
    <w:rPr>
      <w:sz w:val="20"/>
      <w:szCs w:val="20"/>
    </w:rPr>
  </w:style>
  <w:style w:type="character" w:customStyle="1" w:styleId="FootnoteTextChar">
    <w:name w:val="Footnote Text Char"/>
    <w:basedOn w:val="DefaultParagraphFont"/>
    <w:link w:val="FootnoteText"/>
    <w:uiPriority w:val="99"/>
    <w:rsid w:val="00054927"/>
    <w:rPr>
      <w:sz w:val="20"/>
      <w:szCs w:val="20"/>
      <w:lang w:val="lt-LT"/>
    </w:rPr>
  </w:style>
  <w:style w:type="character" w:styleId="FootnoteReference">
    <w:name w:val="footnote reference"/>
    <w:basedOn w:val="DefaultParagraphFont"/>
    <w:uiPriority w:val="99"/>
    <w:unhideWhenUsed/>
    <w:rsid w:val="00054927"/>
    <w:rPr>
      <w:vertAlign w:val="superscript"/>
    </w:rPr>
  </w:style>
  <w:style w:type="paragraph" w:styleId="Revision">
    <w:name w:val="Revision"/>
    <w:hidden/>
    <w:uiPriority w:val="99"/>
    <w:semiHidden/>
    <w:rsid w:val="004C2493"/>
    <w:pPr>
      <w:spacing w:after="0" w:line="240" w:lineRule="auto"/>
    </w:pPr>
    <w:rPr>
      <w:lang w:val="lt-LT"/>
    </w:rPr>
  </w:style>
  <w:style w:type="character" w:styleId="CommentReference">
    <w:name w:val="annotation reference"/>
    <w:basedOn w:val="DefaultParagraphFont"/>
    <w:uiPriority w:val="99"/>
    <w:semiHidden/>
    <w:unhideWhenUsed/>
    <w:rsid w:val="00F92713"/>
    <w:rPr>
      <w:sz w:val="16"/>
      <w:szCs w:val="16"/>
    </w:rPr>
  </w:style>
  <w:style w:type="paragraph" w:styleId="CommentText">
    <w:name w:val="annotation text"/>
    <w:basedOn w:val="Normal"/>
    <w:link w:val="CommentTextChar"/>
    <w:uiPriority w:val="99"/>
    <w:unhideWhenUsed/>
    <w:rsid w:val="00F92713"/>
    <w:pPr>
      <w:spacing w:line="240" w:lineRule="auto"/>
    </w:pPr>
    <w:rPr>
      <w:sz w:val="20"/>
      <w:szCs w:val="20"/>
    </w:rPr>
  </w:style>
  <w:style w:type="character" w:customStyle="1" w:styleId="CommentTextChar">
    <w:name w:val="Comment Text Char"/>
    <w:basedOn w:val="DefaultParagraphFont"/>
    <w:link w:val="CommentText"/>
    <w:uiPriority w:val="99"/>
    <w:rsid w:val="00F92713"/>
    <w:rPr>
      <w:sz w:val="20"/>
      <w:szCs w:val="20"/>
      <w:lang w:val="lt-LT"/>
    </w:rPr>
  </w:style>
  <w:style w:type="paragraph" w:styleId="CommentSubject">
    <w:name w:val="annotation subject"/>
    <w:basedOn w:val="CommentText"/>
    <w:next w:val="CommentText"/>
    <w:link w:val="CommentSubjectChar"/>
    <w:uiPriority w:val="99"/>
    <w:semiHidden/>
    <w:unhideWhenUsed/>
    <w:rsid w:val="00F92713"/>
    <w:rPr>
      <w:b/>
      <w:bCs/>
    </w:rPr>
  </w:style>
  <w:style w:type="character" w:customStyle="1" w:styleId="CommentSubjectChar">
    <w:name w:val="Comment Subject Char"/>
    <w:basedOn w:val="CommentTextChar"/>
    <w:link w:val="CommentSubject"/>
    <w:uiPriority w:val="99"/>
    <w:semiHidden/>
    <w:rsid w:val="00F92713"/>
    <w:rPr>
      <w:b/>
      <w:bCs/>
      <w:sz w:val="20"/>
      <w:szCs w:val="20"/>
      <w:lang w:val="lt-LT"/>
    </w:rPr>
  </w:style>
  <w:style w:type="paragraph" w:customStyle="1" w:styleId="pf0">
    <w:name w:val="pf0"/>
    <w:basedOn w:val="Normal"/>
    <w:rsid w:val="005567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5672D"/>
    <w:rPr>
      <w:rFonts w:ascii="Segoe UI" w:hAnsi="Segoe UI" w:cs="Segoe UI" w:hint="default"/>
      <w:sz w:val="18"/>
      <w:szCs w:val="18"/>
    </w:rPr>
  </w:style>
  <w:style w:type="character" w:styleId="Hyperlink">
    <w:name w:val="Hyperlink"/>
    <w:basedOn w:val="DefaultParagraphFont"/>
    <w:uiPriority w:val="99"/>
    <w:unhideWhenUsed/>
    <w:rsid w:val="00E1771D"/>
    <w:rPr>
      <w:color w:val="0563C1" w:themeColor="hyperlink"/>
      <w:u w:val="single"/>
    </w:rPr>
  </w:style>
  <w:style w:type="character" w:styleId="UnresolvedMention">
    <w:name w:val="Unresolved Mention"/>
    <w:basedOn w:val="DefaultParagraphFont"/>
    <w:uiPriority w:val="99"/>
    <w:semiHidden/>
    <w:unhideWhenUsed/>
    <w:rsid w:val="00E1771D"/>
    <w:rPr>
      <w:color w:val="605E5C"/>
      <w:shd w:val="clear" w:color="auto" w:fill="E1DFDD"/>
    </w:rPr>
  </w:style>
  <w:style w:type="character" w:styleId="FollowedHyperlink">
    <w:name w:val="FollowedHyperlink"/>
    <w:basedOn w:val="DefaultParagraphFont"/>
    <w:uiPriority w:val="99"/>
    <w:semiHidden/>
    <w:unhideWhenUsed/>
    <w:rsid w:val="00E1771D"/>
    <w:rPr>
      <w:color w:val="954F72" w:themeColor="followedHyperlink"/>
      <w:u w:val="single"/>
    </w:rPr>
  </w:style>
  <w:style w:type="paragraph" w:styleId="ListParagraph">
    <w:name w:val="List Paragraph"/>
    <w:basedOn w:val="Normal"/>
    <w:uiPriority w:val="34"/>
    <w:qFormat/>
    <w:rsid w:val="00AF0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766525">
      <w:bodyDiv w:val="1"/>
      <w:marLeft w:val="0"/>
      <w:marRight w:val="0"/>
      <w:marTop w:val="0"/>
      <w:marBottom w:val="0"/>
      <w:divBdr>
        <w:top w:val="none" w:sz="0" w:space="0" w:color="auto"/>
        <w:left w:val="none" w:sz="0" w:space="0" w:color="auto"/>
        <w:bottom w:val="none" w:sz="0" w:space="0" w:color="auto"/>
        <w:right w:val="none" w:sz="0" w:space="0" w:color="auto"/>
      </w:divBdr>
    </w:div>
    <w:div w:id="508525993">
      <w:bodyDiv w:val="1"/>
      <w:marLeft w:val="0"/>
      <w:marRight w:val="0"/>
      <w:marTop w:val="0"/>
      <w:marBottom w:val="0"/>
      <w:divBdr>
        <w:top w:val="none" w:sz="0" w:space="0" w:color="auto"/>
        <w:left w:val="none" w:sz="0" w:space="0" w:color="auto"/>
        <w:bottom w:val="none" w:sz="0" w:space="0" w:color="auto"/>
        <w:right w:val="none" w:sz="0" w:space="0" w:color="auto"/>
      </w:divBdr>
    </w:div>
    <w:div w:id="887494841">
      <w:bodyDiv w:val="1"/>
      <w:marLeft w:val="0"/>
      <w:marRight w:val="0"/>
      <w:marTop w:val="0"/>
      <w:marBottom w:val="0"/>
      <w:divBdr>
        <w:top w:val="none" w:sz="0" w:space="0" w:color="auto"/>
        <w:left w:val="none" w:sz="0" w:space="0" w:color="auto"/>
        <w:bottom w:val="none" w:sz="0" w:space="0" w:color="auto"/>
        <w:right w:val="none" w:sz="0" w:space="0" w:color="auto"/>
      </w:divBdr>
      <w:divsChild>
        <w:div w:id="1411807682">
          <w:marLeft w:val="0"/>
          <w:marRight w:val="0"/>
          <w:marTop w:val="0"/>
          <w:marBottom w:val="0"/>
          <w:divBdr>
            <w:top w:val="none" w:sz="0" w:space="0" w:color="auto"/>
            <w:left w:val="none" w:sz="0" w:space="0" w:color="auto"/>
            <w:bottom w:val="none" w:sz="0" w:space="0" w:color="auto"/>
            <w:right w:val="none" w:sz="0" w:space="0" w:color="auto"/>
          </w:divBdr>
        </w:div>
      </w:divsChild>
    </w:div>
    <w:div w:id="1199246967">
      <w:bodyDiv w:val="1"/>
      <w:marLeft w:val="0"/>
      <w:marRight w:val="0"/>
      <w:marTop w:val="0"/>
      <w:marBottom w:val="0"/>
      <w:divBdr>
        <w:top w:val="none" w:sz="0" w:space="0" w:color="auto"/>
        <w:left w:val="none" w:sz="0" w:space="0" w:color="auto"/>
        <w:bottom w:val="none" w:sz="0" w:space="0" w:color="auto"/>
        <w:right w:val="none" w:sz="0" w:space="0" w:color="auto"/>
      </w:divBdr>
      <w:divsChild>
        <w:div w:id="248001718">
          <w:marLeft w:val="0"/>
          <w:marRight w:val="0"/>
          <w:marTop w:val="0"/>
          <w:marBottom w:val="0"/>
          <w:divBdr>
            <w:top w:val="none" w:sz="0" w:space="0" w:color="auto"/>
            <w:left w:val="none" w:sz="0" w:space="0" w:color="auto"/>
            <w:bottom w:val="none" w:sz="0" w:space="0" w:color="auto"/>
            <w:right w:val="none" w:sz="0" w:space="0" w:color="auto"/>
          </w:divBdr>
        </w:div>
      </w:divsChild>
    </w:div>
    <w:div w:id="1448894378">
      <w:bodyDiv w:val="1"/>
      <w:marLeft w:val="0"/>
      <w:marRight w:val="0"/>
      <w:marTop w:val="0"/>
      <w:marBottom w:val="0"/>
      <w:divBdr>
        <w:top w:val="none" w:sz="0" w:space="0" w:color="auto"/>
        <w:left w:val="none" w:sz="0" w:space="0" w:color="auto"/>
        <w:bottom w:val="none" w:sz="0" w:space="0" w:color="auto"/>
        <w:right w:val="none" w:sz="0" w:space="0" w:color="auto"/>
      </w:divBdr>
    </w:div>
    <w:div w:id="1512255205">
      <w:bodyDiv w:val="1"/>
      <w:marLeft w:val="0"/>
      <w:marRight w:val="0"/>
      <w:marTop w:val="0"/>
      <w:marBottom w:val="0"/>
      <w:divBdr>
        <w:top w:val="none" w:sz="0" w:space="0" w:color="auto"/>
        <w:left w:val="none" w:sz="0" w:space="0" w:color="auto"/>
        <w:bottom w:val="none" w:sz="0" w:space="0" w:color="auto"/>
        <w:right w:val="none" w:sz="0" w:space="0" w:color="auto"/>
      </w:divBdr>
      <w:divsChild>
        <w:div w:id="1599754169">
          <w:marLeft w:val="0"/>
          <w:marRight w:val="0"/>
          <w:marTop w:val="0"/>
          <w:marBottom w:val="0"/>
          <w:divBdr>
            <w:top w:val="none" w:sz="0" w:space="0" w:color="auto"/>
            <w:left w:val="none" w:sz="0" w:space="0" w:color="auto"/>
            <w:bottom w:val="none" w:sz="0" w:space="0" w:color="auto"/>
            <w:right w:val="none" w:sz="0" w:space="0" w:color="auto"/>
          </w:divBdr>
          <w:divsChild>
            <w:div w:id="28335356">
              <w:marLeft w:val="0"/>
              <w:marRight w:val="0"/>
              <w:marTop w:val="0"/>
              <w:marBottom w:val="0"/>
              <w:divBdr>
                <w:top w:val="none" w:sz="0" w:space="0" w:color="auto"/>
                <w:left w:val="none" w:sz="0" w:space="0" w:color="auto"/>
                <w:bottom w:val="none" w:sz="0" w:space="0" w:color="auto"/>
                <w:right w:val="none" w:sz="0" w:space="0" w:color="auto"/>
              </w:divBdr>
            </w:div>
          </w:divsChild>
        </w:div>
        <w:div w:id="109665579">
          <w:marLeft w:val="0"/>
          <w:marRight w:val="0"/>
          <w:marTop w:val="0"/>
          <w:marBottom w:val="0"/>
          <w:divBdr>
            <w:top w:val="none" w:sz="0" w:space="0" w:color="auto"/>
            <w:left w:val="none" w:sz="0" w:space="0" w:color="auto"/>
            <w:bottom w:val="none" w:sz="0" w:space="0" w:color="auto"/>
            <w:right w:val="none" w:sz="0" w:space="0" w:color="auto"/>
          </w:divBdr>
        </w:div>
      </w:divsChild>
    </w:div>
    <w:div w:id="159011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7E94A-FD72-4D68-A65C-FD639859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959</Words>
  <Characters>5467</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3</cp:revision>
  <dcterms:created xsi:type="dcterms:W3CDTF">2024-07-05T05:46:00Z</dcterms:created>
  <dcterms:modified xsi:type="dcterms:W3CDTF">2024-07-05T05:56:00Z</dcterms:modified>
</cp:coreProperties>
</file>