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F8FADB" w14:textId="77777777" w:rsidR="002472F7" w:rsidRPr="004D18F9" w:rsidRDefault="002472F7" w:rsidP="004D18F9">
      <w:pPr>
        <w:spacing w:line="276" w:lineRule="auto"/>
        <w:ind w:firstLine="709"/>
        <w:rPr>
          <w:rFonts w:cstheme="minorHAnsi"/>
          <w:sz w:val="24"/>
          <w:szCs w:val="24"/>
          <w:lang w:val="lt-LT"/>
        </w:rPr>
      </w:pPr>
      <w:r w:rsidRPr="004D18F9">
        <w:rPr>
          <w:rFonts w:eastAsia="Calibri" w:cstheme="minorHAnsi"/>
          <w:sz w:val="24"/>
          <w:szCs w:val="24"/>
          <w:lang w:val="lt-LT"/>
        </w:rPr>
        <w:t xml:space="preserve">Viešųjų pirkimų tarnyba (toliau – Tarnyba), vadovaudamasi Lietuvos Respublikos viešųjų pirkimų įstatymo (toliau – Įstatymas) 95 straipsnio 1 dalies 2 punkto nuostatomis, vykdo Įstatymo ir su jo įgyvendinimu susijusių teisės aktų pažeidimų prevenciją. </w:t>
      </w:r>
    </w:p>
    <w:p w14:paraId="65BC7E72" w14:textId="517B9089" w:rsidR="002472F7" w:rsidRPr="004D18F9" w:rsidRDefault="002472F7" w:rsidP="004D18F9">
      <w:pPr>
        <w:spacing w:line="276" w:lineRule="auto"/>
        <w:ind w:firstLine="709"/>
        <w:rPr>
          <w:rFonts w:cstheme="minorHAnsi"/>
          <w:sz w:val="24"/>
          <w:szCs w:val="24"/>
          <w:lang w:val="lt-LT"/>
        </w:rPr>
      </w:pPr>
      <w:r w:rsidRPr="004D18F9">
        <w:rPr>
          <w:rFonts w:eastAsia="Calibri" w:cstheme="minorHAnsi"/>
          <w:sz w:val="24"/>
          <w:szCs w:val="24"/>
          <w:lang w:val="lt-LT"/>
        </w:rPr>
        <w:t>Vadovaujantis Tarnybai Įstatyme nustatyta pažeidimų prevencijos funkcija, šiuo metu atliekama Kėdainių rajono savivaldybės administracijos (toliau – Perkančioji organizacija) vykdomo pirkimo Nr.</w:t>
      </w:r>
      <w:r w:rsidRPr="004D18F9">
        <w:rPr>
          <w:rFonts w:eastAsia="Calibri" w:cstheme="minorHAnsi"/>
          <w:b/>
          <w:bCs/>
          <w:sz w:val="24"/>
          <w:szCs w:val="24"/>
          <w:lang w:val="lt-LT"/>
        </w:rPr>
        <w:t xml:space="preserve"> 716051 „Ultragarsinė diagnostikos sistema“ </w:t>
      </w:r>
      <w:r w:rsidRPr="004D18F9">
        <w:rPr>
          <w:rFonts w:eastAsia="Calibri" w:cstheme="minorHAnsi"/>
          <w:sz w:val="24"/>
          <w:szCs w:val="24"/>
          <w:lang w:val="lt-LT"/>
        </w:rPr>
        <w:t xml:space="preserve">(toliau – Pirkimas) dokumentų atitikties Įstatymui ir su jo įgyvendinimu susijusiems teisės aktams peržiūra (peržiūra prevenciniais tikslais atliekama tam tikra apimtimi).  </w:t>
      </w:r>
    </w:p>
    <w:p w14:paraId="0B4BC1EB" w14:textId="452F4ED3" w:rsidR="002472F7" w:rsidRPr="004D18F9" w:rsidRDefault="002472F7" w:rsidP="004D18F9">
      <w:pPr>
        <w:spacing w:line="276" w:lineRule="auto"/>
        <w:ind w:firstLine="709"/>
        <w:rPr>
          <w:rFonts w:cstheme="minorHAnsi"/>
          <w:sz w:val="24"/>
          <w:szCs w:val="24"/>
          <w:lang w:val="lt-LT"/>
        </w:rPr>
      </w:pPr>
      <w:r w:rsidRPr="004D18F9">
        <w:rPr>
          <w:rFonts w:eastAsia="Calibri" w:cstheme="minorHAnsi"/>
          <w:sz w:val="24"/>
          <w:szCs w:val="24"/>
          <w:lang w:val="lt-LT"/>
        </w:rPr>
        <w:t>Prevencine tvarka peržiūrėjusi Pirkimo dokumentus, įvertinusi Perkančiosios organizacijos pateiktą informaciją ir dokumentus, Tarnyba teikia pastabas</w:t>
      </w:r>
      <w:r w:rsidR="00311704" w:rsidRPr="004D18F9">
        <w:rPr>
          <w:rFonts w:eastAsia="Calibri" w:cstheme="minorHAnsi"/>
          <w:sz w:val="24"/>
          <w:szCs w:val="24"/>
          <w:lang w:val="lt-LT"/>
        </w:rPr>
        <w:t>, klausimus</w:t>
      </w:r>
      <w:r w:rsidRPr="004D18F9">
        <w:rPr>
          <w:rFonts w:eastAsia="Calibri" w:cstheme="minorHAnsi"/>
          <w:sz w:val="24"/>
          <w:szCs w:val="24"/>
          <w:lang w:val="lt-LT"/>
        </w:rPr>
        <w:t xml:space="preserve"> ir rekomendacijas (toliau – Rekomendacija) dėl Pirkimo dokumentuose nustatytų sąlygų.</w:t>
      </w:r>
    </w:p>
    <w:p w14:paraId="7FF0B991" w14:textId="3FB73F9D" w:rsidR="002472F7" w:rsidRPr="004D18F9" w:rsidRDefault="002472F7" w:rsidP="007311B3">
      <w:pPr>
        <w:spacing w:after="0" w:line="276" w:lineRule="auto"/>
        <w:ind w:firstLine="709"/>
        <w:rPr>
          <w:rFonts w:eastAsia="Times New Roman" w:cstheme="minorHAnsi"/>
          <w:sz w:val="24"/>
          <w:szCs w:val="24"/>
          <w:lang w:val="lt-LT"/>
        </w:rPr>
      </w:pPr>
      <w:r w:rsidRPr="004D18F9">
        <w:rPr>
          <w:rFonts w:eastAsia="Times New Roman" w:cstheme="minorHAnsi"/>
          <w:sz w:val="24"/>
          <w:szCs w:val="24"/>
          <w:lang w:val="lt-LT"/>
        </w:rPr>
        <w:t xml:space="preserve">Tarnyba prašė Perkančiosios organizacijos nurodyti </w:t>
      </w:r>
      <w:r w:rsidR="00B57BAA">
        <w:rPr>
          <w:rFonts w:eastAsia="Times New Roman" w:cstheme="minorHAnsi"/>
          <w:sz w:val="24"/>
          <w:szCs w:val="24"/>
          <w:lang w:val="lt-LT"/>
        </w:rPr>
        <w:t>bent kelis (</w:t>
      </w:r>
      <w:r w:rsidRPr="004D18F9">
        <w:rPr>
          <w:rFonts w:eastAsia="Times New Roman" w:cstheme="minorHAnsi"/>
          <w:sz w:val="24"/>
          <w:szCs w:val="24"/>
          <w:lang w:val="lt-LT"/>
        </w:rPr>
        <w:t>ne mažiau kaip 3</w:t>
      </w:r>
      <w:r w:rsidR="00B57BAA">
        <w:rPr>
          <w:rFonts w:eastAsia="Times New Roman" w:cstheme="minorHAnsi"/>
          <w:sz w:val="24"/>
          <w:szCs w:val="24"/>
          <w:lang w:val="lt-LT"/>
        </w:rPr>
        <w:t>)</w:t>
      </w:r>
      <w:r w:rsidRPr="004D18F9">
        <w:rPr>
          <w:rFonts w:eastAsia="Times New Roman" w:cstheme="minorHAnsi"/>
          <w:sz w:val="24"/>
          <w:szCs w:val="24"/>
          <w:lang w:val="lt-LT"/>
        </w:rPr>
        <w:t xml:space="preserve"> gamintojų modelius pilnai atitinkančius Pirkimo Techninės specifikacijos</w:t>
      </w:r>
      <w:r w:rsidR="007D42EA">
        <w:rPr>
          <w:rFonts w:eastAsia="Times New Roman" w:cstheme="minorHAnsi"/>
          <w:sz w:val="24"/>
          <w:szCs w:val="24"/>
          <w:lang w:val="lt-LT"/>
        </w:rPr>
        <w:t xml:space="preserve"> (toliau – TS)</w:t>
      </w:r>
      <w:r w:rsidRPr="004D18F9">
        <w:rPr>
          <w:rFonts w:eastAsia="Times New Roman" w:cstheme="minorHAnsi"/>
          <w:sz w:val="24"/>
          <w:szCs w:val="24"/>
          <w:lang w:val="lt-LT"/>
        </w:rPr>
        <w:t xml:space="preserve"> reikalavimų visumą. Perkančio</w:t>
      </w:r>
      <w:r w:rsidR="008D5ED3">
        <w:rPr>
          <w:rFonts w:eastAsia="Times New Roman" w:cstheme="minorHAnsi"/>
          <w:sz w:val="24"/>
          <w:szCs w:val="24"/>
          <w:lang w:val="lt-LT"/>
        </w:rPr>
        <w:t xml:space="preserve">ji organizacija nurodė, kad TS atitinka šie modeliai: </w:t>
      </w:r>
      <w:r w:rsidRPr="004D18F9">
        <w:rPr>
          <w:rFonts w:eastAsia="Times New Roman" w:cstheme="minorHAnsi"/>
          <w:b/>
          <w:bCs/>
          <w:sz w:val="24"/>
          <w:szCs w:val="24"/>
          <w:lang w:val="lt-LT"/>
        </w:rPr>
        <w:t xml:space="preserve">SIEMENS </w:t>
      </w:r>
      <w:proofErr w:type="spellStart"/>
      <w:r w:rsidRPr="004D18F9">
        <w:rPr>
          <w:rFonts w:eastAsia="Times New Roman" w:cstheme="minorHAnsi"/>
          <w:b/>
          <w:bCs/>
          <w:sz w:val="24"/>
          <w:szCs w:val="24"/>
          <w:lang w:val="lt-LT"/>
        </w:rPr>
        <w:t>Acuson</w:t>
      </w:r>
      <w:proofErr w:type="spellEnd"/>
      <w:r w:rsidRPr="004D18F9">
        <w:rPr>
          <w:rFonts w:eastAsia="Times New Roman" w:cstheme="minorHAnsi"/>
          <w:b/>
          <w:bCs/>
          <w:sz w:val="24"/>
          <w:szCs w:val="24"/>
          <w:lang w:val="lt-LT"/>
        </w:rPr>
        <w:t xml:space="preserve"> </w:t>
      </w:r>
      <w:proofErr w:type="spellStart"/>
      <w:r w:rsidRPr="004D18F9">
        <w:rPr>
          <w:rFonts w:eastAsia="Times New Roman" w:cstheme="minorHAnsi"/>
          <w:b/>
          <w:bCs/>
          <w:sz w:val="24"/>
          <w:szCs w:val="24"/>
          <w:lang w:val="lt-LT"/>
        </w:rPr>
        <w:t>Sequoia</w:t>
      </w:r>
      <w:proofErr w:type="spellEnd"/>
      <w:r w:rsidRPr="004D18F9">
        <w:rPr>
          <w:rFonts w:eastAsia="Times New Roman" w:cstheme="minorHAnsi"/>
          <w:b/>
          <w:bCs/>
          <w:sz w:val="24"/>
          <w:szCs w:val="24"/>
          <w:lang w:val="lt-LT"/>
        </w:rPr>
        <w:t xml:space="preserve">, PHILIPS EPIQ Elite, General </w:t>
      </w:r>
      <w:proofErr w:type="spellStart"/>
      <w:r w:rsidRPr="004D18F9">
        <w:rPr>
          <w:rFonts w:eastAsia="Times New Roman" w:cstheme="minorHAnsi"/>
          <w:b/>
          <w:bCs/>
          <w:sz w:val="24"/>
          <w:szCs w:val="24"/>
          <w:lang w:val="lt-LT"/>
        </w:rPr>
        <w:t>Electric</w:t>
      </w:r>
      <w:proofErr w:type="spellEnd"/>
      <w:r w:rsidRPr="004D18F9">
        <w:rPr>
          <w:rFonts w:eastAsia="Times New Roman" w:cstheme="minorHAnsi"/>
          <w:b/>
          <w:bCs/>
          <w:sz w:val="24"/>
          <w:szCs w:val="24"/>
          <w:lang w:val="lt-LT"/>
        </w:rPr>
        <w:t xml:space="preserve"> </w:t>
      </w:r>
      <w:proofErr w:type="spellStart"/>
      <w:r w:rsidRPr="004D18F9">
        <w:rPr>
          <w:rFonts w:eastAsia="Times New Roman" w:cstheme="minorHAnsi"/>
          <w:b/>
          <w:bCs/>
          <w:sz w:val="24"/>
          <w:szCs w:val="24"/>
          <w:lang w:val="lt-LT"/>
        </w:rPr>
        <w:t>Logiq</w:t>
      </w:r>
      <w:proofErr w:type="spellEnd"/>
      <w:r w:rsidRPr="004D18F9">
        <w:rPr>
          <w:rFonts w:eastAsia="Times New Roman" w:cstheme="minorHAnsi"/>
          <w:b/>
          <w:bCs/>
          <w:sz w:val="24"/>
          <w:szCs w:val="24"/>
          <w:lang w:val="lt-LT"/>
        </w:rPr>
        <w:t xml:space="preserve"> E10</w:t>
      </w:r>
      <w:r w:rsidR="006F6C26">
        <w:rPr>
          <w:rFonts w:eastAsia="Times New Roman" w:cstheme="minorHAnsi"/>
          <w:b/>
          <w:bCs/>
          <w:sz w:val="24"/>
          <w:szCs w:val="24"/>
          <w:lang w:val="lt-LT"/>
        </w:rPr>
        <w:t xml:space="preserve">, </w:t>
      </w:r>
      <w:r w:rsidR="006F6C26" w:rsidRPr="00BF33CB">
        <w:rPr>
          <w:rFonts w:eastAsia="Times New Roman" w:cstheme="minorHAnsi"/>
          <w:sz w:val="24"/>
          <w:szCs w:val="24"/>
          <w:lang w:val="lt-LT"/>
        </w:rPr>
        <w:t>kurie atitinka</w:t>
      </w:r>
      <w:r w:rsidR="006F6C26">
        <w:rPr>
          <w:rFonts w:eastAsia="Times New Roman" w:cstheme="minorHAnsi"/>
          <w:b/>
          <w:bCs/>
          <w:sz w:val="24"/>
          <w:szCs w:val="24"/>
          <w:lang w:val="lt-LT"/>
        </w:rPr>
        <w:t xml:space="preserve"> </w:t>
      </w:r>
      <w:r w:rsidRPr="004D18F9">
        <w:rPr>
          <w:rFonts w:eastAsia="Times New Roman" w:cstheme="minorHAnsi"/>
          <w:sz w:val="24"/>
          <w:szCs w:val="24"/>
          <w:lang w:val="lt-LT"/>
        </w:rPr>
        <w:t xml:space="preserve">visus </w:t>
      </w:r>
      <w:r w:rsidR="001B166E">
        <w:rPr>
          <w:rFonts w:eastAsia="Times New Roman" w:cstheme="minorHAnsi"/>
          <w:sz w:val="24"/>
          <w:szCs w:val="24"/>
          <w:lang w:val="lt-LT"/>
        </w:rPr>
        <w:t xml:space="preserve">TS </w:t>
      </w:r>
      <w:r w:rsidRPr="004D18F9">
        <w:rPr>
          <w:rFonts w:eastAsia="Times New Roman" w:cstheme="minorHAnsi"/>
          <w:sz w:val="24"/>
          <w:szCs w:val="24"/>
          <w:lang w:val="lt-LT"/>
        </w:rPr>
        <w:t xml:space="preserve">nustatytus techninius reikalavimus. Tarnyba atliko nurodytų modelių atitikties </w:t>
      </w:r>
      <w:r w:rsidR="00587AB9">
        <w:rPr>
          <w:rFonts w:eastAsia="Times New Roman" w:cstheme="minorHAnsi"/>
          <w:sz w:val="24"/>
          <w:szCs w:val="24"/>
          <w:lang w:val="lt-LT"/>
        </w:rPr>
        <w:t xml:space="preserve">TS </w:t>
      </w:r>
      <w:r w:rsidRPr="004D18F9">
        <w:rPr>
          <w:rFonts w:eastAsia="Times New Roman" w:cstheme="minorHAnsi"/>
          <w:sz w:val="24"/>
          <w:szCs w:val="24"/>
          <w:lang w:val="lt-LT"/>
        </w:rPr>
        <w:t xml:space="preserve">vertinimą ir nustatė, kad </w:t>
      </w:r>
      <w:r w:rsidR="00DA77F5" w:rsidRPr="00587AB9">
        <w:rPr>
          <w:rFonts w:eastAsia="Times New Roman" w:cstheme="minorHAnsi"/>
          <w:b/>
          <w:bCs/>
          <w:sz w:val="24"/>
          <w:szCs w:val="24"/>
          <w:lang w:val="lt-LT"/>
        </w:rPr>
        <w:t xml:space="preserve">General </w:t>
      </w:r>
      <w:proofErr w:type="spellStart"/>
      <w:r w:rsidR="00DA77F5" w:rsidRPr="00587AB9">
        <w:rPr>
          <w:rFonts w:eastAsia="Times New Roman" w:cstheme="minorHAnsi"/>
          <w:b/>
          <w:bCs/>
          <w:sz w:val="24"/>
          <w:szCs w:val="24"/>
          <w:lang w:val="lt-LT"/>
        </w:rPr>
        <w:t>Electric</w:t>
      </w:r>
      <w:proofErr w:type="spellEnd"/>
      <w:r w:rsidR="00DA77F5" w:rsidRPr="00587AB9">
        <w:rPr>
          <w:rFonts w:eastAsia="Times New Roman" w:cstheme="minorHAnsi"/>
          <w:b/>
          <w:bCs/>
          <w:sz w:val="24"/>
          <w:szCs w:val="24"/>
          <w:lang w:val="lt-LT"/>
        </w:rPr>
        <w:t xml:space="preserve"> </w:t>
      </w:r>
      <w:proofErr w:type="spellStart"/>
      <w:r w:rsidR="00DA77F5" w:rsidRPr="00587AB9">
        <w:rPr>
          <w:rFonts w:eastAsia="Times New Roman" w:cstheme="minorHAnsi"/>
          <w:b/>
          <w:bCs/>
          <w:sz w:val="24"/>
          <w:szCs w:val="24"/>
          <w:lang w:val="lt-LT"/>
        </w:rPr>
        <w:t>Logiq</w:t>
      </w:r>
      <w:proofErr w:type="spellEnd"/>
      <w:r w:rsidR="00DA77F5" w:rsidRPr="00587AB9">
        <w:rPr>
          <w:rFonts w:eastAsia="Times New Roman" w:cstheme="minorHAnsi"/>
          <w:b/>
          <w:bCs/>
          <w:sz w:val="24"/>
          <w:szCs w:val="24"/>
          <w:lang w:val="lt-LT"/>
        </w:rPr>
        <w:t xml:space="preserve"> E10 </w:t>
      </w:r>
      <w:r w:rsidR="00DA77F5" w:rsidRPr="004D18F9">
        <w:rPr>
          <w:rFonts w:eastAsia="Times New Roman" w:cstheme="minorHAnsi"/>
          <w:sz w:val="24"/>
          <w:szCs w:val="24"/>
          <w:lang w:val="lt-LT"/>
        </w:rPr>
        <w:t xml:space="preserve">neatitinka </w:t>
      </w:r>
      <w:r w:rsidR="00587AB9">
        <w:rPr>
          <w:rFonts w:eastAsia="Times New Roman" w:cstheme="minorHAnsi"/>
          <w:sz w:val="24"/>
          <w:szCs w:val="24"/>
          <w:lang w:val="lt-LT"/>
        </w:rPr>
        <w:t xml:space="preserve">TS </w:t>
      </w:r>
      <w:r w:rsidR="00DA77F5" w:rsidRPr="004D18F9">
        <w:rPr>
          <w:rFonts w:eastAsia="Times New Roman" w:cstheme="minorHAnsi"/>
          <w:sz w:val="24"/>
          <w:szCs w:val="24"/>
          <w:lang w:val="lt-LT"/>
        </w:rPr>
        <w:t xml:space="preserve">16.4.3 papunkčio „Elementų skaičius </w:t>
      </w:r>
      <w:r w:rsidR="00DA77F5" w:rsidRPr="004D18F9">
        <w:rPr>
          <w:rFonts w:cstheme="minorHAnsi"/>
          <w:color w:val="000000" w:themeColor="text1"/>
          <w:sz w:val="24"/>
          <w:szCs w:val="24"/>
          <w:lang w:val="lt-LT"/>
        </w:rPr>
        <w:t xml:space="preserve">≥ 128.“ reikalavimo, nes 6S-D daviklis turi tik 96 elementus. </w:t>
      </w:r>
      <w:r w:rsidR="00DA77F5" w:rsidRPr="004D18F9">
        <w:rPr>
          <w:rFonts w:eastAsia="Times New Roman" w:cstheme="minorHAnsi"/>
          <w:sz w:val="24"/>
          <w:szCs w:val="24"/>
          <w:lang w:val="lt-LT"/>
        </w:rPr>
        <w:t xml:space="preserve">Dėl šio reikalavimo buvo teiktos pastabos rinkos konsultacijos metu ir į </w:t>
      </w:r>
      <w:r w:rsidR="00587AB9">
        <w:rPr>
          <w:rFonts w:eastAsia="Times New Roman" w:cstheme="minorHAnsi"/>
          <w:sz w:val="24"/>
          <w:szCs w:val="24"/>
          <w:lang w:val="lt-LT"/>
        </w:rPr>
        <w:t>kurias</w:t>
      </w:r>
      <w:r w:rsidR="00DA77F5" w:rsidRPr="004D18F9">
        <w:rPr>
          <w:rFonts w:eastAsia="Times New Roman" w:cstheme="minorHAnsi"/>
          <w:sz w:val="24"/>
          <w:szCs w:val="24"/>
          <w:lang w:val="lt-LT"/>
        </w:rPr>
        <w:t xml:space="preserve"> nebuvo atsižvelgta</w:t>
      </w:r>
      <w:r w:rsidR="006F6C26">
        <w:rPr>
          <w:rFonts w:eastAsia="Times New Roman" w:cstheme="minorHAnsi"/>
          <w:sz w:val="24"/>
          <w:szCs w:val="24"/>
          <w:lang w:val="lt-LT"/>
        </w:rPr>
        <w:t>, todėl darytina išvada, kad TS nustatytus reikalavimus atitinka 2 Perkančiosios organizacijos nurodyti modeliai.</w:t>
      </w:r>
    </w:p>
    <w:p w14:paraId="6BA65A7A" w14:textId="51286064" w:rsidR="00A028C8" w:rsidRPr="004D18F9" w:rsidRDefault="002472F7" w:rsidP="007311B3">
      <w:pPr>
        <w:spacing w:after="0" w:line="276" w:lineRule="auto"/>
        <w:ind w:firstLine="709"/>
        <w:rPr>
          <w:rFonts w:eastAsia="Times New Roman" w:cstheme="minorHAnsi"/>
          <w:sz w:val="24"/>
          <w:szCs w:val="24"/>
          <w:lang w:val="lt-LT"/>
        </w:rPr>
      </w:pPr>
      <w:bookmarkStart w:id="0" w:name="_Int_OwTHjAD3"/>
      <w:r w:rsidRPr="004D18F9">
        <w:rPr>
          <w:rFonts w:eastAsia="Times New Roman" w:cstheme="minorHAnsi"/>
          <w:sz w:val="24"/>
          <w:szCs w:val="24"/>
          <w:lang w:val="lt-LT"/>
        </w:rPr>
        <w:t xml:space="preserve">Taip pat Tarnyba </w:t>
      </w:r>
      <w:bookmarkEnd w:id="0"/>
      <w:r w:rsidR="00715117" w:rsidRPr="004D18F9">
        <w:rPr>
          <w:rFonts w:eastAsia="Times New Roman" w:cstheme="minorHAnsi"/>
          <w:sz w:val="24"/>
          <w:szCs w:val="24"/>
          <w:lang w:val="lt-LT"/>
        </w:rPr>
        <w:t xml:space="preserve">prašė Perkančiosios organizacijos nurodyti </w:t>
      </w:r>
      <w:r w:rsidR="006F6C26">
        <w:rPr>
          <w:rFonts w:eastAsia="Times New Roman" w:cstheme="minorHAnsi"/>
          <w:sz w:val="24"/>
          <w:szCs w:val="24"/>
          <w:lang w:val="lt-LT"/>
        </w:rPr>
        <w:t>kurie</w:t>
      </w:r>
      <w:r w:rsidR="00715117" w:rsidRPr="004D18F9">
        <w:rPr>
          <w:rFonts w:eastAsia="Times New Roman" w:cstheme="minorHAnsi"/>
          <w:sz w:val="24"/>
          <w:szCs w:val="24"/>
          <w:lang w:val="lt-LT"/>
        </w:rPr>
        <w:t xml:space="preserve"> modeli</w:t>
      </w:r>
      <w:r w:rsidR="006F6C26">
        <w:rPr>
          <w:rFonts w:eastAsia="Times New Roman" w:cstheme="minorHAnsi"/>
          <w:sz w:val="24"/>
          <w:szCs w:val="24"/>
          <w:lang w:val="lt-LT"/>
        </w:rPr>
        <w:t xml:space="preserve">ai, atitinkantys </w:t>
      </w:r>
      <w:r w:rsidR="00715117" w:rsidRPr="004D18F9">
        <w:rPr>
          <w:rFonts w:eastAsia="Times New Roman" w:cstheme="minorHAnsi"/>
          <w:sz w:val="24"/>
          <w:szCs w:val="24"/>
          <w:lang w:val="lt-LT"/>
        </w:rPr>
        <w:t>TS nurodytų reikalavimų visumą</w:t>
      </w:r>
      <w:r w:rsidR="006F6C26">
        <w:rPr>
          <w:rFonts w:eastAsia="Times New Roman" w:cstheme="minorHAnsi"/>
          <w:sz w:val="24"/>
          <w:szCs w:val="24"/>
          <w:lang w:val="lt-LT"/>
        </w:rPr>
        <w:t xml:space="preserve">, </w:t>
      </w:r>
      <w:r w:rsidR="00AC12AD" w:rsidRPr="004D18F9">
        <w:rPr>
          <w:rFonts w:eastAsia="Times New Roman" w:cstheme="minorHAnsi"/>
          <w:sz w:val="24"/>
          <w:szCs w:val="24"/>
          <w:lang w:val="lt-LT"/>
        </w:rPr>
        <w:t xml:space="preserve">taip pat atitinka </w:t>
      </w:r>
      <w:r w:rsidR="006F6C26">
        <w:rPr>
          <w:rFonts w:eastAsia="Times New Roman" w:cstheme="minorHAnsi"/>
          <w:sz w:val="24"/>
          <w:szCs w:val="24"/>
          <w:lang w:val="lt-LT"/>
        </w:rPr>
        <w:t xml:space="preserve">ir </w:t>
      </w:r>
      <w:r w:rsidR="00AC12AD" w:rsidRPr="004D18F9">
        <w:rPr>
          <w:rFonts w:eastAsia="Times New Roman" w:cstheme="minorHAnsi"/>
          <w:sz w:val="24"/>
          <w:szCs w:val="24"/>
          <w:lang w:val="lt-LT"/>
        </w:rPr>
        <w:t>techninius kokybinius kriterijus</w:t>
      </w:r>
      <w:r w:rsidR="006F6C26">
        <w:rPr>
          <w:rFonts w:eastAsia="Times New Roman" w:cstheme="minorHAnsi"/>
          <w:sz w:val="24"/>
          <w:szCs w:val="24"/>
          <w:lang w:val="lt-LT"/>
        </w:rPr>
        <w:t xml:space="preserve"> (ar dalį jų)</w:t>
      </w:r>
      <w:r w:rsidR="00AC12AD" w:rsidRPr="004D18F9">
        <w:rPr>
          <w:rFonts w:eastAsia="Times New Roman" w:cstheme="minorHAnsi"/>
          <w:sz w:val="24"/>
          <w:szCs w:val="24"/>
          <w:lang w:val="lt-LT"/>
        </w:rPr>
        <w:t xml:space="preserve">. Iš pateiktų Perkančiosios organizacijos duomenų </w:t>
      </w:r>
      <w:r w:rsidR="006F6C26">
        <w:rPr>
          <w:rFonts w:eastAsia="Times New Roman" w:cstheme="minorHAnsi"/>
          <w:sz w:val="24"/>
          <w:szCs w:val="24"/>
          <w:lang w:val="lt-LT"/>
        </w:rPr>
        <w:t>nustatyta</w:t>
      </w:r>
      <w:r w:rsidR="00AC12AD" w:rsidRPr="004D18F9">
        <w:rPr>
          <w:rFonts w:eastAsia="Times New Roman" w:cstheme="minorHAnsi"/>
          <w:sz w:val="24"/>
          <w:szCs w:val="24"/>
          <w:lang w:val="lt-LT"/>
        </w:rPr>
        <w:t xml:space="preserve">, kad </w:t>
      </w:r>
      <w:r w:rsidR="006F6C26">
        <w:rPr>
          <w:rFonts w:eastAsia="Times New Roman" w:cstheme="minorHAnsi"/>
          <w:sz w:val="24"/>
          <w:szCs w:val="24"/>
          <w:lang w:val="lt-LT"/>
        </w:rPr>
        <w:t>visus</w:t>
      </w:r>
      <w:r w:rsidR="00AC12AD" w:rsidRPr="004D18F9">
        <w:rPr>
          <w:rFonts w:eastAsia="Times New Roman" w:cstheme="minorHAnsi"/>
          <w:sz w:val="24"/>
          <w:szCs w:val="24"/>
          <w:lang w:val="lt-LT"/>
        </w:rPr>
        <w:t xml:space="preserve"> techninius kokybės kriterijus atitinka </w:t>
      </w:r>
      <w:r w:rsidR="00937AF4" w:rsidRPr="004D18F9">
        <w:rPr>
          <w:rFonts w:eastAsia="Times New Roman" w:cstheme="minorHAnsi"/>
          <w:sz w:val="24"/>
          <w:szCs w:val="24"/>
          <w:lang w:val="lt-LT"/>
        </w:rPr>
        <w:t>tik</w:t>
      </w:r>
      <w:r w:rsidR="006C0D6E">
        <w:rPr>
          <w:rFonts w:eastAsia="Times New Roman" w:cstheme="minorHAnsi"/>
          <w:sz w:val="24"/>
          <w:szCs w:val="24"/>
          <w:lang w:val="lt-LT"/>
        </w:rPr>
        <w:t xml:space="preserve"> vienas</w:t>
      </w:r>
      <w:r w:rsidR="00937AF4" w:rsidRPr="004D18F9">
        <w:rPr>
          <w:rFonts w:eastAsia="Times New Roman" w:cstheme="minorHAnsi"/>
          <w:sz w:val="24"/>
          <w:szCs w:val="24"/>
          <w:lang w:val="lt-LT"/>
        </w:rPr>
        <w:t xml:space="preserve"> </w:t>
      </w:r>
      <w:r w:rsidR="00AC12AD" w:rsidRPr="006C0D6E">
        <w:rPr>
          <w:rFonts w:eastAsia="Times New Roman" w:cstheme="minorHAnsi"/>
          <w:b/>
          <w:bCs/>
          <w:sz w:val="24"/>
          <w:szCs w:val="24"/>
          <w:lang w:val="lt-LT"/>
        </w:rPr>
        <w:t>PHILIPS EPIQ Elite</w:t>
      </w:r>
      <w:r w:rsidR="00937AF4" w:rsidRPr="004D18F9">
        <w:rPr>
          <w:rFonts w:eastAsia="Times New Roman" w:cstheme="minorHAnsi"/>
          <w:sz w:val="24"/>
          <w:szCs w:val="24"/>
          <w:lang w:val="lt-LT"/>
        </w:rPr>
        <w:t xml:space="preserve"> </w:t>
      </w:r>
      <w:r w:rsidR="001D68C2" w:rsidRPr="004D18F9">
        <w:rPr>
          <w:rFonts w:eastAsia="Times New Roman" w:cstheme="minorHAnsi"/>
          <w:sz w:val="24"/>
          <w:szCs w:val="24"/>
          <w:lang w:val="lt-LT"/>
        </w:rPr>
        <w:t>aparatas</w:t>
      </w:r>
      <w:r w:rsidR="006F6C26">
        <w:rPr>
          <w:rFonts w:eastAsia="Times New Roman" w:cstheme="minorHAnsi"/>
          <w:sz w:val="24"/>
          <w:szCs w:val="24"/>
          <w:lang w:val="lt-LT"/>
        </w:rPr>
        <w:t>, o kita įranga atitinka tik dalį nustatytų reikalavimų</w:t>
      </w:r>
      <w:r w:rsidR="001D68C2" w:rsidRPr="004D18F9">
        <w:rPr>
          <w:rFonts w:eastAsia="Times New Roman" w:cstheme="minorHAnsi"/>
          <w:sz w:val="24"/>
          <w:szCs w:val="24"/>
          <w:lang w:val="lt-LT"/>
        </w:rPr>
        <w:t>.</w:t>
      </w:r>
      <w:r w:rsidR="00AC12AD" w:rsidRPr="004D18F9">
        <w:rPr>
          <w:rFonts w:eastAsia="Times New Roman" w:cstheme="minorHAnsi"/>
          <w:sz w:val="24"/>
          <w:szCs w:val="24"/>
          <w:lang w:val="lt-LT"/>
        </w:rPr>
        <w:t xml:space="preserve"> </w:t>
      </w:r>
    </w:p>
    <w:p w14:paraId="671B2A85" w14:textId="6EFB75E7" w:rsidR="00E43AD9" w:rsidRPr="004D18F9" w:rsidRDefault="00C1730C" w:rsidP="00BF33CB">
      <w:pPr>
        <w:spacing w:after="0" w:line="276" w:lineRule="auto"/>
        <w:ind w:firstLine="709"/>
        <w:rPr>
          <w:rFonts w:eastAsia="Times New Roman" w:cstheme="minorHAnsi"/>
          <w:sz w:val="24"/>
          <w:szCs w:val="24"/>
          <w:lang w:val="lt-LT"/>
        </w:rPr>
      </w:pPr>
      <w:r w:rsidRPr="004D18F9">
        <w:rPr>
          <w:rFonts w:eastAsia="Times New Roman" w:cstheme="minorHAnsi"/>
          <w:sz w:val="24"/>
          <w:szCs w:val="24"/>
          <w:lang w:val="lt-LT"/>
        </w:rPr>
        <w:t>Tarnyba atliko simuliacijas</w:t>
      </w:r>
      <w:r w:rsidR="005750C4" w:rsidRPr="004D18F9">
        <w:rPr>
          <w:rFonts w:eastAsia="Times New Roman" w:cstheme="minorHAnsi"/>
          <w:sz w:val="24"/>
          <w:szCs w:val="24"/>
          <w:lang w:val="lt-LT"/>
        </w:rPr>
        <w:t xml:space="preserve"> </w:t>
      </w:r>
      <w:r w:rsidR="006F6C26">
        <w:rPr>
          <w:rFonts w:eastAsia="Times New Roman" w:cstheme="minorHAnsi"/>
          <w:sz w:val="24"/>
          <w:szCs w:val="24"/>
          <w:lang w:val="lt-LT"/>
        </w:rPr>
        <w:t>atsižvelgiant į</w:t>
      </w:r>
      <w:r w:rsidR="006F6C26" w:rsidRPr="004D18F9">
        <w:rPr>
          <w:rFonts w:eastAsia="Times New Roman" w:cstheme="minorHAnsi"/>
          <w:sz w:val="24"/>
          <w:szCs w:val="24"/>
          <w:lang w:val="lt-LT"/>
        </w:rPr>
        <w:t xml:space="preserve"> </w:t>
      </w:r>
      <w:r w:rsidR="005750C4" w:rsidRPr="004D18F9">
        <w:rPr>
          <w:rFonts w:eastAsia="Times New Roman" w:cstheme="minorHAnsi"/>
          <w:sz w:val="24"/>
          <w:szCs w:val="24"/>
          <w:lang w:val="lt-LT"/>
        </w:rPr>
        <w:t>planuojamą pirkimo vert</w:t>
      </w:r>
      <w:r w:rsidR="006C0D6E">
        <w:rPr>
          <w:rFonts w:eastAsia="Times New Roman" w:cstheme="minorHAnsi"/>
          <w:sz w:val="24"/>
          <w:szCs w:val="24"/>
          <w:lang w:val="lt-LT"/>
        </w:rPr>
        <w:t>ę</w:t>
      </w:r>
      <w:r w:rsidR="00726BF0">
        <w:rPr>
          <w:rFonts w:eastAsia="Times New Roman" w:cstheme="minorHAnsi"/>
          <w:sz w:val="24"/>
          <w:szCs w:val="24"/>
          <w:lang w:val="lt-LT"/>
        </w:rPr>
        <w:t xml:space="preserve"> XX</w:t>
      </w:r>
      <w:r w:rsidR="005750C4" w:rsidRPr="004D18F9">
        <w:rPr>
          <w:rFonts w:eastAsia="Times New Roman" w:cstheme="minorHAnsi"/>
          <w:sz w:val="24"/>
          <w:szCs w:val="24"/>
          <w:lang w:val="lt-LT"/>
        </w:rPr>
        <w:t xml:space="preserve"> Eur be PVM</w:t>
      </w:r>
      <w:r w:rsidR="00BF01C5">
        <w:rPr>
          <w:rFonts w:eastAsia="Times New Roman" w:cstheme="minorHAnsi"/>
          <w:sz w:val="24"/>
          <w:szCs w:val="24"/>
          <w:lang w:val="lt-LT"/>
        </w:rPr>
        <w:t xml:space="preserve"> (vertė neviešinama)</w:t>
      </w:r>
      <w:r w:rsidRPr="004D18F9">
        <w:rPr>
          <w:rFonts w:eastAsia="Times New Roman" w:cstheme="minorHAnsi"/>
          <w:sz w:val="24"/>
          <w:szCs w:val="24"/>
          <w:lang w:val="lt-LT"/>
        </w:rPr>
        <w:t xml:space="preserve"> ir nustatė, kad norint </w:t>
      </w:r>
      <w:r w:rsidR="006F6C26">
        <w:rPr>
          <w:rFonts w:eastAsia="Times New Roman" w:cstheme="minorHAnsi"/>
          <w:sz w:val="24"/>
          <w:szCs w:val="24"/>
          <w:lang w:val="lt-LT"/>
        </w:rPr>
        <w:t xml:space="preserve">Pirkimą </w:t>
      </w:r>
      <w:r w:rsidRPr="004D18F9">
        <w:rPr>
          <w:rFonts w:eastAsia="Times New Roman" w:cstheme="minorHAnsi"/>
          <w:sz w:val="24"/>
          <w:szCs w:val="24"/>
          <w:lang w:val="lt-LT"/>
        </w:rPr>
        <w:t>laimėti tiekėjui, kuris</w:t>
      </w:r>
      <w:r w:rsidR="00164693" w:rsidRPr="004D18F9">
        <w:rPr>
          <w:rFonts w:eastAsia="Times New Roman" w:cstheme="minorHAnsi"/>
          <w:sz w:val="24"/>
          <w:szCs w:val="24"/>
          <w:lang w:val="lt-LT"/>
        </w:rPr>
        <w:t xml:space="preserve"> negali pasiūlyti </w:t>
      </w:r>
      <w:r w:rsidR="006F6C26">
        <w:rPr>
          <w:rFonts w:eastAsia="Times New Roman" w:cstheme="minorHAnsi"/>
          <w:sz w:val="24"/>
          <w:szCs w:val="24"/>
          <w:lang w:val="lt-LT"/>
        </w:rPr>
        <w:t xml:space="preserve">įrangos atitinkančios </w:t>
      </w:r>
      <w:r w:rsidR="00164693" w:rsidRPr="004D18F9">
        <w:rPr>
          <w:rFonts w:eastAsia="Times New Roman" w:cstheme="minorHAnsi"/>
          <w:sz w:val="24"/>
          <w:szCs w:val="24"/>
          <w:lang w:val="lt-LT"/>
        </w:rPr>
        <w:t xml:space="preserve">T3, </w:t>
      </w:r>
      <w:r w:rsidR="00255CEB" w:rsidRPr="004D18F9">
        <w:rPr>
          <w:rFonts w:eastAsia="Times New Roman" w:cstheme="minorHAnsi"/>
          <w:sz w:val="24"/>
          <w:szCs w:val="24"/>
          <w:lang w:val="lt-LT"/>
        </w:rPr>
        <w:t>T5, T6 kriterij</w:t>
      </w:r>
      <w:r w:rsidR="006F6C26">
        <w:rPr>
          <w:rFonts w:eastAsia="Times New Roman" w:cstheme="minorHAnsi"/>
          <w:sz w:val="24"/>
          <w:szCs w:val="24"/>
          <w:lang w:val="lt-LT"/>
        </w:rPr>
        <w:t xml:space="preserve">us bei siekiant konkuruoti pasiūlymo </w:t>
      </w:r>
      <w:r w:rsidR="005750C4" w:rsidRPr="004D18F9">
        <w:rPr>
          <w:rFonts w:eastAsia="Times New Roman" w:cstheme="minorHAnsi"/>
          <w:sz w:val="24"/>
          <w:szCs w:val="24"/>
          <w:lang w:val="lt-LT"/>
        </w:rPr>
        <w:t xml:space="preserve">kainą </w:t>
      </w:r>
      <w:r w:rsidR="003C0F63">
        <w:rPr>
          <w:rFonts w:eastAsia="Times New Roman" w:cstheme="minorHAnsi"/>
          <w:sz w:val="24"/>
          <w:szCs w:val="24"/>
          <w:lang w:val="lt-LT"/>
        </w:rPr>
        <w:t>reikėtų</w:t>
      </w:r>
      <w:r w:rsidR="005750C4" w:rsidRPr="004D18F9">
        <w:rPr>
          <w:rFonts w:eastAsia="Times New Roman" w:cstheme="minorHAnsi"/>
          <w:sz w:val="24"/>
          <w:szCs w:val="24"/>
          <w:lang w:val="lt-LT"/>
        </w:rPr>
        <w:t xml:space="preserve"> </w:t>
      </w:r>
      <w:r w:rsidR="00C6771F">
        <w:rPr>
          <w:rFonts w:eastAsia="Times New Roman" w:cstheme="minorHAnsi"/>
          <w:sz w:val="24"/>
          <w:szCs w:val="24"/>
          <w:lang w:val="lt-LT"/>
        </w:rPr>
        <w:t>sumažinti</w:t>
      </w:r>
      <w:r w:rsidR="005750C4" w:rsidRPr="004D18F9">
        <w:rPr>
          <w:rFonts w:eastAsia="Times New Roman" w:cstheme="minorHAnsi"/>
          <w:sz w:val="24"/>
          <w:szCs w:val="24"/>
          <w:lang w:val="lt-LT"/>
        </w:rPr>
        <w:t xml:space="preserve"> </w:t>
      </w:r>
      <w:r w:rsidR="00BF01C5">
        <w:rPr>
          <w:rFonts w:eastAsia="Times New Roman" w:cstheme="minorHAnsi"/>
          <w:sz w:val="24"/>
          <w:szCs w:val="24"/>
          <w:lang w:val="lt-LT"/>
        </w:rPr>
        <w:t xml:space="preserve">XX </w:t>
      </w:r>
      <w:r w:rsidR="00376687">
        <w:rPr>
          <w:rFonts w:eastAsia="Times New Roman" w:cstheme="minorHAnsi"/>
          <w:sz w:val="24"/>
          <w:szCs w:val="24"/>
          <w:lang w:val="en-GB"/>
        </w:rPr>
        <w:t>E</w:t>
      </w:r>
      <w:proofErr w:type="spellStart"/>
      <w:r w:rsidR="0097350B" w:rsidRPr="004D18F9">
        <w:rPr>
          <w:rFonts w:eastAsia="Times New Roman" w:cstheme="minorHAnsi"/>
          <w:sz w:val="24"/>
          <w:szCs w:val="24"/>
          <w:lang w:val="lt-LT"/>
        </w:rPr>
        <w:t>ur</w:t>
      </w:r>
      <w:proofErr w:type="spellEnd"/>
      <w:r w:rsidR="0097350B" w:rsidRPr="004D18F9">
        <w:rPr>
          <w:rFonts w:eastAsia="Times New Roman" w:cstheme="minorHAnsi"/>
          <w:sz w:val="24"/>
          <w:szCs w:val="24"/>
          <w:lang w:val="lt-LT"/>
        </w:rPr>
        <w:t xml:space="preserve"> be PVM</w:t>
      </w:r>
      <w:r w:rsidR="00BF01C5">
        <w:rPr>
          <w:rFonts w:eastAsia="Times New Roman" w:cstheme="minorHAnsi"/>
          <w:sz w:val="24"/>
          <w:szCs w:val="24"/>
          <w:lang w:val="lt-LT"/>
        </w:rPr>
        <w:t xml:space="preserve"> (nev</w:t>
      </w:r>
      <w:r w:rsidR="00B51EC4">
        <w:rPr>
          <w:rFonts w:eastAsia="Times New Roman" w:cstheme="minorHAnsi"/>
          <w:sz w:val="24"/>
          <w:szCs w:val="24"/>
          <w:lang w:val="lt-LT"/>
        </w:rPr>
        <w:t>iešinama)</w:t>
      </w:r>
      <w:r w:rsidR="003C0F63">
        <w:rPr>
          <w:rFonts w:eastAsia="Times New Roman" w:cstheme="minorHAnsi"/>
          <w:sz w:val="24"/>
          <w:szCs w:val="24"/>
          <w:lang w:val="lt-LT"/>
        </w:rPr>
        <w:t>.</w:t>
      </w:r>
      <w:r w:rsidR="006D2013" w:rsidRPr="004D18F9">
        <w:rPr>
          <w:rFonts w:eastAsia="Times New Roman" w:cstheme="minorHAnsi"/>
          <w:sz w:val="24"/>
          <w:szCs w:val="24"/>
          <w:lang w:val="lt-LT"/>
        </w:rPr>
        <w:t xml:space="preserve"> </w:t>
      </w:r>
      <w:r w:rsidR="006F6C26">
        <w:rPr>
          <w:rFonts w:eastAsia="Times New Roman" w:cstheme="minorHAnsi"/>
          <w:sz w:val="24"/>
          <w:szCs w:val="24"/>
          <w:lang w:val="lt-LT"/>
        </w:rPr>
        <w:t xml:space="preserve">Atsižvelgiant į tai, kad šiuo atveju kiekybiniams kriterijams yra nustatytas gana aukštas balas (ekonominio vertinimo kriterijų pinigine vertė yra didelė), </w:t>
      </w:r>
      <w:r w:rsidR="00556BF6">
        <w:rPr>
          <w:rFonts w:eastAsia="Times New Roman" w:cstheme="minorHAnsi"/>
          <w:sz w:val="24"/>
          <w:szCs w:val="24"/>
          <w:lang w:val="lt-LT"/>
        </w:rPr>
        <w:t>o</w:t>
      </w:r>
      <w:r w:rsidR="006F6C26">
        <w:rPr>
          <w:rFonts w:eastAsia="Times New Roman" w:cstheme="minorHAnsi"/>
          <w:sz w:val="24"/>
          <w:szCs w:val="24"/>
          <w:lang w:val="lt-LT"/>
        </w:rPr>
        <w:t xml:space="preserve"> </w:t>
      </w:r>
      <w:r w:rsidR="00EC628C" w:rsidRPr="004D18F9">
        <w:rPr>
          <w:rFonts w:eastAsia="Times New Roman" w:cstheme="minorHAnsi"/>
          <w:sz w:val="24"/>
          <w:szCs w:val="24"/>
          <w:lang w:val="lt-LT"/>
        </w:rPr>
        <w:t xml:space="preserve">Perkančiosios organizacijos pateiktas pagrindimas dėl </w:t>
      </w:r>
      <w:r w:rsidR="00CD0749" w:rsidRPr="004D18F9">
        <w:rPr>
          <w:rFonts w:eastAsia="Times New Roman" w:cstheme="minorHAnsi"/>
          <w:sz w:val="24"/>
          <w:szCs w:val="24"/>
          <w:lang w:val="lt-LT"/>
        </w:rPr>
        <w:t xml:space="preserve">techninių </w:t>
      </w:r>
      <w:r w:rsidR="002411AC" w:rsidRPr="004D18F9">
        <w:rPr>
          <w:rFonts w:eastAsia="Times New Roman" w:cstheme="minorHAnsi"/>
          <w:sz w:val="24"/>
          <w:szCs w:val="24"/>
          <w:lang w:val="lt-LT"/>
        </w:rPr>
        <w:t>kokybės kriterijų ekonominės naudos yra deklaratyvus ir keliantis abejonių</w:t>
      </w:r>
      <w:r w:rsidR="00556BF6">
        <w:rPr>
          <w:rFonts w:eastAsia="Times New Roman" w:cstheme="minorHAnsi"/>
          <w:sz w:val="24"/>
          <w:szCs w:val="24"/>
          <w:lang w:val="lt-LT"/>
        </w:rPr>
        <w:t>, rekomenduotina pakartotinai įsivertinti nustatytų reikalavimų pagrįstumą bei proporcingumą</w:t>
      </w:r>
      <w:r w:rsidR="00A646FA" w:rsidRPr="004D18F9">
        <w:rPr>
          <w:rFonts w:eastAsia="Times New Roman" w:cstheme="minorHAnsi"/>
          <w:sz w:val="24"/>
          <w:szCs w:val="24"/>
          <w:lang w:val="lt-LT"/>
        </w:rPr>
        <w:t>.</w:t>
      </w:r>
    </w:p>
    <w:p w14:paraId="1D8075AC" w14:textId="0C3E99EC" w:rsidR="00781D95" w:rsidRPr="0001502E" w:rsidRDefault="00781D95" w:rsidP="004D18F9">
      <w:pPr>
        <w:pStyle w:val="paragraph"/>
        <w:spacing w:before="0" w:beforeAutospacing="0" w:after="0" w:afterAutospacing="0" w:line="276" w:lineRule="auto"/>
        <w:ind w:firstLine="840"/>
        <w:textAlignment w:val="baseline"/>
        <w:rPr>
          <w:rStyle w:val="normaltextrun"/>
          <w:rFonts w:asciiTheme="minorHAnsi" w:hAnsiTheme="minorHAnsi" w:cstheme="minorHAnsi"/>
        </w:rPr>
      </w:pPr>
      <w:r w:rsidRPr="004D18F9">
        <w:rPr>
          <w:rStyle w:val="normaltextrun"/>
          <w:rFonts w:asciiTheme="minorHAnsi" w:hAnsiTheme="minorHAnsi" w:cstheme="minorHAnsi"/>
        </w:rPr>
        <w:t xml:space="preserve">Tarnyba pažymi, kad Įstatymo 17 straipsnio 2 dalies 1 punktas įpareigoja perkančiąsias organizacijas siekti, jog prekėms, paslaugoms ar darbams skirtos lėšos būtų naudojamos </w:t>
      </w:r>
      <w:r w:rsidRPr="0001502E">
        <w:rPr>
          <w:rStyle w:val="normaltextrun"/>
          <w:rFonts w:asciiTheme="minorHAnsi" w:hAnsiTheme="minorHAnsi" w:cstheme="minorHAnsi"/>
        </w:rPr>
        <w:t xml:space="preserve">racionaliai, ir nors simuliacijos parodo tik hipotetinius pasiūlymo vertinimo atvejus, tačiau tokie </w:t>
      </w:r>
      <w:r w:rsidRPr="0001502E">
        <w:rPr>
          <w:rStyle w:val="normaltextrun"/>
          <w:rFonts w:asciiTheme="minorHAnsi" w:hAnsiTheme="minorHAnsi" w:cstheme="minorHAnsi"/>
        </w:rPr>
        <w:lastRenderedPageBreak/>
        <w:t>skaičiavimai parodo, kokia pinigine išraiška yra vertinamas vienas ar kitas ekonominio naudingumo kriteriju</w:t>
      </w:r>
      <w:r w:rsidR="00FB258B">
        <w:rPr>
          <w:rStyle w:val="normaltextrun"/>
          <w:rFonts w:asciiTheme="minorHAnsi" w:hAnsiTheme="minorHAnsi" w:cstheme="minorHAnsi"/>
        </w:rPr>
        <w:t>s</w:t>
      </w:r>
      <w:r w:rsidR="002E5258" w:rsidRPr="0001502E">
        <w:rPr>
          <w:rStyle w:val="normaltextrun"/>
          <w:rFonts w:asciiTheme="minorHAnsi" w:hAnsiTheme="minorHAnsi" w:cstheme="minorHAnsi"/>
        </w:rPr>
        <w:t>.</w:t>
      </w:r>
    </w:p>
    <w:p w14:paraId="3B243153" w14:textId="2DE0A62B" w:rsidR="002E5258" w:rsidRPr="0001502E" w:rsidRDefault="002E5258" w:rsidP="004D18F9">
      <w:pPr>
        <w:pStyle w:val="paragraph"/>
        <w:spacing w:before="0" w:beforeAutospacing="0" w:after="0" w:afterAutospacing="0" w:line="276" w:lineRule="auto"/>
        <w:ind w:firstLine="840"/>
        <w:textAlignment w:val="baseline"/>
        <w:rPr>
          <w:rFonts w:asciiTheme="minorHAnsi" w:hAnsiTheme="minorHAnsi" w:cstheme="minorHAnsi"/>
        </w:rPr>
      </w:pPr>
      <w:r w:rsidRPr="0001502E">
        <w:rPr>
          <w:rFonts w:asciiTheme="minorHAnsi" w:hAnsiTheme="minorHAnsi" w:cstheme="minorHAnsi"/>
        </w:rPr>
        <w:t xml:space="preserve">Atsižvelgiant į tai, kas išdėstyta, Tarnyba rekomenduoja pakartotinai įsivertinti, ar pasirinkti kokybės techniniai kriterijai šiuo atveju yra tikslingi </w:t>
      </w:r>
      <w:r w:rsidR="00556BF6">
        <w:rPr>
          <w:rFonts w:asciiTheme="minorHAnsi" w:hAnsiTheme="minorHAnsi" w:cstheme="minorHAnsi"/>
        </w:rPr>
        <w:t xml:space="preserve">bei pagrįsti, </w:t>
      </w:r>
      <w:r w:rsidRPr="0001502E">
        <w:rPr>
          <w:rFonts w:asciiTheme="minorHAnsi" w:hAnsiTheme="minorHAnsi" w:cstheme="minorHAnsi"/>
        </w:rPr>
        <w:t xml:space="preserve">ir ar Perkančioji organizacija </w:t>
      </w:r>
      <w:r w:rsidR="00556BF6">
        <w:rPr>
          <w:rFonts w:asciiTheme="minorHAnsi" w:hAnsiTheme="minorHAnsi" w:cstheme="minorHAnsi"/>
        </w:rPr>
        <w:t xml:space="preserve">tikrai </w:t>
      </w:r>
      <w:r w:rsidRPr="0001502E">
        <w:rPr>
          <w:rFonts w:asciiTheme="minorHAnsi" w:hAnsiTheme="minorHAnsi" w:cstheme="minorHAnsi"/>
        </w:rPr>
        <w:t>gaus papildomą ekonominę naudą.</w:t>
      </w:r>
      <w:r w:rsidR="0001502E" w:rsidRPr="0001502E">
        <w:rPr>
          <w:rFonts w:asciiTheme="minorHAnsi" w:hAnsiTheme="minorHAnsi" w:cstheme="minorHAnsi"/>
        </w:rPr>
        <w:t xml:space="preserve"> Taip pat rekomenduotina įsivertinti ir lyginamuosius svorius kainai 60 ir techniniams pranašumams 40, nes</w:t>
      </w:r>
      <w:r w:rsidR="00556BF6">
        <w:rPr>
          <w:rFonts w:asciiTheme="minorHAnsi" w:hAnsiTheme="minorHAnsi" w:cstheme="minorHAnsi"/>
        </w:rPr>
        <w:t>, kaip nurodyta aukščiau, šiuo atveju</w:t>
      </w:r>
      <w:r w:rsidR="0001502E" w:rsidRPr="0001502E">
        <w:rPr>
          <w:rFonts w:asciiTheme="minorHAnsi" w:hAnsiTheme="minorHAnsi" w:cstheme="minorHAnsi"/>
        </w:rPr>
        <w:t xml:space="preserve"> tiekėj</w:t>
      </w:r>
      <w:r w:rsidR="00556BF6">
        <w:rPr>
          <w:rFonts w:asciiTheme="minorHAnsi" w:hAnsiTheme="minorHAnsi" w:cstheme="minorHAnsi"/>
        </w:rPr>
        <w:t xml:space="preserve">ų konkurencija yra apribojama. Atkreiptinas dėmesys, kad jei Perkančiajai organizacijai yra svarbu įsigyti įrangą su aukštesniais parametrais, kuri būtina jos funkcijų vykdymui, ji tuos reikalavimus privalo įtvirtinti TS, o nustatant ekonominio vertinimo kriterijus turi būti vertinama jų suteikiama papildoma nauda bei užtikrinama galimybė tiekėjams konkuruoti siūlant geresnių parametrų įrangą už adekvačią kainą. </w:t>
      </w:r>
    </w:p>
    <w:p w14:paraId="39D938B4" w14:textId="77777777" w:rsidR="00FF2D1C" w:rsidRDefault="006D629A" w:rsidP="00F6129A">
      <w:pPr>
        <w:spacing w:line="276" w:lineRule="auto"/>
        <w:ind w:firstLine="709"/>
        <w:rPr>
          <w:rFonts w:cstheme="minorHAnsi"/>
          <w:sz w:val="24"/>
          <w:szCs w:val="24"/>
          <w:lang w:val="lt-LT"/>
        </w:rPr>
      </w:pPr>
      <w:r w:rsidRPr="004D18F9">
        <w:rPr>
          <w:rFonts w:cstheme="minorHAnsi"/>
          <w:sz w:val="24"/>
          <w:szCs w:val="24"/>
          <w:lang w:val="lt-LT"/>
        </w:rPr>
        <w:t xml:space="preserve">Sutarties </w:t>
      </w:r>
      <w:r w:rsidR="00E50BA9" w:rsidRPr="004D18F9">
        <w:rPr>
          <w:rFonts w:cstheme="minorHAnsi"/>
          <w:sz w:val="24"/>
          <w:szCs w:val="24"/>
          <w:lang w:val="lt-LT"/>
        </w:rPr>
        <w:t xml:space="preserve">projekto </w:t>
      </w:r>
      <w:r w:rsidR="00612580" w:rsidRPr="004D18F9">
        <w:rPr>
          <w:rFonts w:cstheme="minorHAnsi"/>
          <w:sz w:val="24"/>
          <w:szCs w:val="24"/>
          <w:lang w:val="lt-LT"/>
        </w:rPr>
        <w:t xml:space="preserve">Specialiųjų sąlygų 3.3 papunktyje nurodyta, jog </w:t>
      </w:r>
      <w:r w:rsidR="007A59D7" w:rsidRPr="004D18F9">
        <w:rPr>
          <w:rFonts w:cstheme="minorHAnsi"/>
          <w:sz w:val="24"/>
          <w:szCs w:val="24"/>
          <w:lang w:val="lt-LT"/>
        </w:rPr>
        <w:t xml:space="preserve">pirkimas vykdomas pagal ES finansavimą pagal rengiamą projektą pagal 2022-2030 metų </w:t>
      </w:r>
      <w:r w:rsidR="00BE2B64" w:rsidRPr="004D18F9">
        <w:rPr>
          <w:rFonts w:cstheme="minorHAnsi"/>
          <w:sz w:val="24"/>
          <w:szCs w:val="24"/>
          <w:lang w:val="lt-LT"/>
        </w:rPr>
        <w:t xml:space="preserve">sveikatos priežiūros kokybės ir efektyvumo didinimo plėtros programos pažangos priemonę Nr. 11-002-02-11-01 </w:t>
      </w:r>
      <w:r w:rsidR="00FF2D1C">
        <w:rPr>
          <w:rFonts w:cstheme="minorHAnsi"/>
          <w:sz w:val="24"/>
          <w:szCs w:val="24"/>
          <w:lang w:val="lt-LT"/>
        </w:rPr>
        <w:t>„</w:t>
      </w:r>
      <w:r w:rsidR="00BE2B64" w:rsidRPr="004D18F9">
        <w:rPr>
          <w:rFonts w:cstheme="minorHAnsi"/>
          <w:sz w:val="24"/>
          <w:szCs w:val="24"/>
          <w:lang w:val="lt-LT"/>
        </w:rPr>
        <w:t xml:space="preserve">Gerinti sveikatos priežiūros </w:t>
      </w:r>
      <w:r w:rsidR="0096629C" w:rsidRPr="004D18F9">
        <w:rPr>
          <w:rFonts w:cstheme="minorHAnsi"/>
          <w:sz w:val="24"/>
          <w:szCs w:val="24"/>
          <w:lang w:val="lt-LT"/>
        </w:rPr>
        <w:t>paslaugų kokybę ir prieinamumą”</w:t>
      </w:r>
      <w:r w:rsidR="00872962" w:rsidRPr="004D18F9">
        <w:rPr>
          <w:rFonts w:cstheme="minorHAnsi"/>
          <w:sz w:val="24"/>
          <w:szCs w:val="24"/>
          <w:lang w:val="lt-LT"/>
        </w:rPr>
        <w:t xml:space="preserve">. </w:t>
      </w:r>
    </w:p>
    <w:p w14:paraId="4DD9F0EA" w14:textId="1506CB4D" w:rsidR="00831A79" w:rsidRPr="004D18F9" w:rsidRDefault="00872962" w:rsidP="00F6129A">
      <w:pPr>
        <w:spacing w:line="276" w:lineRule="auto"/>
        <w:ind w:firstLine="709"/>
        <w:rPr>
          <w:rFonts w:cstheme="minorHAnsi"/>
          <w:sz w:val="24"/>
          <w:szCs w:val="24"/>
          <w:lang w:val="lt-LT"/>
        </w:rPr>
      </w:pPr>
      <w:r w:rsidRPr="004D18F9">
        <w:rPr>
          <w:rFonts w:cstheme="minorHAnsi"/>
          <w:sz w:val="24"/>
          <w:szCs w:val="24"/>
          <w:lang w:val="lt-LT"/>
        </w:rPr>
        <w:t>Prašome nurodyt</w:t>
      </w:r>
      <w:r w:rsidR="001B5716">
        <w:rPr>
          <w:rFonts w:cstheme="minorHAnsi"/>
          <w:sz w:val="24"/>
          <w:szCs w:val="24"/>
          <w:lang w:val="lt-LT"/>
        </w:rPr>
        <w:t>i</w:t>
      </w:r>
      <w:r w:rsidRPr="004D18F9">
        <w:rPr>
          <w:rFonts w:cstheme="minorHAnsi"/>
          <w:sz w:val="24"/>
          <w:szCs w:val="24"/>
          <w:lang w:val="lt-LT"/>
        </w:rPr>
        <w:t xml:space="preserve"> kokia įgyvendinan</w:t>
      </w:r>
      <w:r w:rsidR="005F61FC">
        <w:rPr>
          <w:rFonts w:cstheme="minorHAnsi"/>
          <w:sz w:val="24"/>
          <w:szCs w:val="24"/>
          <w:lang w:val="lt-LT"/>
        </w:rPr>
        <w:t xml:space="preserve">čioji agentūra administruoja šį projektą ir </w:t>
      </w:r>
      <w:r w:rsidR="00F75B99" w:rsidRPr="004D18F9">
        <w:rPr>
          <w:rFonts w:cstheme="minorHAnsi"/>
          <w:sz w:val="24"/>
          <w:szCs w:val="24"/>
          <w:lang w:val="lt-LT"/>
        </w:rPr>
        <w:t>ar</w:t>
      </w:r>
      <w:r w:rsidR="005F61FC">
        <w:rPr>
          <w:rFonts w:cstheme="minorHAnsi"/>
          <w:sz w:val="24"/>
          <w:szCs w:val="24"/>
          <w:lang w:val="lt-LT"/>
        </w:rPr>
        <w:t xml:space="preserve"> b</w:t>
      </w:r>
      <w:r w:rsidR="007D1B2A">
        <w:rPr>
          <w:rFonts w:cstheme="minorHAnsi"/>
          <w:sz w:val="24"/>
          <w:szCs w:val="24"/>
          <w:lang w:val="lt-LT"/>
        </w:rPr>
        <w:t xml:space="preserve">uvo atlikta šio </w:t>
      </w:r>
      <w:r w:rsidR="00556BF6">
        <w:rPr>
          <w:rFonts w:cstheme="minorHAnsi"/>
          <w:sz w:val="24"/>
          <w:szCs w:val="24"/>
          <w:lang w:val="lt-LT"/>
        </w:rPr>
        <w:t>P</w:t>
      </w:r>
      <w:r w:rsidR="007D1B2A">
        <w:rPr>
          <w:rFonts w:cstheme="minorHAnsi"/>
          <w:sz w:val="24"/>
          <w:szCs w:val="24"/>
          <w:lang w:val="lt-LT"/>
        </w:rPr>
        <w:t xml:space="preserve">irkimo </w:t>
      </w:r>
      <w:r w:rsidR="00556BF6">
        <w:rPr>
          <w:rFonts w:cstheme="minorHAnsi"/>
          <w:sz w:val="24"/>
          <w:szCs w:val="24"/>
          <w:lang w:val="lt-LT"/>
        </w:rPr>
        <w:t>išankstinė</w:t>
      </w:r>
      <w:r w:rsidR="007D1B2A">
        <w:rPr>
          <w:rFonts w:cstheme="minorHAnsi"/>
          <w:sz w:val="24"/>
          <w:szCs w:val="24"/>
          <w:lang w:val="lt-LT"/>
        </w:rPr>
        <w:t xml:space="preserve"> patikra? Jeigu įgyvendinančioji agentūra atliko patikrą, prašome nurodyti kokias pastabas pateikė</w:t>
      </w:r>
      <w:r w:rsidR="00556BF6">
        <w:rPr>
          <w:rFonts w:cstheme="minorHAnsi"/>
          <w:sz w:val="24"/>
          <w:szCs w:val="24"/>
          <w:lang w:val="lt-LT"/>
        </w:rPr>
        <w:t xml:space="preserve"> (jei jos buvo teiktos)</w:t>
      </w:r>
      <w:r w:rsidR="00E75F3C">
        <w:rPr>
          <w:rFonts w:cstheme="minorHAnsi"/>
          <w:sz w:val="24"/>
          <w:szCs w:val="24"/>
          <w:lang w:val="lt-LT"/>
        </w:rPr>
        <w:t>.</w:t>
      </w:r>
    </w:p>
    <w:p w14:paraId="60CD9EB3" w14:textId="4D78E03F" w:rsidR="004908A7" w:rsidRPr="004D18F9" w:rsidRDefault="00556BF6" w:rsidP="00226B79">
      <w:pPr>
        <w:spacing w:after="0" w:line="276" w:lineRule="auto"/>
        <w:ind w:firstLine="709"/>
        <w:rPr>
          <w:rStyle w:val="eop"/>
          <w:rFonts w:cstheme="minorHAnsi"/>
          <w:color w:val="000000"/>
          <w:sz w:val="24"/>
          <w:szCs w:val="24"/>
          <w:shd w:val="clear" w:color="auto" w:fill="FFFFFF"/>
          <w:lang w:val="lt-LT"/>
        </w:rPr>
      </w:pPr>
      <w:r>
        <w:rPr>
          <w:rStyle w:val="normaltextrun"/>
          <w:rFonts w:cstheme="minorHAnsi"/>
          <w:sz w:val="24"/>
          <w:szCs w:val="24"/>
          <w:lang w:val="lt-LT"/>
        </w:rPr>
        <w:t>Priėmus sprendimą a</w:t>
      </w:r>
      <w:r w:rsidR="003D6E5B" w:rsidRPr="004D18F9">
        <w:rPr>
          <w:rStyle w:val="normaltextrun"/>
          <w:rFonts w:cstheme="minorHAnsi"/>
          <w:sz w:val="24"/>
          <w:szCs w:val="24"/>
          <w:lang w:val="lt-LT"/>
        </w:rPr>
        <w:t>tsižvelg</w:t>
      </w:r>
      <w:r>
        <w:rPr>
          <w:rStyle w:val="normaltextrun"/>
          <w:rFonts w:cstheme="minorHAnsi"/>
          <w:sz w:val="24"/>
          <w:szCs w:val="24"/>
          <w:lang w:val="lt-LT"/>
        </w:rPr>
        <w:t xml:space="preserve">ti </w:t>
      </w:r>
      <w:r w:rsidR="003D6E5B" w:rsidRPr="004D18F9">
        <w:rPr>
          <w:rStyle w:val="normaltextrun"/>
          <w:rFonts w:cstheme="minorHAnsi"/>
          <w:sz w:val="24"/>
          <w:szCs w:val="24"/>
          <w:lang w:val="lt-LT"/>
        </w:rPr>
        <w:t xml:space="preserve">į pateiktą Rekomendaciją ir tikslinti Pirkimo </w:t>
      </w:r>
      <w:r w:rsidR="003D6E5B" w:rsidRPr="00AB1EEC">
        <w:rPr>
          <w:rStyle w:val="normaltextrun"/>
          <w:rFonts w:cstheme="minorHAnsi"/>
          <w:sz w:val="24"/>
          <w:szCs w:val="24"/>
          <w:lang w:val="lt-LT"/>
        </w:rPr>
        <w:t xml:space="preserve">dokumentus, Perkančioji organizacija turi įvertinti, ar toks tikslinimas nebūtų laikytinas esminiu pirkimo dokumentų keitimu, kurį atlikus būtų pažeisti </w:t>
      </w:r>
      <w:r w:rsidR="003D6E5B" w:rsidRPr="00AB1EEC">
        <w:rPr>
          <w:rFonts w:cstheme="minorHAnsi"/>
          <w:bCs/>
          <w:sz w:val="24"/>
          <w:szCs w:val="24"/>
          <w:lang w:val="lt-LT"/>
        </w:rPr>
        <w:t xml:space="preserve">skaidrumo ir tiekėjų teisėtų lūkesčių principai, ar šiuo atveju galėtų būti pritaikyti </w:t>
      </w:r>
      <w:proofErr w:type="spellStart"/>
      <w:r w:rsidR="003D6E5B" w:rsidRPr="00AB1EEC">
        <w:rPr>
          <w:rFonts w:cstheme="minorHAnsi"/>
          <w:bCs/>
          <w:sz w:val="24"/>
          <w:szCs w:val="24"/>
          <w:lang w:val="lt-LT"/>
        </w:rPr>
        <w:t>Borta</w:t>
      </w:r>
      <w:proofErr w:type="spellEnd"/>
      <w:r w:rsidR="003D6E5B" w:rsidRPr="00AB1EEC">
        <w:rPr>
          <w:rFonts w:cstheme="minorHAnsi"/>
          <w:bCs/>
          <w:sz w:val="24"/>
          <w:szCs w:val="24"/>
          <w:lang w:val="lt-LT"/>
        </w:rPr>
        <w:t xml:space="preserve"> kriterijai</w:t>
      </w:r>
      <w:r w:rsidR="003D6E5B" w:rsidRPr="00AB1EEC">
        <w:rPr>
          <w:rFonts w:cstheme="minorHAnsi"/>
          <w:bCs/>
          <w:sz w:val="24"/>
          <w:szCs w:val="24"/>
          <w:vertAlign w:val="superscript"/>
          <w:lang w:val="lt-LT"/>
        </w:rPr>
        <w:footnoteReference w:id="2"/>
      </w:r>
      <w:r w:rsidR="003D6E5B" w:rsidRPr="00AB1EEC">
        <w:rPr>
          <w:rFonts w:cstheme="minorHAnsi"/>
          <w:bCs/>
          <w:sz w:val="24"/>
          <w:szCs w:val="24"/>
          <w:lang w:val="lt-LT"/>
        </w:rPr>
        <w:t xml:space="preserve"> ir, nenutraukiant Pirkimo procedūros, Pirkimo dokumentai būtų patikslinti, tinkamai informuojant tiekėjus apie patikslinimus ir pratęsiant pasiūlymų pateikimo terminą</w:t>
      </w:r>
      <w:r w:rsidR="003D6E5B" w:rsidRPr="00AB1EEC">
        <w:rPr>
          <w:rStyle w:val="normaltextrun"/>
          <w:rFonts w:cstheme="minorHAnsi"/>
          <w:sz w:val="24"/>
          <w:szCs w:val="24"/>
          <w:lang w:val="lt-LT"/>
        </w:rPr>
        <w:t xml:space="preserve">. Atkreiptinas dėmesys, kad  </w:t>
      </w:r>
      <w:r w:rsidR="003D6E5B" w:rsidRPr="00AB1EEC">
        <w:rPr>
          <w:rStyle w:val="normaltextrun"/>
          <w:rFonts w:cstheme="minorHAnsi"/>
          <w:color w:val="000000"/>
          <w:sz w:val="24"/>
          <w:szCs w:val="24"/>
          <w:shd w:val="clear" w:color="auto" w:fill="FFFFFF"/>
          <w:lang w:val="lt-LT"/>
        </w:rPr>
        <w:t xml:space="preserve">Įstatymo </w:t>
      </w:r>
      <w:r w:rsidR="003D6E5B" w:rsidRPr="00AB1EEC">
        <w:rPr>
          <w:rStyle w:val="findhit"/>
          <w:rFonts w:cstheme="minorHAnsi"/>
          <w:color w:val="000000"/>
          <w:sz w:val="24"/>
          <w:szCs w:val="24"/>
          <w:shd w:val="clear" w:color="auto" w:fill="FFFFFF"/>
          <w:lang w:val="lt-LT"/>
        </w:rPr>
        <w:t>36 str</w:t>
      </w:r>
      <w:r w:rsidR="003D6E5B" w:rsidRPr="00AB1EEC">
        <w:rPr>
          <w:rStyle w:val="normaltextrun"/>
          <w:rFonts w:cstheme="minorHAnsi"/>
          <w:color w:val="000000"/>
          <w:sz w:val="24"/>
          <w:szCs w:val="24"/>
          <w:shd w:val="clear" w:color="auto" w:fill="FFFFFF"/>
          <w:lang w:val="lt-LT"/>
        </w:rPr>
        <w:t xml:space="preserve">aipsnio 6 dalyje nustatyta, kad „tarptautinių pirkimų atveju negali būti daromi tokie esminiai pirkimo sąlygų pakeitimai, dėl kurių būtų buvę galima leisti dalyvauti kitiems kandidatams, negu iš pradžių atrinktiesiems, arba pirkimo procedūra būtų pritraukusi daugiau dalyvių“, o 29 straipsnio 4 dalyje nurodyta, kad „Perkančioji organizacija turi teisę savo iniciatyva nutraukti pradėtas pirkimo ar projekto konkurso procedūras, jeigu atsirado aplinkybių, kurių nebuvo galima numatyti, arba pirkimo dokumentuose padaryta esminių klaidų, dėl kurių pirkimas tampa </w:t>
      </w:r>
      <w:r w:rsidR="003D6E5B" w:rsidRPr="00AB1EEC">
        <w:rPr>
          <w:rStyle w:val="normaltextrun"/>
          <w:rFonts w:cstheme="minorHAnsi"/>
          <w:color w:val="000000"/>
          <w:sz w:val="24"/>
          <w:szCs w:val="24"/>
          <w:shd w:val="clear" w:color="auto" w:fill="FFFFFF"/>
          <w:lang w:val="lt-LT"/>
        </w:rPr>
        <w:lastRenderedPageBreak/>
        <w:t>nebetikslingas ar jį įvykdžius būtų įsigytas perkančiosios organizacijos poreikių neatitinkantis pirkimo objektas“.</w:t>
      </w:r>
      <w:r w:rsidR="003D6E5B" w:rsidRPr="004D18F9">
        <w:rPr>
          <w:rStyle w:val="eop"/>
          <w:rFonts w:cstheme="minorHAnsi"/>
          <w:color w:val="000000"/>
          <w:sz w:val="24"/>
          <w:szCs w:val="24"/>
          <w:shd w:val="clear" w:color="auto" w:fill="FFFFFF"/>
          <w:lang w:val="lt-LT"/>
        </w:rPr>
        <w:t> </w:t>
      </w:r>
    </w:p>
    <w:p w14:paraId="42F8FBA1" w14:textId="77777777" w:rsidR="00466E80" w:rsidRPr="004D18F9" w:rsidRDefault="00466E80" w:rsidP="00226B79">
      <w:pPr>
        <w:pStyle w:val="paragraph"/>
        <w:spacing w:before="0" w:beforeAutospacing="0" w:after="0" w:afterAutospacing="0"/>
        <w:ind w:firstLine="720"/>
        <w:textAlignment w:val="baseline"/>
        <w:rPr>
          <w:rFonts w:asciiTheme="minorHAnsi" w:hAnsiTheme="minorHAnsi" w:cstheme="minorHAnsi"/>
        </w:rPr>
      </w:pPr>
      <w:r w:rsidRPr="004D18F9">
        <w:rPr>
          <w:rStyle w:val="normaltextrun"/>
          <w:rFonts w:asciiTheme="minorHAnsi" w:hAnsiTheme="minorHAnsi" w:cstheme="minorHAnsi"/>
        </w:rPr>
        <w:t>Pažymime, kad visais atvejais sprendimą dėl tolimesnio pirkimo vykdymo / nutraukimo priima pati Perkančioji organizacija, kadangi Tarnybos pateikta rekomendacija nėra privalomojo pobūdžio įpareigojimas, tačiau Perkančiajai organizacijai, neatsižvelgus į Rekomendacijoje pateiktas pastabas ir / ar pasiūlymus, yra sprendžiamas klausimas dėl Pirkimo perdavimo vertinimui.</w:t>
      </w:r>
      <w:r w:rsidRPr="004D18F9">
        <w:rPr>
          <w:rStyle w:val="eop"/>
          <w:rFonts w:asciiTheme="minorHAnsi" w:hAnsiTheme="minorHAnsi" w:cstheme="minorHAnsi"/>
        </w:rPr>
        <w:t> </w:t>
      </w:r>
    </w:p>
    <w:p w14:paraId="4A15D77F" w14:textId="77777777" w:rsidR="00466E80" w:rsidRPr="004D18F9" w:rsidRDefault="00466E80" w:rsidP="004D18F9">
      <w:pPr>
        <w:spacing w:line="276" w:lineRule="auto"/>
        <w:rPr>
          <w:rFonts w:cstheme="minorHAnsi"/>
          <w:sz w:val="24"/>
          <w:szCs w:val="24"/>
          <w:lang w:val="lt-LT"/>
        </w:rPr>
      </w:pPr>
    </w:p>
    <w:sectPr w:rsidR="00466E80" w:rsidRPr="004D1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F1A89B" w14:textId="77777777" w:rsidR="003D6E5B" w:rsidRDefault="003D6E5B" w:rsidP="003D6E5B">
      <w:pPr>
        <w:spacing w:after="0" w:line="240" w:lineRule="auto"/>
      </w:pPr>
      <w:r>
        <w:separator/>
      </w:r>
    </w:p>
  </w:endnote>
  <w:endnote w:type="continuationSeparator" w:id="0">
    <w:p w14:paraId="229E438A" w14:textId="77777777" w:rsidR="003D6E5B" w:rsidRDefault="003D6E5B" w:rsidP="003D6E5B">
      <w:pPr>
        <w:spacing w:after="0" w:line="240" w:lineRule="auto"/>
      </w:pPr>
      <w:r>
        <w:continuationSeparator/>
      </w:r>
    </w:p>
  </w:endnote>
  <w:endnote w:type="continuationNotice" w:id="1">
    <w:p w14:paraId="4E519065" w14:textId="77777777" w:rsidR="00C9783F" w:rsidRDefault="00C978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DD1A2A" w14:textId="77777777" w:rsidR="003D6E5B" w:rsidRDefault="003D6E5B" w:rsidP="003D6E5B">
      <w:pPr>
        <w:spacing w:after="0" w:line="240" w:lineRule="auto"/>
      </w:pPr>
      <w:r>
        <w:separator/>
      </w:r>
    </w:p>
  </w:footnote>
  <w:footnote w:type="continuationSeparator" w:id="0">
    <w:p w14:paraId="44D1F7C4" w14:textId="77777777" w:rsidR="003D6E5B" w:rsidRDefault="003D6E5B" w:rsidP="003D6E5B">
      <w:pPr>
        <w:spacing w:after="0" w:line="240" w:lineRule="auto"/>
      </w:pPr>
      <w:r>
        <w:continuationSeparator/>
      </w:r>
    </w:p>
  </w:footnote>
  <w:footnote w:type="continuationNotice" w:id="1">
    <w:p w14:paraId="61D60B12" w14:textId="77777777" w:rsidR="00C9783F" w:rsidRDefault="00C9783F">
      <w:pPr>
        <w:spacing w:after="0" w:line="240" w:lineRule="auto"/>
      </w:pPr>
    </w:p>
  </w:footnote>
  <w:footnote w:id="2">
    <w:p w14:paraId="3A90DD10" w14:textId="77777777" w:rsidR="003D6E5B" w:rsidRPr="00773B5E" w:rsidRDefault="003D6E5B" w:rsidP="003D6E5B">
      <w:pPr>
        <w:pStyle w:val="Puslapioinaostekstas"/>
      </w:pPr>
      <w:r w:rsidRPr="000730AE">
        <w:rPr>
          <w:rStyle w:val="Puslapioinaosnuoroda"/>
          <w:color w:val="000000" w:themeColor="text1"/>
        </w:rPr>
        <w:footnoteRef/>
      </w:r>
      <w:r w:rsidRPr="00773B5E">
        <w:t xml:space="preserve"> </w:t>
      </w:r>
      <w:r w:rsidRPr="00773B5E">
        <w:rPr>
          <w:bCs/>
          <w:color w:val="000000" w:themeColor="text1"/>
        </w:rPr>
        <w:t>Europos Sąjungos Teisingumo Teismo (toliau – ESTT) 2017-04-05 sprendimu UAB „</w:t>
      </w:r>
      <w:proofErr w:type="spellStart"/>
      <w:r w:rsidRPr="00773B5E">
        <w:rPr>
          <w:bCs/>
          <w:color w:val="000000" w:themeColor="text1"/>
        </w:rPr>
        <w:t>Borta</w:t>
      </w:r>
      <w:proofErr w:type="spellEnd"/>
      <w:r w:rsidRPr="00773B5E">
        <w:rPr>
          <w:bCs/>
          <w:color w:val="000000" w:themeColor="text1"/>
        </w:rPr>
        <w:t>“ prieš VĮ Klaipėdos valstybinio jūrų uosto direkciją C-298/15 iš dalies pakeista nuosekliai formuota praktika, bei pripažinta, jog paskelbtos viešojo pirkimo sąlygos, įskaitant esmines pirkimo sąlygas, gali būti keičiamos pirkimo vykdytojo iniciatyva. ESTT suformulavo specialius kriterijus, kuriais remiantis pirkimo sąlygos gali būti pakeistos pirkimo vykdytojo iniciatyva (</w:t>
      </w:r>
      <w:proofErr w:type="spellStart"/>
      <w:r w:rsidRPr="00773B5E">
        <w:rPr>
          <w:bCs/>
          <w:i/>
          <w:color w:val="000000" w:themeColor="text1"/>
        </w:rPr>
        <w:t>Borta</w:t>
      </w:r>
      <w:proofErr w:type="spellEnd"/>
      <w:r w:rsidRPr="00773B5E">
        <w:rPr>
          <w:bCs/>
          <w:color w:val="000000" w:themeColor="text1"/>
        </w:rPr>
        <w:t xml:space="preserve"> kriterijai) (70-77 p.) </w:t>
      </w:r>
      <w:hyperlink r:id="rId1" w:history="1">
        <w:r w:rsidRPr="00773B5E">
          <w:rPr>
            <w:rStyle w:val="Hipersaitas"/>
          </w:rPr>
          <w:t>https://curia.europa.eu/juris/document/document.jsf;jsessionid=2625A13002ED90BC5BF6822218EA108A?text=&amp;docid=189626&amp;pageIndex=0&amp;doclang=lt&amp;mode=lst&amp;dir=&amp;occ=first&amp;part=1&amp;cid=2616222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2F7"/>
    <w:rsid w:val="0001502E"/>
    <w:rsid w:val="00036ED2"/>
    <w:rsid w:val="00037A8C"/>
    <w:rsid w:val="000D7556"/>
    <w:rsid w:val="00122227"/>
    <w:rsid w:val="00164693"/>
    <w:rsid w:val="00171F8A"/>
    <w:rsid w:val="001B166E"/>
    <w:rsid w:val="001B5716"/>
    <w:rsid w:val="001C17CB"/>
    <w:rsid w:val="001D68C2"/>
    <w:rsid w:val="00226B79"/>
    <w:rsid w:val="002411AC"/>
    <w:rsid w:val="002472F7"/>
    <w:rsid w:val="00255CEB"/>
    <w:rsid w:val="002E316E"/>
    <w:rsid w:val="002E5258"/>
    <w:rsid w:val="00311704"/>
    <w:rsid w:val="00376687"/>
    <w:rsid w:val="003C0F63"/>
    <w:rsid w:val="003D6E5B"/>
    <w:rsid w:val="00466E80"/>
    <w:rsid w:val="004908A7"/>
    <w:rsid w:val="004D18F9"/>
    <w:rsid w:val="00556BF6"/>
    <w:rsid w:val="005750C4"/>
    <w:rsid w:val="00587AB9"/>
    <w:rsid w:val="005F61FC"/>
    <w:rsid w:val="00612580"/>
    <w:rsid w:val="00673E26"/>
    <w:rsid w:val="0069627F"/>
    <w:rsid w:val="006C0D6E"/>
    <w:rsid w:val="006D2013"/>
    <w:rsid w:val="006D629A"/>
    <w:rsid w:val="006F1A9E"/>
    <w:rsid w:val="006F6C26"/>
    <w:rsid w:val="00715117"/>
    <w:rsid w:val="00726BF0"/>
    <w:rsid w:val="007311B3"/>
    <w:rsid w:val="00781D95"/>
    <w:rsid w:val="007950B5"/>
    <w:rsid w:val="007A3CAC"/>
    <w:rsid w:val="007A59D7"/>
    <w:rsid w:val="007D1B2A"/>
    <w:rsid w:val="007D42EA"/>
    <w:rsid w:val="007F57DD"/>
    <w:rsid w:val="00831A79"/>
    <w:rsid w:val="00840774"/>
    <w:rsid w:val="00872962"/>
    <w:rsid w:val="008D5ED3"/>
    <w:rsid w:val="009359E7"/>
    <w:rsid w:val="00937AF4"/>
    <w:rsid w:val="00943B5A"/>
    <w:rsid w:val="0096629C"/>
    <w:rsid w:val="0097350B"/>
    <w:rsid w:val="00A028C8"/>
    <w:rsid w:val="00A646FA"/>
    <w:rsid w:val="00AB1EEC"/>
    <w:rsid w:val="00AC12AD"/>
    <w:rsid w:val="00AD1D6A"/>
    <w:rsid w:val="00B51EC4"/>
    <w:rsid w:val="00B57BAA"/>
    <w:rsid w:val="00BE2B64"/>
    <w:rsid w:val="00BF01C5"/>
    <w:rsid w:val="00BF33CB"/>
    <w:rsid w:val="00C1730C"/>
    <w:rsid w:val="00C603D4"/>
    <w:rsid w:val="00C6771F"/>
    <w:rsid w:val="00C9783F"/>
    <w:rsid w:val="00CD0749"/>
    <w:rsid w:val="00DA77F5"/>
    <w:rsid w:val="00DE6070"/>
    <w:rsid w:val="00E43AD9"/>
    <w:rsid w:val="00E50BA9"/>
    <w:rsid w:val="00E75F3C"/>
    <w:rsid w:val="00E8061F"/>
    <w:rsid w:val="00EC628C"/>
    <w:rsid w:val="00F6129A"/>
    <w:rsid w:val="00F613FE"/>
    <w:rsid w:val="00F75B99"/>
    <w:rsid w:val="00F80E59"/>
    <w:rsid w:val="00FB258B"/>
    <w:rsid w:val="00FD7E88"/>
    <w:rsid w:val="00FF2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B4151"/>
  <w15:chartTrackingRefBased/>
  <w15:docId w15:val="{995B6A15-FF2E-495C-9DEA-65F49812A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472F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ormaltextrun">
    <w:name w:val="normaltextrun"/>
    <w:basedOn w:val="Numatytasispastraiposriftas"/>
    <w:rsid w:val="00781D95"/>
  </w:style>
  <w:style w:type="paragraph" w:customStyle="1" w:styleId="paragraph">
    <w:name w:val="paragraph"/>
    <w:basedOn w:val="prastasis"/>
    <w:rsid w:val="00781D95"/>
    <w:pPr>
      <w:spacing w:before="100" w:beforeAutospacing="1" w:after="100" w:afterAutospacing="1" w:line="240" w:lineRule="auto"/>
    </w:pPr>
    <w:rPr>
      <w:rFonts w:ascii="Times New Roman" w:eastAsia="Times New Roman" w:hAnsi="Times New Roman" w:cs="Times New Roman"/>
      <w:kern w:val="0"/>
      <w:sz w:val="24"/>
      <w:szCs w:val="24"/>
      <w:lang w:val="lt-LT" w:eastAsia="lt-LT"/>
      <w14:ligatures w14:val="none"/>
    </w:rPr>
  </w:style>
  <w:style w:type="character" w:styleId="Hipersaitas">
    <w:name w:val="Hyperlink"/>
    <w:basedOn w:val="Numatytasispastraiposriftas"/>
    <w:uiPriority w:val="99"/>
    <w:unhideWhenUsed/>
    <w:rsid w:val="003D6E5B"/>
    <w:rPr>
      <w:color w:val="0563C1" w:themeColor="hyperlink"/>
      <w:u w:val="single"/>
    </w:rPr>
  </w:style>
  <w:style w:type="paragraph" w:styleId="Puslapioinaostekstas">
    <w:name w:val="footnote text"/>
    <w:aliases w:val="Diagrama1,ColumnText,Išnaša, Diagrama1,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3D6E5B"/>
    <w:pPr>
      <w:spacing w:after="0" w:line="240" w:lineRule="auto"/>
    </w:pPr>
    <w:rPr>
      <w:rFonts w:ascii="Calibri" w:hAnsi="Calibri" w:cs="Calibri"/>
      <w:kern w:val="0"/>
      <w:sz w:val="20"/>
      <w:szCs w:val="20"/>
      <w:lang w:val="lt-LT"/>
      <w14:ligatures w14:val="none"/>
    </w:rPr>
  </w:style>
  <w:style w:type="character" w:customStyle="1" w:styleId="PuslapioinaostekstasDiagrama">
    <w:name w:val="Puslapio išnašos tekstas Diagrama"/>
    <w:aliases w:val="Diagrama1 Diagrama,ColumnText Diagrama,Išnaša Diagrama, Diagrama1 Diagrama,Footnote Text Char Char Diagrama,Footnote Text Char2 Diagrama,Footnote Text Char1 Char Char Diagrama,Footnote Text Char Char Char Char Diagrama"/>
    <w:basedOn w:val="Numatytasispastraiposriftas"/>
    <w:link w:val="Puslapioinaostekstas"/>
    <w:uiPriority w:val="99"/>
    <w:qFormat/>
    <w:rsid w:val="003D6E5B"/>
    <w:rPr>
      <w:rFonts w:ascii="Calibri" w:hAnsi="Calibri" w:cs="Calibri"/>
      <w:kern w:val="0"/>
      <w:sz w:val="20"/>
      <w:szCs w:val="20"/>
      <w:lang w:val="lt-LT"/>
      <w14:ligatures w14:val="none"/>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3D6E5B"/>
    <w:rPr>
      <w:vertAlign w:val="superscript"/>
    </w:rPr>
  </w:style>
  <w:style w:type="character" w:customStyle="1" w:styleId="eop">
    <w:name w:val="eop"/>
    <w:basedOn w:val="Numatytasispastraiposriftas"/>
    <w:rsid w:val="003D6E5B"/>
  </w:style>
  <w:style w:type="character" w:customStyle="1" w:styleId="findhit">
    <w:name w:val="findhit"/>
    <w:basedOn w:val="Numatytasispastraiposriftas"/>
    <w:rsid w:val="003D6E5B"/>
  </w:style>
  <w:style w:type="paragraph" w:styleId="Pataisymai">
    <w:name w:val="Revision"/>
    <w:hidden/>
    <w:uiPriority w:val="99"/>
    <w:semiHidden/>
    <w:rsid w:val="006F6C26"/>
    <w:pPr>
      <w:spacing w:after="0" w:line="240" w:lineRule="auto"/>
    </w:pPr>
  </w:style>
  <w:style w:type="paragraph" w:styleId="Antrats">
    <w:name w:val="header"/>
    <w:basedOn w:val="prastasis"/>
    <w:link w:val="AntratsDiagrama"/>
    <w:uiPriority w:val="99"/>
    <w:semiHidden/>
    <w:unhideWhenUsed/>
    <w:rsid w:val="00C9783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C9783F"/>
  </w:style>
  <w:style w:type="paragraph" w:styleId="Porat">
    <w:name w:val="footer"/>
    <w:basedOn w:val="prastasis"/>
    <w:link w:val="PoratDiagrama"/>
    <w:uiPriority w:val="99"/>
    <w:semiHidden/>
    <w:unhideWhenUsed/>
    <w:rsid w:val="00C9783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C97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curia.europa.eu/juris/document/document.jsf;jsessionid=2625A13002ED90BC5BF6822218EA108A?text=&amp;docid=189626&amp;pageIndex=0&amp;doclang=lt&amp;mode=lst&amp;dir=&amp;occ=first&amp;part=1&amp;cid=26162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52BC8B-B8B0-45C7-A26F-8914EE314196}">
  <ds:schemaRefs>
    <ds:schemaRef ds:uri="http://schemas.microsoft.com/sharepoint/v3/contenttype/forms"/>
  </ds:schemaRefs>
</ds:datastoreItem>
</file>

<file path=customXml/itemProps2.xml><?xml version="1.0" encoding="utf-8"?>
<ds:datastoreItem xmlns:ds="http://schemas.openxmlformats.org/officeDocument/2006/customXml" ds:itemID="{8F4B3E85-4912-4054-A631-F9FB04E05135}">
  <ds:schemaRefs>
    <ds:schemaRef ds:uri="http://schemas.openxmlformats.org/officeDocument/2006/bibliography"/>
  </ds:schemaRefs>
</ds:datastoreItem>
</file>

<file path=customXml/itemProps3.xml><?xml version="1.0" encoding="utf-8"?>
<ds:datastoreItem xmlns:ds="http://schemas.openxmlformats.org/officeDocument/2006/customXml" ds:itemID="{16BF1F4B-B8DB-4DEC-BB4F-423EA8B0920F}">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4.xml><?xml version="1.0" encoding="utf-8"?>
<ds:datastoreItem xmlns:ds="http://schemas.openxmlformats.org/officeDocument/2006/customXml" ds:itemID="{233D8A56-2EEA-4F39-B66C-85B497D61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917</Words>
  <Characters>5233</Characters>
  <Application>Microsoft Office Word</Application>
  <DocSecurity>0</DocSecurity>
  <Lines>43</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Mališauskienė</dc:creator>
  <cp:keywords/>
  <dc:description/>
  <cp:lastModifiedBy>Greta Mališauskienė</cp:lastModifiedBy>
  <cp:revision>11</cp:revision>
  <dcterms:created xsi:type="dcterms:W3CDTF">2024-04-25T05:37:00Z</dcterms:created>
  <dcterms:modified xsi:type="dcterms:W3CDTF">2024-09-17T08:42:00Z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