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28882" w14:textId="77777777" w:rsidR="00F4224E" w:rsidRPr="00ED72EE" w:rsidRDefault="00F4224E" w:rsidP="00F4224E">
      <w:pPr>
        <w:spacing w:after="0" w:line="276" w:lineRule="auto"/>
        <w:rPr>
          <w:rFonts w:ascii="Calibri" w:hAnsi="Calibri" w:cs="Calibri"/>
          <w:sz w:val="24"/>
          <w:szCs w:val="24"/>
        </w:rPr>
      </w:pPr>
      <w:r w:rsidRPr="00ED72EE">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C3BD9FD" w14:textId="77777777" w:rsidR="00F4224E" w:rsidRPr="00ED72EE" w:rsidRDefault="00F4224E" w:rsidP="00F4224E">
      <w:pPr>
        <w:spacing w:after="0" w:line="276" w:lineRule="auto"/>
        <w:rPr>
          <w:rFonts w:ascii="Calibri" w:hAnsi="Calibri" w:cs="Calibri"/>
          <w:sz w:val="24"/>
          <w:szCs w:val="24"/>
        </w:rPr>
      </w:pPr>
      <w:r w:rsidRPr="00ED72EE">
        <w:rPr>
          <w:rFonts w:ascii="Calibri" w:eastAsia="Times New Roman" w:hAnsi="Calibri" w:cs="Calibri"/>
          <w:sz w:val="24"/>
          <w:szCs w:val="24"/>
          <w:lang w:val="lt"/>
        </w:rPr>
        <w:t xml:space="preserve">Vadovaujantis Tarnybai Įstatyme nustatyta pažeidimų prevencijos funkcija, šiuo metu atliekama </w:t>
      </w:r>
      <w:r w:rsidRPr="00ED72EE">
        <w:rPr>
          <w:rFonts w:ascii="Calibri" w:eastAsia="Times New Roman" w:hAnsi="Calibri" w:cs="Calibri"/>
          <w:b/>
          <w:bCs/>
          <w:sz w:val="24"/>
          <w:szCs w:val="24"/>
          <w:lang w:val="lt"/>
        </w:rPr>
        <w:t>Lietuvos sveikatos mokslų universiteto ligoninės Kauno klinikų</w:t>
      </w:r>
      <w:r w:rsidRPr="00ED72EE">
        <w:rPr>
          <w:rFonts w:ascii="Calibri" w:hAnsi="Calibri" w:cs="Calibri"/>
          <w:b/>
          <w:bCs/>
          <w:spacing w:val="-2"/>
          <w:sz w:val="24"/>
          <w:szCs w:val="24"/>
        </w:rPr>
        <w:t xml:space="preserve"> </w:t>
      </w:r>
      <w:r w:rsidRPr="00ED72EE">
        <w:rPr>
          <w:rFonts w:ascii="Calibri" w:hAnsi="Calibri" w:cs="Calibri"/>
          <w:sz w:val="24"/>
          <w:szCs w:val="24"/>
          <w:lang w:eastAsia="lt-LT"/>
        </w:rPr>
        <w:t>(toliau – Perkančioji organizacija) vykdomo pirkimo Nr.</w:t>
      </w:r>
      <w:r w:rsidRPr="00ED72EE">
        <w:rPr>
          <w:rFonts w:ascii="Calibri" w:hAnsi="Calibri" w:cs="Calibri"/>
          <w:b/>
          <w:bCs/>
          <w:sz w:val="24"/>
          <w:szCs w:val="24"/>
          <w:lang w:eastAsia="lt-LT"/>
        </w:rPr>
        <w:t xml:space="preserve"> 726389 „Asfalto klojimo darbai“</w:t>
      </w:r>
      <w:r w:rsidRPr="00ED72EE">
        <w:rPr>
          <w:rFonts w:ascii="Calibri" w:hAnsi="Calibri" w:cs="Calibri"/>
          <w:sz w:val="24"/>
          <w:szCs w:val="24"/>
          <w:lang w:eastAsia="lt-LT"/>
        </w:rPr>
        <w:t xml:space="preserve"> (toliau – Pirkimas) </w:t>
      </w:r>
      <w:r w:rsidRPr="00ED72EE">
        <w:rPr>
          <w:rFonts w:ascii="Calibri" w:hAnsi="Calibri" w:cs="Calibri"/>
          <w:sz w:val="24"/>
          <w:szCs w:val="24"/>
        </w:rPr>
        <w:t>dokumentų atitikties Įstatymui ir jį įgyvendinantiems teisės aktams peržiūra (peržiūra prevenciniais tikslais atliekama tam tikra apimtimi).</w:t>
      </w:r>
    </w:p>
    <w:p w14:paraId="0F269502" w14:textId="77777777" w:rsidR="00F4224E" w:rsidRPr="00ED72EE" w:rsidRDefault="00F4224E" w:rsidP="00F4224E">
      <w:pPr>
        <w:spacing w:after="0" w:line="276" w:lineRule="auto"/>
        <w:rPr>
          <w:rFonts w:ascii="Calibri" w:hAnsi="Calibri" w:cs="Calibri"/>
          <w:sz w:val="24"/>
          <w:szCs w:val="24"/>
          <w:lang w:eastAsia="lt-LT"/>
        </w:rPr>
      </w:pPr>
      <w:r w:rsidRPr="00ED72EE">
        <w:rPr>
          <w:rFonts w:ascii="Calibri" w:hAnsi="Calibri" w:cs="Calibri"/>
          <w:sz w:val="24"/>
          <w:szCs w:val="24"/>
          <w:lang w:eastAsia="lt-LT"/>
        </w:rPr>
        <w:t>Tarnyba, prevencine tvarka peržiūrėjusi Pirkimo dokumentus ir atsižvelgdama į galiojantį teisinį reglamentavimą, teikia klausimus, pastabas ir rekomendacijas (toliau – Rekomendacija) dėl Pirkimo dokumentų nuostatų.</w:t>
      </w:r>
    </w:p>
    <w:p w14:paraId="67678D17" w14:textId="77777777" w:rsidR="00F4224E" w:rsidRPr="000058F7" w:rsidRDefault="00F4224E" w:rsidP="00F4224E">
      <w:pPr>
        <w:pStyle w:val="ListParagraph"/>
        <w:numPr>
          <w:ilvl w:val="0"/>
          <w:numId w:val="1"/>
        </w:numPr>
        <w:tabs>
          <w:tab w:val="left" w:pos="284"/>
        </w:tabs>
        <w:spacing w:after="0" w:line="276" w:lineRule="auto"/>
        <w:ind w:left="0" w:firstLine="0"/>
        <w:rPr>
          <w:rFonts w:ascii="Calibri" w:hAnsi="Calibri" w:cs="Calibri"/>
          <w:b/>
          <w:bCs/>
          <w:sz w:val="24"/>
          <w:szCs w:val="24"/>
          <w:lang w:val="en-US" w:eastAsia="lt-LT"/>
        </w:rPr>
      </w:pPr>
      <w:r w:rsidRPr="000058F7">
        <w:rPr>
          <w:rFonts w:ascii="Calibri" w:hAnsi="Calibri" w:cs="Calibri"/>
          <w:b/>
          <w:bCs/>
          <w:sz w:val="24"/>
          <w:szCs w:val="24"/>
          <w:lang w:eastAsia="lt-LT"/>
        </w:rPr>
        <w:t>Dėl kvalifikacijos reikalavimų</w:t>
      </w:r>
    </w:p>
    <w:p w14:paraId="0A9C8D37" w14:textId="77777777" w:rsidR="00F4224E" w:rsidRPr="000058F7" w:rsidRDefault="00F4224E" w:rsidP="00F4224E">
      <w:pPr>
        <w:spacing w:after="0" w:line="276" w:lineRule="auto"/>
        <w:jc w:val="both"/>
        <w:rPr>
          <w:rFonts w:ascii="Calibri" w:hAnsi="Calibri" w:cs="Calibri"/>
          <w:sz w:val="24"/>
          <w:szCs w:val="24"/>
        </w:rPr>
      </w:pPr>
      <w:r w:rsidRPr="000058F7">
        <w:rPr>
          <w:rFonts w:ascii="Calibri" w:eastAsia="Calibri" w:hAnsi="Calibri" w:cs="Calibri"/>
          <w:sz w:val="24"/>
          <w:szCs w:val="24"/>
          <w:lang w:val="lt"/>
        </w:rPr>
        <w:t xml:space="preserve">Konkurso sąlygų 3.10.1 punkte </w:t>
      </w:r>
      <w:r w:rsidRPr="000058F7">
        <w:rPr>
          <w:rFonts w:ascii="Calibri" w:hAnsi="Calibri" w:cs="Calibri"/>
          <w:kern w:val="2"/>
          <w:sz w:val="24"/>
          <w:szCs w:val="24"/>
          <w14:ligatures w14:val="standardContextual"/>
        </w:rPr>
        <w:t>nustatytas kvalifikacijos reikalavimas „</w:t>
      </w:r>
      <w:r w:rsidRPr="000058F7">
        <w:rPr>
          <w:rFonts w:ascii="Calibri" w:eastAsia="Times New Roman" w:hAnsi="Calibri" w:cs="Calibri"/>
          <w:sz w:val="24"/>
          <w:szCs w:val="24"/>
          <w:lang w:eastAsia="lt-LT"/>
        </w:rPr>
        <w:t>Rangovas, rangovų grupės partneriai kartu, subrangovai toje srityje, kurioje vykdys veiklą, turi turėti teisę vykdyti atitinkamą veiklą: statinių grupė – susisiekimo komunikacijos“. Šiam kvalifikacijos reikalavimui pagrįsti Perkančioji organizacija prašo pateikti „</w:t>
      </w:r>
      <w:r w:rsidRPr="000058F7">
        <w:rPr>
          <w:rFonts w:ascii="Calibri" w:hAnsi="Calibri" w:cs="Calibri"/>
          <w:sz w:val="24"/>
          <w:szCs w:val="24"/>
        </w:rPr>
        <w:t xml:space="preserve">Pateikiamas </w:t>
      </w:r>
      <w:r w:rsidRPr="000058F7">
        <w:rPr>
          <w:rFonts w:ascii="Calibri" w:hAnsi="Calibri" w:cs="Calibri"/>
          <w:color w:val="000000"/>
          <w:sz w:val="24"/>
          <w:szCs w:val="24"/>
        </w:rPr>
        <w:t>Europos Sąjungos valstybių narių, Šveicarijos Konfederacijos arba valstybių, pasirašiusių Europos ekonominės erdvės sutartį,</w:t>
      </w:r>
      <w:r w:rsidRPr="000058F7" w:rsidDel="000154C8">
        <w:rPr>
          <w:rFonts w:ascii="Calibri" w:hAnsi="Calibri" w:cs="Calibri"/>
          <w:sz w:val="24"/>
          <w:szCs w:val="24"/>
        </w:rPr>
        <w:t xml:space="preserve"> </w:t>
      </w:r>
      <w:r w:rsidRPr="000058F7">
        <w:rPr>
          <w:rFonts w:ascii="Calibri" w:hAnsi="Calibri" w:cs="Calibri"/>
          <w:sz w:val="24"/>
          <w:szCs w:val="24"/>
        </w:rPr>
        <w:t>juridiniai asmenys, kitų užsienio organizacijų ir jų padalinių</w:t>
      </w:r>
      <w:r w:rsidRPr="000058F7" w:rsidDel="00885D09">
        <w:rPr>
          <w:rFonts w:ascii="Calibri" w:hAnsi="Calibri" w:cs="Calibri"/>
          <w:sz w:val="24"/>
          <w:szCs w:val="24"/>
        </w:rPr>
        <w:t xml:space="preserve"> </w:t>
      </w:r>
      <w:r w:rsidRPr="000058F7">
        <w:rPr>
          <w:rFonts w:ascii="Calibri" w:hAnsi="Calibri" w:cs="Calibri"/>
          <w:sz w:val="24"/>
          <w:szCs w:val="24"/>
        </w:rPr>
        <w:t xml:space="preserve">įregistruotas rangovas </w:t>
      </w:r>
      <w:r w:rsidRPr="000058F7">
        <w:rPr>
          <w:rFonts w:ascii="Calibri" w:hAnsi="Calibri" w:cs="Calibri"/>
          <w:b/>
          <w:bCs/>
          <w:sz w:val="24"/>
          <w:szCs w:val="24"/>
        </w:rPr>
        <w:t>Teisės pripažinimo pažymą</w:t>
      </w:r>
      <w:r w:rsidRPr="000058F7">
        <w:rPr>
          <w:rFonts w:ascii="Calibri" w:hAnsi="Calibri" w:cs="Calibri"/>
          <w:sz w:val="24"/>
          <w:szCs w:val="24"/>
        </w:rPr>
        <w:t xml:space="preserve"> privalo pateikti iki sutarties sudarymo“.</w:t>
      </w:r>
    </w:p>
    <w:p w14:paraId="32E23300" w14:textId="77777777" w:rsidR="00F4224E" w:rsidRPr="007F1D94" w:rsidRDefault="00F4224E" w:rsidP="00F4224E">
      <w:pPr>
        <w:tabs>
          <w:tab w:val="left" w:pos="567"/>
        </w:tabs>
        <w:spacing w:after="0" w:line="276" w:lineRule="auto"/>
        <w:contextualSpacing/>
        <w:jc w:val="both"/>
        <w:rPr>
          <w:rFonts w:ascii="Calibri" w:eastAsia="Times New Roman" w:hAnsi="Calibri" w:cs="Calibri"/>
          <w:sz w:val="24"/>
          <w:szCs w:val="24"/>
        </w:rPr>
      </w:pPr>
      <w:r w:rsidRPr="000058F7">
        <w:rPr>
          <w:rFonts w:ascii="Calibri" w:eastAsia="Times New Roman" w:hAnsi="Calibri" w:cs="Calibri"/>
          <w:sz w:val="24"/>
          <w:szCs w:val="24"/>
        </w:rPr>
        <w:t>Statybos sritį reglamentuojančiuose teisės aktuose nurodyta, kad būti rangovu gali asmenys, turintys teisę užsiimti šia veikla (</w:t>
      </w:r>
      <w:hyperlink r:id="rId7" w:history="1">
        <w:r w:rsidRPr="000058F7">
          <w:rPr>
            <w:rFonts w:ascii="Calibri" w:eastAsia="Times New Roman" w:hAnsi="Calibri" w:cs="Calibri"/>
            <w:color w:val="467886" w:themeColor="hyperlink"/>
            <w:sz w:val="24"/>
            <w:szCs w:val="24"/>
            <w:u w:val="single"/>
          </w:rPr>
          <w:t>Lietuvos Respublikos statybos įstatymo</w:t>
        </w:r>
      </w:hyperlink>
      <w:r w:rsidRPr="000058F7">
        <w:rPr>
          <w:rFonts w:ascii="Calibri" w:eastAsia="Times New Roman" w:hAnsi="Calibri" w:cs="Calibri"/>
          <w:sz w:val="24"/>
          <w:szCs w:val="24"/>
        </w:rPr>
        <w:t xml:space="preserve"> 18 straipsnio 1 dalis), šio įstatymo 18 straipsnio 2 dalyje apibrėžta teisė būti </w:t>
      </w:r>
      <w:r w:rsidRPr="000058F7">
        <w:rPr>
          <w:rFonts w:ascii="Calibri" w:eastAsia="Times New Roman" w:hAnsi="Calibri" w:cs="Calibri"/>
          <w:b/>
          <w:bCs/>
          <w:sz w:val="24"/>
          <w:szCs w:val="24"/>
        </w:rPr>
        <w:t>ypatingųjų</w:t>
      </w:r>
      <w:r w:rsidRPr="000058F7">
        <w:rPr>
          <w:rFonts w:ascii="Calibri" w:eastAsia="Times New Roman" w:hAnsi="Calibri" w:cs="Calibri"/>
          <w:sz w:val="24"/>
          <w:szCs w:val="24"/>
        </w:rPr>
        <w:t xml:space="preserve"> statinių rangovu</w:t>
      </w:r>
      <w:r>
        <w:rPr>
          <w:rFonts w:ascii="Calibri" w:eastAsia="Times New Roman" w:hAnsi="Calibri" w:cs="Calibri"/>
          <w:sz w:val="24"/>
          <w:szCs w:val="24"/>
        </w:rPr>
        <w:t>.</w:t>
      </w:r>
      <w:r w:rsidRPr="000058F7">
        <w:rPr>
          <w:rFonts w:ascii="Calibri" w:eastAsia="Times New Roman" w:hAnsi="Calibri" w:cs="Calibri"/>
          <w:sz w:val="24"/>
          <w:szCs w:val="24"/>
        </w:rPr>
        <w:t xml:space="preserve"> </w:t>
      </w:r>
      <w:r>
        <w:rPr>
          <w:rFonts w:ascii="Calibri" w:eastAsia="Times New Roman" w:hAnsi="Calibri" w:cs="Calibri"/>
          <w:sz w:val="24"/>
          <w:szCs w:val="24"/>
        </w:rPr>
        <w:t>V</w:t>
      </w:r>
      <w:r w:rsidRPr="000058F7">
        <w:rPr>
          <w:rFonts w:ascii="Calibri" w:eastAsia="Times New Roman" w:hAnsi="Calibri" w:cs="Calibri"/>
          <w:sz w:val="24"/>
          <w:szCs w:val="24"/>
        </w:rPr>
        <w:t xml:space="preserve">adovaujantis Statybos techninio reglamento </w:t>
      </w:r>
      <w:hyperlink r:id="rId8" w:history="1">
        <w:r w:rsidRPr="007F1D94">
          <w:rPr>
            <w:rFonts w:ascii="Calibri" w:eastAsia="Times New Roman" w:hAnsi="Calibri" w:cs="Calibri"/>
            <w:color w:val="467886" w:themeColor="hyperlink"/>
            <w:sz w:val="24"/>
            <w:szCs w:val="24"/>
            <w:u w:val="single"/>
          </w:rPr>
          <w:t>STR 1.02.01:2017 „Statybos dalyvių atestavimo ir teisės pripažinimo tvarkos aprašas“</w:t>
        </w:r>
      </w:hyperlink>
      <w:r w:rsidRPr="007F1D94">
        <w:rPr>
          <w:rFonts w:ascii="Calibri" w:eastAsia="Times New Roman" w:hAnsi="Calibri" w:cs="Calibri"/>
          <w:sz w:val="24"/>
          <w:szCs w:val="24"/>
        </w:rPr>
        <w:t xml:space="preserve"> 2.2.1 punktu kvalifikacijos atestatai ir </w:t>
      </w:r>
      <w:r w:rsidRPr="007F1D94">
        <w:rPr>
          <w:rFonts w:ascii="Calibri" w:eastAsia="Times New Roman" w:hAnsi="Calibri" w:cs="Calibri"/>
          <w:b/>
          <w:bCs/>
          <w:sz w:val="24"/>
          <w:szCs w:val="24"/>
        </w:rPr>
        <w:t>teisės pripažinimo dokumentai</w:t>
      </w:r>
      <w:r w:rsidRPr="007F1D94">
        <w:rPr>
          <w:rFonts w:ascii="Calibri" w:eastAsia="Times New Roman" w:hAnsi="Calibri" w:cs="Calibri"/>
          <w:sz w:val="24"/>
          <w:szCs w:val="24"/>
        </w:rPr>
        <w:t xml:space="preserve"> išduodami tik </w:t>
      </w:r>
      <w:r w:rsidRPr="007F1D94">
        <w:rPr>
          <w:rFonts w:ascii="Calibri" w:eastAsia="Times New Roman" w:hAnsi="Calibri" w:cs="Calibri"/>
          <w:b/>
          <w:bCs/>
          <w:sz w:val="24"/>
          <w:szCs w:val="24"/>
        </w:rPr>
        <w:t>ypatingojo</w:t>
      </w:r>
      <w:r w:rsidRPr="007F1D94">
        <w:rPr>
          <w:rFonts w:ascii="Calibri" w:eastAsia="Times New Roman" w:hAnsi="Calibri" w:cs="Calibri"/>
          <w:sz w:val="24"/>
          <w:szCs w:val="24"/>
        </w:rPr>
        <w:t xml:space="preserve"> statinio rangovams.</w:t>
      </w:r>
    </w:p>
    <w:p w14:paraId="2ACB4D6F" w14:textId="77777777" w:rsidR="00F4224E" w:rsidRPr="007F1D94" w:rsidRDefault="00F4224E" w:rsidP="00F4224E">
      <w:pPr>
        <w:tabs>
          <w:tab w:val="left" w:pos="567"/>
        </w:tabs>
        <w:spacing w:after="0" w:line="276" w:lineRule="auto"/>
        <w:contextualSpacing/>
        <w:jc w:val="both"/>
        <w:rPr>
          <w:rFonts w:ascii="Calibri" w:hAnsi="Calibri" w:cs="Calibri"/>
          <w:sz w:val="24"/>
          <w:szCs w:val="24"/>
        </w:rPr>
      </w:pPr>
      <w:r w:rsidRPr="007F1D94">
        <w:rPr>
          <w:rFonts w:ascii="Calibri" w:eastAsia="Times New Roman" w:hAnsi="Calibri" w:cs="Calibri"/>
          <w:sz w:val="24"/>
          <w:szCs w:val="24"/>
        </w:rPr>
        <w:t xml:space="preserve">Atkreiptinas dėmesys, kad Pirkimo objektas yra priskirtas </w:t>
      </w:r>
      <w:r w:rsidRPr="007F1D94">
        <w:rPr>
          <w:rFonts w:ascii="Calibri" w:eastAsia="Times New Roman" w:hAnsi="Calibri" w:cs="Calibri"/>
          <w:b/>
          <w:bCs/>
          <w:sz w:val="24"/>
          <w:szCs w:val="24"/>
        </w:rPr>
        <w:t>nesudėtingiesiems statiniams</w:t>
      </w:r>
      <w:r w:rsidRPr="007F1D94">
        <w:rPr>
          <w:rStyle w:val="FootnoteReference"/>
          <w:rFonts w:ascii="Calibri" w:eastAsia="Times New Roman" w:hAnsi="Calibri" w:cs="Calibri"/>
          <w:sz w:val="24"/>
          <w:szCs w:val="24"/>
        </w:rPr>
        <w:footnoteReference w:id="1"/>
      </w:r>
      <w:r w:rsidRPr="007F1D94">
        <w:rPr>
          <w:rFonts w:ascii="Calibri" w:eastAsia="Times New Roman" w:hAnsi="Calibri" w:cs="Calibri"/>
          <w:sz w:val="24"/>
          <w:szCs w:val="24"/>
        </w:rPr>
        <w:t xml:space="preserve">, o </w:t>
      </w:r>
      <w:r w:rsidRPr="007F1D94">
        <w:rPr>
          <w:rFonts w:ascii="Calibri" w:eastAsia="Times New Roman" w:hAnsi="Calibri" w:cs="Calibri"/>
          <w:b/>
          <w:bCs/>
          <w:sz w:val="24"/>
          <w:szCs w:val="24"/>
        </w:rPr>
        <w:t>nesudėtingųjų</w:t>
      </w:r>
      <w:r w:rsidRPr="007F1D94">
        <w:rPr>
          <w:rFonts w:ascii="Calibri" w:eastAsia="Times New Roman" w:hAnsi="Calibri" w:cs="Calibri"/>
          <w:sz w:val="24"/>
          <w:szCs w:val="24"/>
        </w:rPr>
        <w:t xml:space="preserve"> statinių statybos darbų atveju tiekėjui pakanka </w:t>
      </w:r>
      <w:r w:rsidRPr="007F1D94">
        <w:rPr>
          <w:rFonts w:ascii="Calibri" w:eastAsia="Times New Roman" w:hAnsi="Calibri" w:cs="Calibri"/>
          <w:b/>
          <w:bCs/>
          <w:sz w:val="24"/>
          <w:szCs w:val="24"/>
        </w:rPr>
        <w:t>turėti teisę verstis statybos veikla</w:t>
      </w:r>
      <w:r w:rsidRPr="007F1D94">
        <w:rPr>
          <w:rFonts w:ascii="Calibri" w:eastAsia="Times New Roman" w:hAnsi="Calibri" w:cs="Calibri"/>
          <w:sz w:val="24"/>
          <w:szCs w:val="24"/>
        </w:rPr>
        <w:t xml:space="preserve"> ir pateikti šią teisę pagrindžiančius dokumentus, pavyzdžiui, </w:t>
      </w:r>
      <w:r w:rsidRPr="007F1D94">
        <w:rPr>
          <w:rStyle w:val="cf01"/>
          <w:rFonts w:ascii="Calibri" w:hAnsi="Calibri" w:cs="Calibri"/>
          <w:sz w:val="24"/>
          <w:szCs w:val="24"/>
        </w:rPr>
        <w:t xml:space="preserve">profesinių ar veiklos registrų tvarkytojų, valstybės įgaliotų institucijų pažymas, kaip yra nustatyta toje valstybėje narėje, kurioje jis registruotas, ar priesaikos deklaraciją, kuri liudija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r>
        <w:rPr>
          <w:rStyle w:val="cf01"/>
          <w:rFonts w:ascii="Calibri" w:hAnsi="Calibri" w:cs="Calibri"/>
          <w:sz w:val="24"/>
          <w:szCs w:val="24"/>
        </w:rPr>
        <w:t>Pažymėtina, jog n</w:t>
      </w:r>
      <w:r w:rsidRPr="007F1D94">
        <w:rPr>
          <w:rStyle w:val="cf01"/>
          <w:rFonts w:ascii="Calibri" w:hAnsi="Calibri" w:cs="Calibri"/>
          <w:sz w:val="24"/>
          <w:szCs w:val="24"/>
        </w:rPr>
        <w:t xml:space="preserve">esudėtingųjų statybos darbų atveju tiekėjas gali pateikti ir ypatingojo statinio statybos darbų rangovo kvalifikacijos dokumentus, kurie taip pat įrodo teisę verstis statybos veikla nesudėtinguosiuose statiniuose, ir perkančioji organizacija turi </w:t>
      </w:r>
      <w:r w:rsidRPr="007F1D94">
        <w:rPr>
          <w:rStyle w:val="cf01"/>
          <w:rFonts w:ascii="Calibri" w:hAnsi="Calibri" w:cs="Calibri"/>
          <w:sz w:val="24"/>
          <w:szCs w:val="24"/>
        </w:rPr>
        <w:lastRenderedPageBreak/>
        <w:t xml:space="preserve">priimti tokius kvalifikacijos reikalavimą patvirtinančius dokumentus, tačiau negalima nustatyti reikalavimo turėti teisę būti ypatingojo statinio rangovu. </w:t>
      </w:r>
    </w:p>
    <w:p w14:paraId="54666B46" w14:textId="77777777" w:rsidR="00F4224E" w:rsidRPr="007F1D94" w:rsidRDefault="00F4224E" w:rsidP="00F4224E">
      <w:pPr>
        <w:spacing w:after="0" w:line="276" w:lineRule="auto"/>
        <w:jc w:val="both"/>
        <w:rPr>
          <w:rFonts w:ascii="Calibri" w:eastAsia="Times New Roman" w:hAnsi="Calibri" w:cs="Calibri"/>
          <w:sz w:val="24"/>
          <w:szCs w:val="24"/>
        </w:rPr>
      </w:pPr>
      <w:r w:rsidRPr="007F1D94">
        <w:rPr>
          <w:rFonts w:ascii="Calibri" w:eastAsia="Times New Roman" w:hAnsi="Calibri" w:cs="Calibri"/>
          <w:sz w:val="24"/>
          <w:szCs w:val="24"/>
        </w:rPr>
        <w:t xml:space="preserve">Atsižvelgiant į tai, Tarnyba rekomenduoja patikslinti šį kvalifikacijos reikalavimą įrodančius dokumentus, aiškiai nurodant, kokiais dokumentais galima grįsti </w:t>
      </w:r>
      <w:r w:rsidRPr="007F1D94">
        <w:rPr>
          <w:rFonts w:ascii="Calibri" w:eastAsia="Times New Roman" w:hAnsi="Calibri" w:cs="Calibri"/>
          <w:b/>
          <w:bCs/>
          <w:sz w:val="24"/>
          <w:szCs w:val="24"/>
        </w:rPr>
        <w:t>teisę verstis statybos veikla</w:t>
      </w:r>
      <w:r w:rsidRPr="007F1D94">
        <w:rPr>
          <w:rFonts w:ascii="Calibri" w:eastAsia="Times New Roman" w:hAnsi="Calibri" w:cs="Calibri"/>
          <w:sz w:val="24"/>
          <w:szCs w:val="24"/>
        </w:rPr>
        <w:t>.</w:t>
      </w:r>
    </w:p>
    <w:p w14:paraId="782E2EFF" w14:textId="77777777" w:rsidR="00F4224E" w:rsidRPr="007F1D94" w:rsidRDefault="00F4224E" w:rsidP="00F4224E">
      <w:pPr>
        <w:pStyle w:val="ListParagraph"/>
        <w:tabs>
          <w:tab w:val="left" w:pos="567"/>
        </w:tabs>
        <w:spacing w:line="276" w:lineRule="auto"/>
        <w:ind w:left="0"/>
        <w:rPr>
          <w:rFonts w:ascii="Calibri" w:hAnsi="Calibri" w:cs="Calibri"/>
          <w:sz w:val="24"/>
          <w:szCs w:val="24"/>
        </w:rPr>
      </w:pPr>
      <w:r w:rsidRPr="007F1D94">
        <w:rPr>
          <w:rFonts w:ascii="Calibri" w:hAnsi="Calibri" w:cs="Calibri"/>
          <w:sz w:val="24"/>
          <w:szCs w:val="24"/>
        </w:rPr>
        <w:t xml:space="preserve">Rekomenduotina susipažinti su Tarnybos parengtose </w:t>
      </w:r>
      <w:hyperlink r:id="rId9" w:history="1">
        <w:r w:rsidRPr="007F1D94">
          <w:rPr>
            <w:rStyle w:val="Hyperlink"/>
            <w:rFonts w:ascii="Calibri" w:hAnsi="Calibri" w:cs="Calibri"/>
            <w:sz w:val="24"/>
            <w:szCs w:val="24"/>
          </w:rPr>
          <w:t>Statybos darbų pirkimų gairėse</w:t>
        </w:r>
      </w:hyperlink>
      <w:r w:rsidRPr="007F1D94">
        <w:rPr>
          <w:rFonts w:ascii="Calibri" w:hAnsi="Calibri" w:cs="Calibri"/>
          <w:sz w:val="24"/>
          <w:szCs w:val="24"/>
        </w:rPr>
        <w:t xml:space="preserve"> pateikiamais pavyzdžiais, kaip formuluoti kvalifikacijos reikalavimus dėl tiekėjo teisės būti nesudėtingojo statinio rangovu ir kokie dokumentai tokiu atveju įrodo šias teises.</w:t>
      </w:r>
    </w:p>
    <w:p w14:paraId="1ECDF349" w14:textId="77777777" w:rsidR="00F4224E" w:rsidRPr="007F1D94" w:rsidRDefault="00F4224E" w:rsidP="00F4224E">
      <w:pPr>
        <w:pStyle w:val="ListParagraph"/>
        <w:numPr>
          <w:ilvl w:val="0"/>
          <w:numId w:val="2"/>
        </w:numPr>
        <w:tabs>
          <w:tab w:val="left" w:pos="567"/>
        </w:tabs>
        <w:spacing w:after="0" w:line="276" w:lineRule="auto"/>
        <w:rPr>
          <w:rFonts w:ascii="Calibri" w:eastAsia="Times New Roman" w:hAnsi="Calibri" w:cs="Calibri"/>
          <w:b/>
          <w:bCs/>
          <w:sz w:val="24"/>
          <w:szCs w:val="24"/>
        </w:rPr>
      </w:pPr>
      <w:r w:rsidRPr="007F1D94">
        <w:rPr>
          <w:rFonts w:ascii="Calibri" w:eastAsia="Times New Roman" w:hAnsi="Calibri" w:cs="Calibri"/>
          <w:b/>
          <w:bCs/>
          <w:sz w:val="24"/>
          <w:szCs w:val="24"/>
        </w:rPr>
        <w:t>Dėl Techninės specifikacijos</w:t>
      </w:r>
    </w:p>
    <w:p w14:paraId="5DFAFABB" w14:textId="77777777" w:rsidR="00F4224E" w:rsidRPr="007F1D94" w:rsidRDefault="00F4224E" w:rsidP="00F4224E">
      <w:pPr>
        <w:tabs>
          <w:tab w:val="left" w:pos="567"/>
        </w:tabs>
        <w:spacing w:after="0" w:line="276" w:lineRule="auto"/>
        <w:rPr>
          <w:rFonts w:ascii="Calibri" w:eastAsia="Times New Roman" w:hAnsi="Calibri" w:cs="Calibri"/>
          <w:sz w:val="24"/>
          <w:szCs w:val="24"/>
        </w:rPr>
      </w:pPr>
      <w:r w:rsidRPr="007F1D94">
        <w:rPr>
          <w:rFonts w:ascii="Calibri" w:eastAsia="Times New Roman" w:hAnsi="Calibri" w:cs="Calibri"/>
          <w:sz w:val="24"/>
          <w:szCs w:val="24"/>
        </w:rPr>
        <w:t xml:space="preserve">Techninėje specifikacijoje nurodytas dokumentas ĮT Asfaltas 08, kuriuo vadovaujantis turi būti atliekami darbai. Pažymėtina, kad nuo 2024 m. kovo 1 d. šis dokumentas pripažintas negaliojančiu (žr. </w:t>
      </w:r>
      <w:hyperlink r:id="rId10" w:history="1">
        <w:r w:rsidRPr="007F1D94">
          <w:rPr>
            <w:rFonts w:ascii="Calibri" w:eastAsia="Times New Roman" w:hAnsi="Calibri" w:cs="Calibri"/>
            <w:color w:val="467886" w:themeColor="hyperlink"/>
            <w:sz w:val="24"/>
            <w:szCs w:val="24"/>
            <w:u w:val="single"/>
          </w:rPr>
          <w:t>čia</w:t>
        </w:r>
      </w:hyperlink>
      <w:r w:rsidRPr="007F1D94">
        <w:rPr>
          <w:rFonts w:ascii="Calibri" w:eastAsia="Times New Roman" w:hAnsi="Calibri" w:cs="Calibri"/>
          <w:sz w:val="24"/>
          <w:szCs w:val="24"/>
        </w:rPr>
        <w:t>), todėl Tarnyba rekomenduoja tikslinti šią Techninės specifikacijos informaciją ir nurodyti galiojančius dokumentus.</w:t>
      </w:r>
    </w:p>
    <w:p w14:paraId="0071AF28" w14:textId="77777777" w:rsidR="00F4224E" w:rsidRPr="00445F62" w:rsidRDefault="00F4224E" w:rsidP="00F4224E">
      <w:pPr>
        <w:pStyle w:val="paragraph"/>
        <w:numPr>
          <w:ilvl w:val="0"/>
          <w:numId w:val="2"/>
        </w:numPr>
        <w:tabs>
          <w:tab w:val="left" w:pos="426"/>
        </w:tabs>
        <w:spacing w:before="0" w:beforeAutospacing="0" w:after="0" w:afterAutospacing="0" w:line="276" w:lineRule="auto"/>
        <w:textAlignment w:val="baseline"/>
        <w:rPr>
          <w:rFonts w:ascii="Calibri" w:hAnsi="Calibri" w:cs="Calibri"/>
          <w:b/>
          <w:bCs/>
          <w:lang w:val="lt-LT"/>
        </w:rPr>
      </w:pPr>
      <w:r w:rsidRPr="00445F62">
        <w:rPr>
          <w:rFonts w:ascii="Calibri" w:hAnsi="Calibri" w:cs="Calibri"/>
          <w:b/>
          <w:bCs/>
          <w:lang w:val="lt-LT"/>
        </w:rPr>
        <w:t>Dėl žaliojo pirkimo kriterijų taikymo</w:t>
      </w:r>
    </w:p>
    <w:p w14:paraId="24592F21" w14:textId="77777777" w:rsidR="00F4224E" w:rsidRPr="00B03BA8" w:rsidRDefault="00F4224E" w:rsidP="00F4224E">
      <w:pPr>
        <w:pStyle w:val="ListParagraph"/>
        <w:spacing w:after="0" w:line="276" w:lineRule="auto"/>
        <w:ind w:left="0"/>
        <w:rPr>
          <w:rFonts w:ascii="Calibri" w:eastAsia="Times New Roman" w:hAnsi="Calibri" w:cs="Calibri"/>
          <w:bCs/>
          <w:sz w:val="24"/>
          <w:szCs w:val="24"/>
        </w:rPr>
      </w:pPr>
      <w:r w:rsidRPr="00E46F42">
        <w:rPr>
          <w:rFonts w:ascii="Calibri" w:eastAsia="Times New Roman" w:hAnsi="Calibri" w:cs="Calibri"/>
          <w:bCs/>
          <w:sz w:val="24"/>
          <w:szCs w:val="24"/>
        </w:rPr>
        <w:t xml:space="preserve">Dėl </w:t>
      </w:r>
      <w:r w:rsidRPr="00E46F42">
        <w:rPr>
          <w:rFonts w:ascii="Calibri" w:eastAsia="Times New Roman" w:hAnsi="Calibri" w:cs="Calibri"/>
          <w:sz w:val="24"/>
          <w:szCs w:val="24"/>
        </w:rPr>
        <w:t xml:space="preserve">Aplinkos apsaugos kriterijų taikymo, vykdant žaliuosius pirkimus, tvarkos aprašo, patvirtinto Lietuvos Respublikos aplinkos ministro 2011 m. birželio 28 d. įsakymu Nr. D1-508 (toliau – Tvarkos aprašas) </w:t>
      </w:r>
      <w:r w:rsidRPr="00E46F42">
        <w:rPr>
          <w:rFonts w:ascii="Calibri" w:eastAsia="Times New Roman" w:hAnsi="Calibri" w:cs="Calibri"/>
          <w:bCs/>
          <w:sz w:val="24"/>
          <w:szCs w:val="24"/>
        </w:rPr>
        <w:t xml:space="preserve">26.2.1 p. taikymo (Techninės specifikacijos 4.1.1 punktas) rekomenduotina susipažinti su Tarnybos parengtoje mokomojoje priemonėje </w:t>
      </w:r>
      <w:hyperlink r:id="rId11" w:history="1">
        <w:r w:rsidRPr="00E46F42">
          <w:rPr>
            <w:rStyle w:val="Hyperlink"/>
            <w:rFonts w:ascii="Calibri" w:eastAsia="Times New Roman" w:hAnsi="Calibri" w:cs="Calibri"/>
            <w:bCs/>
            <w:sz w:val="24"/>
            <w:szCs w:val="24"/>
          </w:rPr>
          <w:t>„Kelių projektavimo paslaugos ir statybos darbai. Minimalų aplinkos apsaugos kriterijų taikymas“</w:t>
        </w:r>
      </w:hyperlink>
      <w:r w:rsidRPr="00E46F42">
        <w:rPr>
          <w:rFonts w:ascii="Calibri" w:eastAsia="Times New Roman" w:hAnsi="Calibri" w:cs="Calibri"/>
          <w:bCs/>
          <w:sz w:val="24"/>
          <w:szCs w:val="24"/>
        </w:rPr>
        <w:t xml:space="preserve"> pateiktu Tvarkos aprašo 26.2.1 papunkčio išaiškinimu (nuo 4 psl.), kur be kita ko pažymėta: „Vykdant žaliąjį pirkimą ir taikant Tvarkos aprašo 26.2.1 papunktyje nurodytą kriterijų, reikalavimą dėl šio papunkčio lentelėje nurodytų medžiagų ar produkto ir jų minimalaus kiekio panaudojimo, pirkimo vykdytojas turi nustatyti </w:t>
      </w:r>
      <w:r w:rsidRPr="00E46F42">
        <w:rPr>
          <w:rFonts w:ascii="Calibri" w:eastAsia="Times New Roman" w:hAnsi="Calibri" w:cs="Calibri"/>
          <w:b/>
          <w:sz w:val="24"/>
          <w:szCs w:val="24"/>
        </w:rPr>
        <w:t xml:space="preserve">visiems </w:t>
      </w:r>
      <w:r w:rsidRPr="00E46F42">
        <w:rPr>
          <w:rFonts w:ascii="Calibri" w:eastAsia="Times New Roman" w:hAnsi="Calibri" w:cs="Calibri"/>
          <w:bCs/>
          <w:sz w:val="24"/>
          <w:szCs w:val="24"/>
        </w:rPr>
        <w:t xml:space="preserve">kelio dangos konstrukcijos </w:t>
      </w:r>
      <w:r w:rsidRPr="00E46F42">
        <w:rPr>
          <w:rFonts w:ascii="Calibri" w:eastAsia="Times New Roman" w:hAnsi="Calibri" w:cs="Calibri"/>
          <w:b/>
          <w:sz w:val="24"/>
          <w:szCs w:val="24"/>
        </w:rPr>
        <w:t>sluoksniams</w:t>
      </w:r>
      <w:r w:rsidRPr="00E46F42">
        <w:rPr>
          <w:rFonts w:ascii="Calibri" w:eastAsia="Times New Roman" w:hAnsi="Calibri" w:cs="Calibri"/>
          <w:bCs/>
          <w:sz w:val="24"/>
          <w:szCs w:val="24"/>
        </w:rPr>
        <w:t xml:space="preserve"> (iš nurodytų 26.2.1 papunkčio lentelės 1 stulpelyje), kurie yra </w:t>
      </w:r>
      <w:r w:rsidRPr="00E46F42">
        <w:rPr>
          <w:rFonts w:ascii="Calibri" w:eastAsia="Times New Roman" w:hAnsi="Calibri" w:cs="Calibri"/>
          <w:b/>
          <w:sz w:val="24"/>
          <w:szCs w:val="24"/>
        </w:rPr>
        <w:t>aktualūs konkrečiame pirkime“.</w:t>
      </w:r>
      <w:r>
        <w:rPr>
          <w:rFonts w:ascii="Calibri" w:eastAsia="Times New Roman" w:hAnsi="Calibri" w:cs="Calibri"/>
          <w:b/>
          <w:sz w:val="24"/>
          <w:szCs w:val="24"/>
        </w:rPr>
        <w:t xml:space="preserve"> </w:t>
      </w:r>
      <w:r w:rsidRPr="00B03BA8">
        <w:rPr>
          <w:rFonts w:ascii="Calibri" w:eastAsia="Times New Roman" w:hAnsi="Calibri" w:cs="Calibri"/>
          <w:bCs/>
          <w:sz w:val="24"/>
          <w:szCs w:val="24"/>
        </w:rPr>
        <w:t>Tarnyba prašo paaiškinti, ar šis reikalavimas nustatytas visiems kelio dangos konstrukcijos sluoksniams?</w:t>
      </w:r>
    </w:p>
    <w:p w14:paraId="060B78E0" w14:textId="77777777" w:rsidR="00F4224E" w:rsidRPr="007F1D94" w:rsidRDefault="00F4224E" w:rsidP="00F4224E">
      <w:pPr>
        <w:spacing w:after="0" w:line="276" w:lineRule="auto"/>
        <w:rPr>
          <w:rFonts w:ascii="Calibri" w:hAnsi="Calibri" w:cs="Calibri"/>
          <w:sz w:val="24"/>
          <w:szCs w:val="24"/>
        </w:rPr>
      </w:pPr>
      <w:r w:rsidRPr="007F1D94">
        <w:rPr>
          <w:rFonts w:ascii="Calibri" w:hAnsi="Calibri" w:cs="Calibri"/>
          <w:sz w:val="24"/>
          <w:szCs w:val="24"/>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0128E596" w14:textId="77777777" w:rsidR="00F4224E" w:rsidRPr="007F1D94" w:rsidRDefault="00F4224E" w:rsidP="00F4224E">
      <w:pPr>
        <w:spacing w:after="0" w:line="276" w:lineRule="auto"/>
        <w:rPr>
          <w:rFonts w:ascii="Calibri" w:hAnsi="Calibri" w:cs="Calibri"/>
          <w:sz w:val="24"/>
          <w:szCs w:val="24"/>
        </w:rPr>
      </w:pPr>
      <w:r w:rsidRPr="007F1D94">
        <w:rPr>
          <w:rFonts w:ascii="Calibri" w:hAnsi="Calibri" w:cs="Calibri"/>
          <w:sz w:val="24"/>
          <w:szCs w:val="24"/>
        </w:rPr>
        <w:t>Pažymėtina, kad visais atvejais sprendimą dėl tolimesnio Pirkimo procedūrų vykdymo ar nutraukimo priima pati Perkančioji organizacija, vadovaudamasi Įstatymo 29 straipsnio 3</w:t>
      </w:r>
      <w:r w:rsidRPr="007F1D94">
        <w:rPr>
          <w:rFonts w:ascii="Calibri" w:hAnsi="Calibri" w:cs="Calibri"/>
          <w:sz w:val="24"/>
          <w:szCs w:val="24"/>
          <w:vertAlign w:val="superscript"/>
        </w:rPr>
        <w:footnoteReference w:id="2"/>
      </w:r>
      <w:r w:rsidRPr="007F1D94">
        <w:rPr>
          <w:rFonts w:ascii="Calibri" w:hAnsi="Calibri" w:cs="Calibri"/>
          <w:sz w:val="24"/>
          <w:szCs w:val="24"/>
        </w:rPr>
        <w:t xml:space="preserve"> ir 4</w:t>
      </w:r>
      <w:r w:rsidRPr="007F1D94">
        <w:rPr>
          <w:rFonts w:ascii="Calibri" w:hAnsi="Calibri" w:cs="Calibri"/>
          <w:sz w:val="24"/>
          <w:szCs w:val="24"/>
          <w:vertAlign w:val="superscript"/>
        </w:rPr>
        <w:footnoteReference w:id="3"/>
      </w:r>
      <w:r w:rsidRPr="007F1D94">
        <w:rPr>
          <w:rFonts w:ascii="Calibri" w:hAnsi="Calibri" w:cs="Calibri"/>
          <w:sz w:val="24"/>
          <w:szCs w:val="24"/>
          <w:vertAlign w:val="superscript"/>
        </w:rPr>
        <w:t xml:space="preserve"> </w:t>
      </w:r>
      <w:r w:rsidRPr="007F1D94">
        <w:rPr>
          <w:rFonts w:ascii="Calibri" w:hAnsi="Calibri" w:cs="Calibri"/>
          <w:sz w:val="24"/>
          <w:szCs w:val="24"/>
        </w:rPr>
        <w:t>dalių nuostatomis.</w:t>
      </w:r>
    </w:p>
    <w:sectPr w:rsidR="00F4224E" w:rsidRPr="007F1D94" w:rsidSect="00F422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16DD5" w14:textId="77777777" w:rsidR="00F4224E" w:rsidRDefault="00F4224E" w:rsidP="00F4224E">
      <w:pPr>
        <w:spacing w:after="0" w:line="240" w:lineRule="auto"/>
      </w:pPr>
      <w:r>
        <w:separator/>
      </w:r>
    </w:p>
  </w:endnote>
  <w:endnote w:type="continuationSeparator" w:id="0">
    <w:p w14:paraId="4A8B3A70" w14:textId="77777777" w:rsidR="00F4224E" w:rsidRDefault="00F4224E" w:rsidP="00F4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73C24" w14:textId="77777777" w:rsidR="00F4224E" w:rsidRDefault="00F4224E" w:rsidP="00F4224E">
      <w:pPr>
        <w:spacing w:after="0" w:line="240" w:lineRule="auto"/>
      </w:pPr>
      <w:r>
        <w:separator/>
      </w:r>
    </w:p>
  </w:footnote>
  <w:footnote w:type="continuationSeparator" w:id="0">
    <w:p w14:paraId="1A73AF6D" w14:textId="77777777" w:rsidR="00F4224E" w:rsidRDefault="00F4224E" w:rsidP="00F4224E">
      <w:pPr>
        <w:spacing w:after="0" w:line="240" w:lineRule="auto"/>
      </w:pPr>
      <w:r>
        <w:continuationSeparator/>
      </w:r>
    </w:p>
  </w:footnote>
  <w:footnote w:id="1">
    <w:p w14:paraId="486C66FB" w14:textId="77777777" w:rsidR="00F4224E" w:rsidRPr="007F1D94" w:rsidRDefault="00F4224E" w:rsidP="00F4224E">
      <w:pPr>
        <w:pStyle w:val="FootnoteText"/>
        <w:rPr>
          <w:rFonts w:ascii="Calibri" w:hAnsi="Calibri" w:cs="Calibri"/>
        </w:rPr>
      </w:pPr>
      <w:r w:rsidRPr="007F1D94">
        <w:rPr>
          <w:rStyle w:val="FootnoteReference"/>
          <w:rFonts w:ascii="Calibri" w:hAnsi="Calibri" w:cs="Calibri"/>
        </w:rPr>
        <w:footnoteRef/>
      </w:r>
      <w:r w:rsidRPr="007F1D94">
        <w:rPr>
          <w:rFonts w:ascii="Calibri" w:hAnsi="Calibri" w:cs="Calibri"/>
        </w:rPr>
        <w:t xml:space="preserve"> Techninės specifikacijos 1.6 punktas „Statinio kategorija – Nesudėtingieji“.</w:t>
      </w:r>
    </w:p>
  </w:footnote>
  <w:footnote w:id="2">
    <w:p w14:paraId="01B79151" w14:textId="77777777" w:rsidR="00F4224E" w:rsidRPr="00C01103" w:rsidRDefault="00F4224E" w:rsidP="00F4224E">
      <w:pPr>
        <w:pStyle w:val="FootnoteText"/>
        <w:rPr>
          <w:rFonts w:cstheme="minorHAnsi"/>
        </w:rPr>
      </w:pPr>
      <w:r w:rsidRPr="00C01103">
        <w:rPr>
          <w:rStyle w:val="FootnoteReference"/>
          <w:rFonts w:cstheme="minorHAnsi"/>
        </w:rPr>
        <w:footnoteRef/>
      </w:r>
      <w:r w:rsidRPr="00C01103">
        <w:rPr>
          <w:rFonts w:cstheme="minorHAnsi"/>
        </w:rPr>
        <w:t xml:space="preserve"> </w:t>
      </w:r>
      <w:r w:rsidRPr="00C01103">
        <w:rPr>
          <w:rFonts w:cstheme="minorHAns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7A4E73A4" w14:textId="77777777" w:rsidR="00F4224E" w:rsidRPr="00C01103" w:rsidRDefault="00F4224E" w:rsidP="00F4224E">
      <w:pPr>
        <w:pStyle w:val="FootnoteText"/>
        <w:rPr>
          <w:rFonts w:cstheme="minorHAnsi"/>
        </w:rPr>
      </w:pPr>
      <w:r w:rsidRPr="00C01103">
        <w:rPr>
          <w:rStyle w:val="FootnoteReference"/>
          <w:rFonts w:cstheme="minorHAnsi"/>
        </w:rPr>
        <w:footnoteRef/>
      </w:r>
      <w:r w:rsidRPr="00C01103">
        <w:rPr>
          <w:rFonts w:cstheme="minorHAnsi"/>
        </w:rPr>
        <w:t xml:space="preserve"> </w:t>
      </w:r>
      <w:r w:rsidRPr="00C01103">
        <w:rPr>
          <w:rFonts w:cstheme="minorHAnsi"/>
        </w:rPr>
        <w:t xml:space="preserve">Įstatymo 29 straipsnio 4 dalis „Perkančioji organizacija turi teisę savo iniciatyva </w:t>
      </w:r>
      <w:r w:rsidRPr="00380228">
        <w:rPr>
          <w:rFonts w:cstheme="minorHAnsi"/>
          <w:b/>
          <w:bCs/>
        </w:rPr>
        <w:t>nutraukti pradėtas pirkimo</w:t>
      </w:r>
      <w:r w:rsidRPr="00C01103">
        <w:rPr>
          <w:rFonts w:cstheme="minorHAnsi"/>
        </w:rPr>
        <w:t xml:space="preserve"> ar projekto konkurso </w:t>
      </w:r>
      <w:r w:rsidRPr="00380228">
        <w:rPr>
          <w:rFonts w:cstheme="minorHAnsi"/>
          <w:b/>
          <w:bCs/>
        </w:rPr>
        <w:t>procedūras</w:t>
      </w:r>
      <w:r w:rsidRPr="00C01103">
        <w:rPr>
          <w:rFonts w:cstheme="minorHAnsi"/>
        </w:rPr>
        <w:t xml:space="preserve">, jeigu atsirado aplinkybių, kurių nebuvo galima numatyti, arba pirkimo dokumentuose </w:t>
      </w:r>
      <w:r w:rsidRPr="00380228">
        <w:rPr>
          <w:rFonts w:cstheme="minorHAnsi"/>
          <w:b/>
          <w:bCs/>
        </w:rPr>
        <w:t>padaryta esminių klaidų</w:t>
      </w:r>
      <w:r w:rsidRPr="00C01103">
        <w:rPr>
          <w:rFonts w:cstheme="minorHAns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B21BD"/>
    <w:multiLevelType w:val="hybridMultilevel"/>
    <w:tmpl w:val="15C22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3218EE"/>
    <w:multiLevelType w:val="multilevel"/>
    <w:tmpl w:val="23CCB3E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059816504">
    <w:abstractNumId w:val="0"/>
  </w:num>
  <w:num w:numId="2" w16cid:durableId="205149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4E"/>
    <w:rsid w:val="002A021C"/>
    <w:rsid w:val="00A0134C"/>
    <w:rsid w:val="00F4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B03E"/>
  <w15:chartTrackingRefBased/>
  <w15:docId w15:val="{29327D18-6C80-49C0-9E05-17276F3D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24E"/>
    <w:rPr>
      <w:kern w:val="0"/>
      <w:lang w:val="lt-LT"/>
      <w14:ligatures w14:val="none"/>
    </w:rPr>
  </w:style>
  <w:style w:type="paragraph" w:styleId="Heading1">
    <w:name w:val="heading 1"/>
    <w:basedOn w:val="Normal"/>
    <w:next w:val="Normal"/>
    <w:link w:val="Heading1Char"/>
    <w:uiPriority w:val="9"/>
    <w:qFormat/>
    <w:rsid w:val="00F42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24E"/>
    <w:rPr>
      <w:rFonts w:eastAsiaTheme="majorEastAsia" w:cstheme="majorBidi"/>
      <w:color w:val="272727" w:themeColor="text1" w:themeTint="D8"/>
    </w:rPr>
  </w:style>
  <w:style w:type="paragraph" w:styleId="Title">
    <w:name w:val="Title"/>
    <w:basedOn w:val="Normal"/>
    <w:next w:val="Normal"/>
    <w:link w:val="TitleChar"/>
    <w:uiPriority w:val="10"/>
    <w:qFormat/>
    <w:rsid w:val="00F42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24E"/>
    <w:pPr>
      <w:spacing w:before="160"/>
      <w:jc w:val="center"/>
    </w:pPr>
    <w:rPr>
      <w:i/>
      <w:iCs/>
      <w:color w:val="404040" w:themeColor="text1" w:themeTint="BF"/>
    </w:rPr>
  </w:style>
  <w:style w:type="character" w:customStyle="1" w:styleId="QuoteChar">
    <w:name w:val="Quote Char"/>
    <w:basedOn w:val="DefaultParagraphFont"/>
    <w:link w:val="Quote"/>
    <w:uiPriority w:val="29"/>
    <w:rsid w:val="00F4224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F4224E"/>
    <w:pPr>
      <w:ind w:left="720"/>
      <w:contextualSpacing/>
    </w:pPr>
  </w:style>
  <w:style w:type="character" w:styleId="IntenseEmphasis">
    <w:name w:val="Intense Emphasis"/>
    <w:basedOn w:val="DefaultParagraphFont"/>
    <w:uiPriority w:val="21"/>
    <w:qFormat/>
    <w:rsid w:val="00F4224E"/>
    <w:rPr>
      <w:i/>
      <w:iCs/>
      <w:color w:val="0F4761" w:themeColor="accent1" w:themeShade="BF"/>
    </w:rPr>
  </w:style>
  <w:style w:type="paragraph" w:styleId="IntenseQuote">
    <w:name w:val="Intense Quote"/>
    <w:basedOn w:val="Normal"/>
    <w:next w:val="Normal"/>
    <w:link w:val="IntenseQuoteChar"/>
    <w:uiPriority w:val="30"/>
    <w:qFormat/>
    <w:rsid w:val="00F42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24E"/>
    <w:rPr>
      <w:i/>
      <w:iCs/>
      <w:color w:val="0F4761" w:themeColor="accent1" w:themeShade="BF"/>
    </w:rPr>
  </w:style>
  <w:style w:type="character" w:styleId="IntenseReference">
    <w:name w:val="Intense Reference"/>
    <w:basedOn w:val="DefaultParagraphFont"/>
    <w:uiPriority w:val="32"/>
    <w:qFormat/>
    <w:rsid w:val="00F4224E"/>
    <w:rPr>
      <w:b/>
      <w:bCs/>
      <w:smallCaps/>
      <w:color w:val="0F4761" w:themeColor="accent1" w:themeShade="BF"/>
      <w:spacing w:val="5"/>
    </w:rPr>
  </w:style>
  <w:style w:type="character" w:customStyle="1" w:styleId="cf01">
    <w:name w:val="cf01"/>
    <w:basedOn w:val="DefaultParagraphFont"/>
    <w:rsid w:val="00F4224E"/>
    <w:rPr>
      <w:rFonts w:ascii="Segoe UI" w:hAnsi="Segoe UI" w:cs="Segoe UI" w:hint="default"/>
      <w:sz w:val="18"/>
      <w:szCs w:val="18"/>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F4224E"/>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F4224E"/>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F4224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4224E"/>
  </w:style>
  <w:style w:type="character" w:styleId="Hyperlink">
    <w:name w:val="Hyperlink"/>
    <w:basedOn w:val="DefaultParagraphFont"/>
    <w:uiPriority w:val="99"/>
    <w:unhideWhenUsed/>
    <w:rsid w:val="00F4224E"/>
    <w:rPr>
      <w:color w:val="467886" w:themeColor="hyperlink"/>
      <w:u w:val="single"/>
    </w:rPr>
  </w:style>
  <w:style w:type="paragraph" w:customStyle="1" w:styleId="paragraph">
    <w:name w:val="paragraph"/>
    <w:basedOn w:val="Normal"/>
    <w:rsid w:val="00F4224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864a5b10c05211e6a3e9de0fc8d85cd8/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media/viesa/saugykla/2023/11/o2ToU3NgDDw.pdf" TargetMode="External"/><Relationship Id="rId5" Type="http://schemas.openxmlformats.org/officeDocument/2006/relationships/footnotes" Target="footnotes.xml"/><Relationship Id="rId10" Type="http://schemas.openxmlformats.org/officeDocument/2006/relationships/hyperlink" Target="https://e-seimas.lrs.lt/portal/legalAct/lt/TAD/a25f7fa0c9e711ee9269b566387cfecb" TargetMode="External"/><Relationship Id="rId4" Type="http://schemas.openxmlformats.org/officeDocument/2006/relationships/webSettings" Target="webSettings.xml"/><Relationship Id="rId9"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2024-06-18T11:09:00Z</dcterms:created>
  <dcterms:modified xsi:type="dcterms:W3CDTF">2024-06-18T11:13:00Z</dcterms:modified>
</cp:coreProperties>
</file>