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0D5DB" w14:textId="77777777" w:rsidR="00781AAB" w:rsidRPr="00FC296F" w:rsidRDefault="00781AAB" w:rsidP="00FC296F">
      <w:pPr>
        <w:spacing w:after="0" w:line="276" w:lineRule="auto"/>
        <w:rPr>
          <w:rFonts w:ascii="Calibri" w:hAnsi="Calibri" w:cs="Calibri"/>
          <w:sz w:val="24"/>
          <w:szCs w:val="24"/>
        </w:rPr>
      </w:pPr>
      <w:r w:rsidRPr="00FC296F">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4C8ED60" w14:textId="77777777" w:rsidR="00781AAB" w:rsidRPr="00FC296F" w:rsidRDefault="00781AAB" w:rsidP="00FC296F">
      <w:pPr>
        <w:spacing w:after="0" w:line="276" w:lineRule="auto"/>
        <w:rPr>
          <w:rFonts w:ascii="Calibri" w:hAnsi="Calibri" w:cs="Calibri"/>
          <w:sz w:val="24"/>
          <w:szCs w:val="24"/>
        </w:rPr>
      </w:pPr>
      <w:r w:rsidRPr="00FC296F">
        <w:rPr>
          <w:rFonts w:ascii="Calibri" w:eastAsia="Times New Roman" w:hAnsi="Calibri" w:cs="Calibri"/>
          <w:sz w:val="24"/>
          <w:szCs w:val="24"/>
          <w:lang w:val="lt"/>
        </w:rPr>
        <w:t xml:space="preserve">Vadovaujantis Tarnybai Įstatyme nustatyta pažeidimų prevencijos funkcija, šiuo metu atliekama </w:t>
      </w:r>
      <w:r w:rsidRPr="00FC296F">
        <w:rPr>
          <w:rFonts w:ascii="Calibri" w:eastAsia="Times New Roman" w:hAnsi="Calibri" w:cs="Calibri"/>
          <w:b/>
          <w:bCs/>
          <w:sz w:val="24"/>
          <w:szCs w:val="24"/>
          <w:lang w:val="lt"/>
        </w:rPr>
        <w:t>Panevėžio rajono savivaldybės administracijos</w:t>
      </w:r>
      <w:r w:rsidRPr="00FC296F">
        <w:rPr>
          <w:rFonts w:ascii="Calibri" w:hAnsi="Calibri" w:cs="Calibri"/>
          <w:b/>
          <w:bCs/>
          <w:spacing w:val="-2"/>
          <w:sz w:val="24"/>
          <w:szCs w:val="24"/>
        </w:rPr>
        <w:t xml:space="preserve"> </w:t>
      </w:r>
      <w:r w:rsidRPr="00FC296F">
        <w:rPr>
          <w:rFonts w:ascii="Calibri" w:hAnsi="Calibri" w:cs="Calibri"/>
          <w:sz w:val="24"/>
          <w:szCs w:val="24"/>
          <w:lang w:eastAsia="lt-LT"/>
        </w:rPr>
        <w:t>(toliau – Perkančioji organizacija) vykdomo pirkimo Nr.</w:t>
      </w:r>
      <w:r w:rsidRPr="00FC296F">
        <w:rPr>
          <w:rFonts w:ascii="Calibri" w:hAnsi="Calibri" w:cs="Calibri"/>
          <w:b/>
          <w:bCs/>
          <w:sz w:val="24"/>
          <w:szCs w:val="24"/>
          <w:lang w:eastAsia="lt-LT"/>
        </w:rPr>
        <w:t xml:space="preserve"> 727417 „Miežiškių sen. Kelio </w:t>
      </w:r>
      <w:proofErr w:type="spellStart"/>
      <w:r w:rsidRPr="00FC296F">
        <w:rPr>
          <w:rFonts w:ascii="Calibri" w:hAnsi="Calibri" w:cs="Calibri"/>
          <w:b/>
          <w:bCs/>
          <w:sz w:val="24"/>
          <w:szCs w:val="24"/>
          <w:lang w:eastAsia="lt-LT"/>
        </w:rPr>
        <w:t>Kulbagalys</w:t>
      </w:r>
      <w:proofErr w:type="spellEnd"/>
      <w:r w:rsidRPr="00FC296F">
        <w:rPr>
          <w:rFonts w:ascii="Calibri" w:hAnsi="Calibri" w:cs="Calibri"/>
          <w:b/>
          <w:bCs/>
          <w:sz w:val="24"/>
          <w:szCs w:val="24"/>
          <w:lang w:eastAsia="lt-LT"/>
        </w:rPr>
        <w:t xml:space="preserve"> – Margučiai kapitalinis remontas“</w:t>
      </w:r>
      <w:r w:rsidRPr="00FC296F">
        <w:rPr>
          <w:rFonts w:ascii="Calibri" w:hAnsi="Calibri" w:cs="Calibri"/>
          <w:sz w:val="24"/>
          <w:szCs w:val="24"/>
          <w:lang w:eastAsia="lt-LT"/>
        </w:rPr>
        <w:t xml:space="preserve"> (toliau – Pirkimas) </w:t>
      </w:r>
      <w:r w:rsidRPr="00FC296F">
        <w:rPr>
          <w:rFonts w:ascii="Calibri" w:hAnsi="Calibri" w:cs="Calibri"/>
          <w:sz w:val="24"/>
          <w:szCs w:val="24"/>
        </w:rPr>
        <w:t>dokumentų atitikties Įstatymui ir jį įgyvendinantiems teisės aktams peržiūra (peržiūra prevenciniais tikslais atliekama tam tikra apimtimi).</w:t>
      </w:r>
    </w:p>
    <w:p w14:paraId="5B476C44" w14:textId="77777777" w:rsidR="00781AAB" w:rsidRPr="00FC296F" w:rsidRDefault="00781AAB" w:rsidP="00FC296F">
      <w:pPr>
        <w:spacing w:after="0" w:line="276" w:lineRule="auto"/>
        <w:rPr>
          <w:rFonts w:ascii="Calibri" w:hAnsi="Calibri" w:cs="Calibri"/>
          <w:sz w:val="24"/>
          <w:szCs w:val="24"/>
          <w:lang w:eastAsia="lt-LT"/>
        </w:rPr>
      </w:pPr>
      <w:r w:rsidRPr="00FC296F">
        <w:rPr>
          <w:rFonts w:ascii="Calibri" w:hAnsi="Calibri" w:cs="Calibri"/>
          <w:sz w:val="24"/>
          <w:szCs w:val="24"/>
          <w:lang w:eastAsia="lt-LT"/>
        </w:rPr>
        <w:t>Tarnyba, prevencine tvarka peržiūrėjusi Pirkimo dokumentus ir atsižvelgdama į galiojantį teisinį reglamentavimą, teikia klausimus, pastabas ir rekomendacijas (toliau – Rekomendacija) dėl Pirkimo dokumentų nuostatų.</w:t>
      </w:r>
    </w:p>
    <w:p w14:paraId="5A7275A5" w14:textId="77777777" w:rsidR="00781AAB" w:rsidRPr="00FC296F" w:rsidRDefault="00781AAB" w:rsidP="00FC296F">
      <w:pPr>
        <w:pStyle w:val="paragraph"/>
        <w:numPr>
          <w:ilvl w:val="0"/>
          <w:numId w:val="1"/>
        </w:numPr>
        <w:tabs>
          <w:tab w:val="left" w:pos="426"/>
        </w:tabs>
        <w:spacing w:before="0" w:beforeAutospacing="0" w:after="0" w:afterAutospacing="0" w:line="276" w:lineRule="auto"/>
        <w:ind w:left="0" w:hanging="11"/>
        <w:textAlignment w:val="baseline"/>
        <w:rPr>
          <w:rFonts w:ascii="Calibri" w:hAnsi="Calibri" w:cs="Calibri"/>
          <w:b/>
          <w:bCs/>
        </w:rPr>
      </w:pPr>
      <w:r w:rsidRPr="00FC296F">
        <w:rPr>
          <w:rFonts w:ascii="Calibri" w:hAnsi="Calibri" w:cs="Calibri"/>
          <w:b/>
          <w:bCs/>
        </w:rPr>
        <w:t>Dėl tiekėjo kvalifikacijos reikalavimų</w:t>
      </w:r>
    </w:p>
    <w:p w14:paraId="74182D34" w14:textId="77777777" w:rsidR="00781AAB" w:rsidRPr="00FC296F" w:rsidRDefault="00781AAB" w:rsidP="00FC296F">
      <w:pPr>
        <w:widowControl w:val="0"/>
        <w:suppressAutoHyphens/>
        <w:spacing w:after="0" w:line="276" w:lineRule="auto"/>
        <w:rPr>
          <w:rFonts w:ascii="Calibri" w:eastAsia="Times New Roman" w:hAnsi="Calibri" w:cs="Calibri"/>
          <w:kern w:val="2"/>
          <w:sz w:val="24"/>
          <w:szCs w:val="24"/>
          <w:lang w:val="lt"/>
          <w14:ligatures w14:val="standardContextual"/>
        </w:rPr>
      </w:pPr>
      <w:r w:rsidRPr="00FC296F">
        <w:rPr>
          <w:rFonts w:ascii="Calibri" w:eastAsia="Calibri" w:hAnsi="Calibri" w:cs="Calibri"/>
          <w:sz w:val="24"/>
          <w:szCs w:val="24"/>
        </w:rPr>
        <w:t xml:space="preserve">Pirkimo sąlygų 4 priedo „Tiekėjų kvalifikacijos reikalavimai ir reikalaujami aplinkos apsaugos vadybos sistemų standartai“ lentelės „Tiekėjų kvalifikacijos reikalavimai“ 1.2 eilutės trečiame stulpelyje „Atitiktį reikalavimui įrodantys dokumentai“ nustatyta, kad turi būti pateikiamas: „1. už sutarties vykdymą atsakingų specialistų sąrašas &lt;...&gt;, kuriame turi būti nurodyta: &lt;...&gt; </w:t>
      </w:r>
      <w:r w:rsidRPr="00FC296F">
        <w:rPr>
          <w:rFonts w:ascii="Calibri" w:eastAsia="Calibri" w:hAnsi="Calibri" w:cs="Calibri"/>
          <w:b/>
          <w:bCs/>
          <w:sz w:val="24"/>
          <w:szCs w:val="24"/>
        </w:rPr>
        <w:t>kvalifikacijos dokumento</w:t>
      </w:r>
      <w:r w:rsidRPr="00FC296F">
        <w:rPr>
          <w:rFonts w:ascii="Calibri" w:eastAsia="Calibri" w:hAnsi="Calibri" w:cs="Calibri"/>
          <w:sz w:val="24"/>
          <w:szCs w:val="24"/>
        </w:rPr>
        <w:t xml:space="preserve"> pavadinimas ir numeris, &lt;...&gt;; 2. </w:t>
      </w:r>
      <w:r w:rsidRPr="00FC296F">
        <w:rPr>
          <w:rFonts w:ascii="Calibri" w:eastAsia="Calibri" w:hAnsi="Calibri" w:cs="Calibri"/>
          <w:b/>
          <w:bCs/>
          <w:sz w:val="24"/>
          <w:szCs w:val="24"/>
        </w:rPr>
        <w:t>Kvalifikaciją patvirtinantys galiojantys dokumentai</w:t>
      </w:r>
      <w:r w:rsidRPr="00FC296F">
        <w:rPr>
          <w:rFonts w:ascii="Calibri" w:eastAsia="Calibri" w:hAnsi="Calibri" w:cs="Calibri"/>
          <w:sz w:val="24"/>
          <w:szCs w:val="24"/>
        </w:rPr>
        <w:t xml:space="preserve"> ar atitinkamos užsienio šalies institucijos išduoti dokumentai ir </w:t>
      </w:r>
      <w:r w:rsidRPr="00FC296F">
        <w:rPr>
          <w:rFonts w:ascii="Calibri" w:eastAsia="Calibri" w:hAnsi="Calibri" w:cs="Calibri"/>
          <w:b/>
          <w:bCs/>
          <w:sz w:val="24"/>
          <w:szCs w:val="24"/>
        </w:rPr>
        <w:t>pripažinti LR teisės aktų nustatyta tvarka</w:t>
      </w:r>
      <w:r w:rsidRPr="00FC296F">
        <w:rPr>
          <w:rFonts w:ascii="Calibri" w:eastAsia="Calibri" w:hAnsi="Calibri" w:cs="Calibri"/>
          <w:sz w:val="24"/>
          <w:szCs w:val="24"/>
        </w:rPr>
        <w:t xml:space="preserve">, išskyrus kai duomenys apie </w:t>
      </w:r>
      <w:r w:rsidRPr="00FC296F">
        <w:rPr>
          <w:rFonts w:ascii="Calibri" w:eastAsia="Calibri" w:hAnsi="Calibri" w:cs="Calibri"/>
          <w:b/>
          <w:bCs/>
          <w:sz w:val="24"/>
          <w:szCs w:val="24"/>
        </w:rPr>
        <w:t>kvalifikaciją</w:t>
      </w:r>
      <w:r w:rsidRPr="00FC296F">
        <w:rPr>
          <w:rFonts w:ascii="Calibri" w:eastAsia="Calibri" w:hAnsi="Calibri" w:cs="Calibri"/>
          <w:sz w:val="24"/>
          <w:szCs w:val="24"/>
        </w:rPr>
        <w:t xml:space="preserve"> </w:t>
      </w:r>
      <w:r w:rsidRPr="00FC296F">
        <w:rPr>
          <w:rFonts w:ascii="Calibri" w:eastAsia="Calibri" w:hAnsi="Calibri" w:cs="Calibri"/>
          <w:b/>
          <w:bCs/>
          <w:sz w:val="24"/>
          <w:szCs w:val="24"/>
        </w:rPr>
        <w:t xml:space="preserve">paskelbti VšĮ Statybos sektoriaus vystymo agentūros internetinės svetainės </w:t>
      </w:r>
      <w:hyperlink r:id="rId7" w:history="1">
        <w:r w:rsidRPr="00FC296F">
          <w:rPr>
            <w:rFonts w:ascii="Calibri" w:eastAsia="Calibri" w:hAnsi="Calibri" w:cs="Calibri"/>
            <w:b/>
            <w:bCs/>
            <w:sz w:val="24"/>
            <w:szCs w:val="24"/>
          </w:rPr>
          <w:t>www.ssva.lt</w:t>
        </w:r>
      </w:hyperlink>
      <w:r w:rsidRPr="00FC296F">
        <w:rPr>
          <w:rFonts w:ascii="Calibri" w:eastAsia="Calibri" w:hAnsi="Calibri" w:cs="Calibri"/>
          <w:sz w:val="24"/>
          <w:szCs w:val="24"/>
        </w:rPr>
        <w:t xml:space="preserve"> registrų skiltyje.</w:t>
      </w:r>
      <w:r w:rsidRPr="00FC296F">
        <w:rPr>
          <w:rFonts w:ascii="Calibri" w:hAnsi="Calibri" w:cs="Calibri"/>
          <w:kern w:val="1"/>
          <w:sz w:val="24"/>
          <w:szCs w:val="24"/>
          <w:lang w:eastAsia="ar-SA"/>
        </w:rPr>
        <w:t xml:space="preserve"> „Specialistai“: „</w:t>
      </w:r>
      <w:r w:rsidRPr="00FC296F">
        <w:rPr>
          <w:rFonts w:ascii="Calibri" w:eastAsia="Calibri" w:hAnsi="Calibri" w:cs="Calibri"/>
          <w:sz w:val="24"/>
          <w:szCs w:val="24"/>
        </w:rPr>
        <w:t xml:space="preserve">Statybos specialistų </w:t>
      </w:r>
      <w:r w:rsidRPr="00FC296F">
        <w:rPr>
          <w:rFonts w:ascii="Calibri" w:eastAsia="Calibri" w:hAnsi="Calibri" w:cs="Calibri"/>
          <w:b/>
          <w:bCs/>
          <w:sz w:val="24"/>
          <w:szCs w:val="24"/>
        </w:rPr>
        <w:t>kvalifikacijos atestatai ir teisės pripažinimo dokumentai</w:t>
      </w:r>
      <w:r w:rsidRPr="00FC296F">
        <w:rPr>
          <w:rFonts w:ascii="Calibri" w:eastAsia="Calibri" w:hAnsi="Calibri" w:cs="Calibri"/>
          <w:sz w:val="24"/>
          <w:szCs w:val="24"/>
        </w:rPr>
        <w:t xml:space="preserve">, išduoti nuo 2012 m.“; &lt;...&gt; Europos Sąjungos valstybės narės, Šveicarijos Konfederacijos arba valstybės, pasirašiusios Europos ekonominės erdvės sutartį, pilietis ar kitas fizinis asmuo, &lt;...&gt;, turi pateikti Statybos įstatymo nustatyta tvarka išduotą </w:t>
      </w:r>
      <w:r w:rsidRPr="00FC296F">
        <w:rPr>
          <w:rFonts w:ascii="Calibri" w:eastAsia="Calibri" w:hAnsi="Calibri" w:cs="Calibri"/>
          <w:b/>
          <w:bCs/>
          <w:sz w:val="24"/>
          <w:szCs w:val="24"/>
        </w:rPr>
        <w:t>teisės pripažinimo dokumentą</w:t>
      </w:r>
      <w:r w:rsidRPr="00FC296F">
        <w:rPr>
          <w:rFonts w:ascii="Calibri" w:eastAsia="Calibri" w:hAnsi="Calibri" w:cs="Calibri"/>
          <w:sz w:val="24"/>
          <w:szCs w:val="24"/>
        </w:rPr>
        <w:t xml:space="preserve"> (kopiją), įrodantį specialisto išsilavinimą. Užsienio tiekėjo turimos </w:t>
      </w:r>
      <w:r w:rsidRPr="00FC296F">
        <w:rPr>
          <w:rFonts w:ascii="Calibri" w:eastAsia="Calibri" w:hAnsi="Calibri" w:cs="Calibri"/>
          <w:b/>
          <w:bCs/>
          <w:sz w:val="24"/>
          <w:szCs w:val="24"/>
        </w:rPr>
        <w:t>kvalifikacijos patvirtinimo dokumentai</w:t>
      </w:r>
      <w:r w:rsidRPr="00FC296F">
        <w:rPr>
          <w:rFonts w:ascii="Calibri" w:eastAsia="Calibri" w:hAnsi="Calibri" w:cs="Calibri"/>
          <w:sz w:val="24"/>
          <w:szCs w:val="24"/>
        </w:rPr>
        <w:t xml:space="preserve"> Lietuvoje gali būti išduoti ir po galutinės pasiūlymų pateikimo datos“.</w:t>
      </w:r>
    </w:p>
    <w:p w14:paraId="5E8B242B" w14:textId="77777777" w:rsidR="00781AAB" w:rsidRPr="00FC296F" w:rsidRDefault="00781AAB" w:rsidP="00FC296F">
      <w:pPr>
        <w:spacing w:after="0" w:line="276" w:lineRule="auto"/>
        <w:ind w:hanging="11"/>
        <w:rPr>
          <w:rFonts w:ascii="Calibri" w:eastAsia="Arial" w:hAnsi="Calibri" w:cs="Calibri"/>
          <w:bCs/>
          <w:sz w:val="24"/>
          <w:szCs w:val="24"/>
        </w:rPr>
      </w:pPr>
      <w:r w:rsidRPr="00FC296F">
        <w:rPr>
          <w:rFonts w:ascii="Calibri" w:eastAsia="Arial" w:hAnsi="Calibri" w:cs="Calibri"/>
          <w:sz w:val="24"/>
          <w:szCs w:val="24"/>
        </w:rPr>
        <w:t>Atkreiptinas dėmesys, kad n</w:t>
      </w:r>
      <w:r w:rsidRPr="00FC296F">
        <w:rPr>
          <w:rFonts w:ascii="Calibri" w:eastAsia="Arial" w:hAnsi="Calibri" w:cs="Calibri"/>
          <w:bCs/>
          <w:sz w:val="24"/>
          <w:szCs w:val="24"/>
        </w:rPr>
        <w:t>esudėtingojo statinio statybos vadovui (ir Lietuvos Respublikos, ir užsienio šalių (neišskiriant trečiųjų šalių) specialistams) pakanka turėti architekto ar statybos inžinieriaus išsilavinimą</w:t>
      </w:r>
      <w:r w:rsidRPr="00FC296F">
        <w:rPr>
          <w:rStyle w:val="FootnoteReference"/>
          <w:rFonts w:ascii="Calibri" w:eastAsia="Arial" w:hAnsi="Calibri" w:cs="Calibri"/>
          <w:bCs/>
          <w:sz w:val="24"/>
          <w:szCs w:val="24"/>
        </w:rPr>
        <w:footnoteReference w:id="1"/>
      </w:r>
      <w:r w:rsidRPr="00FC296F">
        <w:rPr>
          <w:rFonts w:ascii="Calibri" w:eastAsia="Arial" w:hAnsi="Calibri" w:cs="Calibri"/>
          <w:bCs/>
          <w:sz w:val="24"/>
          <w:szCs w:val="24"/>
        </w:rPr>
        <w:t xml:space="preserve"> ir pateikti </w:t>
      </w:r>
      <w:r w:rsidRPr="00FC296F">
        <w:rPr>
          <w:rFonts w:ascii="Calibri" w:eastAsia="Arial" w:hAnsi="Calibri" w:cs="Calibri"/>
          <w:b/>
          <w:sz w:val="24"/>
          <w:szCs w:val="24"/>
        </w:rPr>
        <w:t>išsilavinimą liudijančių diplomų kopijas</w:t>
      </w:r>
      <w:r w:rsidRPr="00FC296F">
        <w:rPr>
          <w:rFonts w:ascii="Calibri" w:eastAsia="Arial" w:hAnsi="Calibri" w:cs="Calibri"/>
          <w:bCs/>
          <w:sz w:val="24"/>
          <w:szCs w:val="24"/>
        </w:rPr>
        <w:t xml:space="preserve">. Tokiu atveju nėra pareigos kreiptis į VšĮ Statybos sektoriaus vystymo agentūrą dėl teisės pripažinimo dokumento ir pan., kadangi vertinamas tik siūlomo specialisto išsilavinimas. Tiekėjai turi teisę, </w:t>
      </w:r>
      <w:r w:rsidRPr="00FC296F">
        <w:rPr>
          <w:rFonts w:ascii="Calibri" w:eastAsia="Arial" w:hAnsi="Calibri" w:cs="Calibri"/>
          <w:b/>
          <w:sz w:val="24"/>
          <w:szCs w:val="24"/>
        </w:rPr>
        <w:t>bet ne pareigą</w:t>
      </w:r>
      <w:r w:rsidRPr="00FC296F">
        <w:rPr>
          <w:rFonts w:ascii="Calibri" w:eastAsia="Arial" w:hAnsi="Calibri" w:cs="Calibri"/>
          <w:bCs/>
          <w:sz w:val="24"/>
          <w:szCs w:val="24"/>
        </w:rPr>
        <w:t>, pateikti siūlomo specialisto dokumentus (atestatus ir teisės pripažinimo dokumentus, jei tokius turi) įrodančius aukštesnę nei nesudėtingojo statinio statybos vadovo kvalifikaciją.</w:t>
      </w:r>
    </w:p>
    <w:p w14:paraId="1AF75E44" w14:textId="77777777" w:rsidR="00781AAB" w:rsidRPr="00FC296F" w:rsidRDefault="00781AAB" w:rsidP="00FC296F">
      <w:pPr>
        <w:spacing w:after="0" w:line="276" w:lineRule="auto"/>
        <w:ind w:hanging="11"/>
        <w:rPr>
          <w:rFonts w:ascii="Calibri" w:eastAsia="Arial" w:hAnsi="Calibri" w:cs="Calibri"/>
          <w:bCs/>
          <w:sz w:val="24"/>
          <w:szCs w:val="24"/>
        </w:rPr>
      </w:pPr>
      <w:r w:rsidRPr="00FC296F">
        <w:rPr>
          <w:rFonts w:ascii="Calibri" w:eastAsia="Arial" w:hAnsi="Calibri" w:cs="Calibri"/>
          <w:bCs/>
          <w:sz w:val="24"/>
          <w:szCs w:val="24"/>
        </w:rPr>
        <w:lastRenderedPageBreak/>
        <w:t>Atsižvelgiant į nurodytą, Tarnyba rekomenduoja tikslinti kvalifikacijos reikalavimą pagrindžiančius dokumentus.</w:t>
      </w:r>
    </w:p>
    <w:p w14:paraId="1EE8059C" w14:textId="77777777" w:rsidR="00781AAB" w:rsidRPr="00FC296F" w:rsidRDefault="00781AAB" w:rsidP="00FC296F">
      <w:pPr>
        <w:pStyle w:val="ListParagraph"/>
        <w:numPr>
          <w:ilvl w:val="0"/>
          <w:numId w:val="1"/>
        </w:numPr>
        <w:tabs>
          <w:tab w:val="left" w:pos="284"/>
        </w:tabs>
        <w:spacing w:after="0" w:line="276" w:lineRule="auto"/>
        <w:ind w:left="0" w:hanging="11"/>
        <w:rPr>
          <w:rFonts w:ascii="Calibri" w:hAnsi="Calibri" w:cs="Calibri"/>
          <w:b/>
          <w:bCs/>
          <w:sz w:val="24"/>
          <w:szCs w:val="24"/>
        </w:rPr>
      </w:pPr>
      <w:r w:rsidRPr="00FC296F">
        <w:rPr>
          <w:rFonts w:ascii="Calibri" w:hAnsi="Calibri" w:cs="Calibri"/>
          <w:b/>
          <w:bCs/>
          <w:sz w:val="24"/>
          <w:szCs w:val="24"/>
        </w:rPr>
        <w:t>Dėl sutarties projekto nuostatų</w:t>
      </w:r>
    </w:p>
    <w:p w14:paraId="462C0046" w14:textId="77777777" w:rsidR="00781AAB" w:rsidRPr="00FC296F" w:rsidRDefault="00781AAB" w:rsidP="00FC296F">
      <w:pPr>
        <w:pStyle w:val="ListParagraph"/>
        <w:numPr>
          <w:ilvl w:val="1"/>
          <w:numId w:val="1"/>
        </w:numPr>
        <w:tabs>
          <w:tab w:val="left" w:pos="567"/>
        </w:tabs>
        <w:spacing w:after="0" w:line="276" w:lineRule="auto"/>
        <w:ind w:left="0" w:hanging="11"/>
        <w:rPr>
          <w:rFonts w:ascii="Calibri" w:hAnsi="Calibri" w:cs="Calibri"/>
          <w:sz w:val="24"/>
          <w:szCs w:val="24"/>
        </w:rPr>
      </w:pPr>
      <w:hyperlink w:anchor="_Toc169099984" w:history="1">
        <w:r w:rsidRPr="00FC296F">
          <w:rPr>
            <w:rStyle w:val="Hyperlink"/>
            <w:rFonts w:ascii="Calibri" w:hAnsi="Calibri" w:cs="Calibri"/>
            <w:iCs/>
            <w:noProof/>
            <w:sz w:val="24"/>
            <w:szCs w:val="24"/>
          </w:rPr>
          <w:t>Pirkimo sąlygų 7 pried</w:t>
        </w:r>
        <w:r w:rsidRPr="00FC296F">
          <w:rPr>
            <w:rStyle w:val="Hyperlink"/>
            <w:rFonts w:ascii="Calibri" w:hAnsi="Calibri" w:cs="Calibri"/>
            <w:iCs/>
            <w:sz w:val="24"/>
            <w:szCs w:val="24"/>
          </w:rPr>
          <w:t>o</w:t>
        </w:r>
        <w:r w:rsidRPr="00FC296F">
          <w:rPr>
            <w:rStyle w:val="Hyperlink"/>
            <w:rFonts w:ascii="Calibri" w:hAnsi="Calibri" w:cs="Calibri"/>
            <w:iCs/>
            <w:noProof/>
            <w:sz w:val="24"/>
            <w:szCs w:val="24"/>
          </w:rPr>
          <w:t xml:space="preserve"> „Sutarties projektas“</w:t>
        </w:r>
      </w:hyperlink>
      <w:r w:rsidRPr="00FC296F">
        <w:rPr>
          <w:rFonts w:ascii="Calibri" w:hAnsi="Calibri" w:cs="Calibri"/>
          <w:noProof/>
          <w:sz w:val="24"/>
          <w:szCs w:val="24"/>
        </w:rPr>
        <w:t xml:space="preserve"> (toliau – Sutarties projektas) 7.6 punkte nustatyta, kad „</w:t>
      </w:r>
      <w:r w:rsidRPr="00FC296F">
        <w:rPr>
          <w:rFonts w:ascii="Calibri" w:hAnsi="Calibri" w:cs="Calibri"/>
          <w:sz w:val="24"/>
          <w:szCs w:val="24"/>
        </w:rPr>
        <w:t xml:space="preserve">Šalys turi teisę užsakyti reikalingas ekspertizes atliktų Darbų kokybei nustatyti. Ekspertizės atlikimo išlaidas apmoka ekspertizę užsakiusi Šalis. </w:t>
      </w:r>
      <w:r w:rsidRPr="00FC296F">
        <w:rPr>
          <w:rFonts w:ascii="Calibri" w:hAnsi="Calibri" w:cs="Calibri"/>
          <w:b/>
          <w:bCs/>
          <w:sz w:val="24"/>
          <w:szCs w:val="24"/>
        </w:rPr>
        <w:t>Jei ekspertizės metu neišaiškinamos kitos Šalies klaidos, ekspertizės atlikimo išlaidas apmoka Šalis, padariusi klaidą (-</w:t>
      </w:r>
      <w:proofErr w:type="spellStart"/>
      <w:r w:rsidRPr="00FC296F">
        <w:rPr>
          <w:rFonts w:ascii="Calibri" w:hAnsi="Calibri" w:cs="Calibri"/>
          <w:b/>
          <w:bCs/>
          <w:sz w:val="24"/>
          <w:szCs w:val="24"/>
        </w:rPr>
        <w:t>as</w:t>
      </w:r>
      <w:proofErr w:type="spellEnd"/>
      <w:r w:rsidRPr="00FC296F">
        <w:rPr>
          <w:rFonts w:ascii="Calibri" w:hAnsi="Calibri" w:cs="Calibri"/>
          <w:b/>
          <w:bCs/>
          <w:sz w:val="24"/>
          <w:szCs w:val="24"/>
        </w:rPr>
        <w:t>)</w:t>
      </w:r>
      <w:r w:rsidRPr="00FC296F">
        <w:rPr>
          <w:rFonts w:ascii="Calibri" w:hAnsi="Calibri" w:cs="Calibri"/>
          <w:sz w:val="24"/>
          <w:szCs w:val="24"/>
        </w:rPr>
        <w:t>“. Tarnyba rekomenduoja tikslinti šią dviprasmiškai suprantamą Sutarties projekto nuostatą (jei ekspertizė nenustato klaidų, kodėl kažkuri šalis laikytina, kad padarė klaidą (-</w:t>
      </w:r>
      <w:proofErr w:type="spellStart"/>
      <w:r w:rsidRPr="00FC296F">
        <w:rPr>
          <w:rFonts w:ascii="Calibri" w:hAnsi="Calibri" w:cs="Calibri"/>
          <w:sz w:val="24"/>
          <w:szCs w:val="24"/>
        </w:rPr>
        <w:t>as</w:t>
      </w:r>
      <w:proofErr w:type="spellEnd"/>
      <w:r w:rsidRPr="00FC296F">
        <w:rPr>
          <w:rFonts w:ascii="Calibri" w:hAnsi="Calibri" w:cs="Calibri"/>
          <w:sz w:val="24"/>
          <w:szCs w:val="24"/>
        </w:rPr>
        <w:t>)?).</w:t>
      </w:r>
    </w:p>
    <w:p w14:paraId="211345AA" w14:textId="77777777" w:rsidR="00781AAB" w:rsidRPr="00FC296F" w:rsidRDefault="00781AAB" w:rsidP="00FC296F">
      <w:pPr>
        <w:pStyle w:val="Bodytext2"/>
        <w:numPr>
          <w:ilvl w:val="1"/>
          <w:numId w:val="1"/>
        </w:numPr>
        <w:shd w:val="clear" w:color="auto" w:fill="auto"/>
        <w:tabs>
          <w:tab w:val="left" w:pos="567"/>
          <w:tab w:val="left" w:pos="709"/>
        </w:tabs>
        <w:spacing w:before="0" w:line="276" w:lineRule="auto"/>
        <w:ind w:left="0" w:firstLine="0"/>
        <w:jc w:val="left"/>
        <w:rPr>
          <w:rFonts w:ascii="Calibri" w:hAnsi="Calibri" w:cs="Calibri"/>
          <w:sz w:val="24"/>
          <w:szCs w:val="24"/>
        </w:rPr>
      </w:pPr>
      <w:r w:rsidRPr="00FC296F">
        <w:rPr>
          <w:rFonts w:ascii="Calibri" w:hAnsi="Calibri" w:cs="Calibri"/>
          <w:sz w:val="24"/>
          <w:szCs w:val="24"/>
        </w:rPr>
        <w:t xml:space="preserve">Atsižvelgiant į tai, kad šiame Pirkime yra pateiktas </w:t>
      </w:r>
      <w:r w:rsidRPr="00FC296F">
        <w:rPr>
          <w:rFonts w:ascii="Calibri" w:eastAsia="Times New Roman" w:hAnsi="Calibri" w:cs="Calibri"/>
          <w:sz w:val="24"/>
          <w:szCs w:val="24"/>
        </w:rPr>
        <w:t xml:space="preserve">UAB „URBAN LINE“ </w:t>
      </w:r>
      <w:r w:rsidRPr="00FC296F">
        <w:rPr>
          <w:rFonts w:ascii="Calibri" w:hAnsi="Calibri" w:cs="Calibri"/>
          <w:b/>
          <w:bCs/>
          <w:sz w:val="24"/>
          <w:szCs w:val="24"/>
        </w:rPr>
        <w:t>techninis darbo projektas</w:t>
      </w:r>
      <w:r w:rsidRPr="00FC296F">
        <w:rPr>
          <w:rFonts w:ascii="Calibri" w:hAnsi="Calibri" w:cs="Calibri"/>
          <w:sz w:val="24"/>
          <w:szCs w:val="24"/>
        </w:rPr>
        <w:t xml:space="preserve"> </w:t>
      </w:r>
      <w:r w:rsidRPr="00FC296F">
        <w:rPr>
          <w:rFonts w:ascii="Calibri" w:eastAsia="Times New Roman" w:hAnsi="Calibri" w:cs="Calibri"/>
          <w:sz w:val="24"/>
          <w:szCs w:val="24"/>
        </w:rPr>
        <w:t xml:space="preserve">„Vietinės reikšmės kelio </w:t>
      </w:r>
      <w:proofErr w:type="spellStart"/>
      <w:r w:rsidRPr="00FC296F">
        <w:rPr>
          <w:rFonts w:ascii="Calibri" w:eastAsia="Times New Roman" w:hAnsi="Calibri" w:cs="Calibri"/>
          <w:sz w:val="24"/>
          <w:szCs w:val="24"/>
        </w:rPr>
        <w:t>Kulbagalys</w:t>
      </w:r>
      <w:proofErr w:type="spellEnd"/>
      <w:r w:rsidRPr="00FC296F">
        <w:rPr>
          <w:rFonts w:ascii="Calibri" w:eastAsia="Times New Roman" w:hAnsi="Calibri" w:cs="Calibri"/>
          <w:sz w:val="24"/>
          <w:szCs w:val="24"/>
        </w:rPr>
        <w:t xml:space="preserve">–Margučiai (MIE-43) Margučių k., Miežiškių sen., Panevėžio r. sav., kapitalinio remonto projektas“ (toliau – TDP), rekomenduotina atidžiai peržiūrėti </w:t>
      </w:r>
      <w:r w:rsidRPr="00FC296F">
        <w:rPr>
          <w:rFonts w:ascii="Calibri" w:eastAsia="Times New Roman" w:hAnsi="Calibri" w:cs="Calibri"/>
          <w:b/>
          <w:bCs/>
          <w:sz w:val="24"/>
          <w:szCs w:val="24"/>
        </w:rPr>
        <w:t>visą Sutarties projektą</w:t>
      </w:r>
      <w:r w:rsidRPr="00FC296F">
        <w:rPr>
          <w:rFonts w:ascii="Calibri" w:eastAsia="Times New Roman" w:hAnsi="Calibri" w:cs="Calibri"/>
          <w:sz w:val="24"/>
          <w:szCs w:val="24"/>
        </w:rPr>
        <w:t xml:space="preserve"> (pavyzdžiui, Sutarties projekto 7.7 punkte nurodyta, kad „&lt;...&gt; </w:t>
      </w:r>
      <w:r w:rsidRPr="00FC296F">
        <w:rPr>
          <w:rFonts w:ascii="Calibri" w:hAnsi="Calibri" w:cs="Calibri"/>
          <w:sz w:val="24"/>
          <w:szCs w:val="24"/>
        </w:rPr>
        <w:t xml:space="preserve">Rangovas, pastebėjęs netikslumų Techninėje specifikacijoje, statinio </w:t>
      </w:r>
      <w:r w:rsidRPr="00FC296F">
        <w:rPr>
          <w:rFonts w:ascii="Calibri" w:hAnsi="Calibri" w:cs="Calibri"/>
          <w:b/>
          <w:bCs/>
          <w:sz w:val="24"/>
          <w:szCs w:val="24"/>
        </w:rPr>
        <w:t>techniniame, darbo ar kitame projekte</w:t>
      </w:r>
      <w:r w:rsidRPr="00FC296F">
        <w:rPr>
          <w:rFonts w:ascii="Calibri" w:hAnsi="Calibri" w:cs="Calibri"/>
          <w:sz w:val="24"/>
          <w:szCs w:val="24"/>
        </w:rPr>
        <w:t xml:space="preserve">, privalo nedelsdamas apie tai informuoti Užsakovą ir Darbus pratęsti tik po Užsakovo nurodymo“ ir t.t.) </w:t>
      </w:r>
      <w:r w:rsidRPr="00FC296F">
        <w:rPr>
          <w:rFonts w:ascii="Calibri" w:eastAsia="Times New Roman" w:hAnsi="Calibri" w:cs="Calibri"/>
          <w:sz w:val="24"/>
          <w:szCs w:val="24"/>
        </w:rPr>
        <w:t>ir patikslinti informaciją, aiškiai nurodant TDP (kur reikia), siekiant, kad</w:t>
      </w:r>
      <w:r w:rsidRPr="00FC296F">
        <w:rPr>
          <w:rFonts w:ascii="Calibri" w:hAnsi="Calibri" w:cs="Calibri"/>
          <w:sz w:val="24"/>
          <w:szCs w:val="24"/>
          <w:lang w:eastAsia="lt-LT"/>
        </w:rPr>
        <w:t xml:space="preserve"> Pirkimo dokumentai būtų tikslūs, aiškūs, be dviprasmybių (Įstatymo 35 straipsnio 4 dalis).</w:t>
      </w:r>
    </w:p>
    <w:p w14:paraId="7B644220" w14:textId="77777777" w:rsidR="00781AAB" w:rsidRPr="00FC296F" w:rsidRDefault="00781AAB" w:rsidP="00FC296F">
      <w:pPr>
        <w:pStyle w:val="ListParagraph"/>
        <w:numPr>
          <w:ilvl w:val="1"/>
          <w:numId w:val="1"/>
        </w:numPr>
        <w:tabs>
          <w:tab w:val="left" w:pos="142"/>
          <w:tab w:val="left" w:pos="284"/>
        </w:tabs>
        <w:spacing w:after="0" w:line="276" w:lineRule="auto"/>
        <w:ind w:left="0" w:firstLine="0"/>
        <w:rPr>
          <w:rFonts w:ascii="Calibri" w:hAnsi="Calibri" w:cs="Calibri"/>
          <w:sz w:val="24"/>
          <w:szCs w:val="24"/>
          <w:lang w:eastAsia="lt-LT" w:bidi="lt-LT"/>
        </w:rPr>
      </w:pPr>
      <w:r w:rsidRPr="00FC296F">
        <w:rPr>
          <w:rFonts w:ascii="Calibri" w:hAnsi="Calibri" w:cs="Calibri"/>
          <w:sz w:val="24"/>
          <w:szCs w:val="24"/>
        </w:rPr>
        <w:t>Sutarties projekto 17.7 punkte nustatyta, kad „</w:t>
      </w:r>
      <w:r w:rsidRPr="00FC296F">
        <w:rPr>
          <w:rFonts w:ascii="Calibri" w:hAnsi="Calibri" w:cs="Calibri"/>
          <w:sz w:val="24"/>
          <w:szCs w:val="24"/>
          <w:lang w:eastAsia="lt-LT" w:bidi="lt-LT"/>
        </w:rPr>
        <w:t xml:space="preserve">Jei Rangovas per 3 (tris) darbo dienas nuo rašytinio Užsakovo nurodymo be pateisinamos priežasties nepradeda vykdyti Darbų ir / ar </w:t>
      </w:r>
      <w:r w:rsidRPr="00FC296F">
        <w:rPr>
          <w:rFonts w:ascii="Calibri" w:hAnsi="Calibri" w:cs="Calibri"/>
          <w:b/>
          <w:bCs/>
          <w:sz w:val="24"/>
          <w:szCs w:val="24"/>
          <w:lang w:eastAsia="lt-LT" w:bidi="lt-LT"/>
        </w:rPr>
        <w:t>nepateikia Užsakovui Sutarties įvykdymo užtikrinimo</w:t>
      </w:r>
      <w:r w:rsidRPr="00FC296F">
        <w:rPr>
          <w:rFonts w:ascii="Calibri" w:hAnsi="Calibri" w:cs="Calibri"/>
          <w:sz w:val="24"/>
          <w:szCs w:val="24"/>
          <w:lang w:eastAsia="lt-LT" w:bidi="lt-LT"/>
        </w:rPr>
        <w:t xml:space="preserve"> (jeigu Sutarties įvykdymo užtikrinimas reikalaujamas pagal Pirkimo ir Sutarties sąlygas</w:t>
      </w:r>
      <w:r w:rsidRPr="00FC296F">
        <w:rPr>
          <w:rFonts w:ascii="Calibri" w:hAnsi="Calibri" w:cs="Calibri"/>
          <w:strike/>
          <w:sz w:val="24"/>
          <w:szCs w:val="24"/>
          <w:lang w:eastAsia="lt-LT" w:bidi="lt-LT"/>
        </w:rPr>
        <w:t>)</w:t>
      </w:r>
      <w:r w:rsidRPr="00FC296F">
        <w:rPr>
          <w:rFonts w:ascii="Calibri" w:hAnsi="Calibri" w:cs="Calibri"/>
          <w:sz w:val="24"/>
          <w:szCs w:val="24"/>
          <w:lang w:eastAsia="lt-LT" w:bidi="lt-LT"/>
        </w:rPr>
        <w:t xml:space="preserve">, Rangovas </w:t>
      </w:r>
      <w:r w:rsidRPr="00FC296F">
        <w:rPr>
          <w:rFonts w:ascii="Calibri" w:hAnsi="Calibri" w:cs="Calibri"/>
          <w:b/>
          <w:bCs/>
          <w:sz w:val="24"/>
          <w:szCs w:val="24"/>
          <w:lang w:eastAsia="lt-LT" w:bidi="lt-LT"/>
        </w:rPr>
        <w:t>moka Užsakovui 500 Eur baudą</w:t>
      </w:r>
      <w:r w:rsidRPr="00FC296F">
        <w:rPr>
          <w:rFonts w:ascii="Calibri" w:hAnsi="Calibri" w:cs="Calibri"/>
          <w:sz w:val="24"/>
          <w:szCs w:val="24"/>
          <w:lang w:eastAsia="lt-LT" w:bidi="lt-LT"/>
        </w:rPr>
        <w:t xml:space="preserve">“. Pažymėtina, kad Sutarties projekto 13.2 punkte nurodyta, kad Sutarties įvykdymas užtikrinamas (pasirinktinai) užstatu arba banko garantija, kurie turi būti pateikti per 10 (dešimt) darbo dienų nuo Sutarties pasirašymo dienos, pagal Sutarties projekto 2.11 punktą Sutartis įsigalioja tik tada, kai Rangovas pateikia Sutarties įvykdymo užtikrinimą patvirtinantį dokumentą. Taip pat Specialiųjų Pirkimo sąlygų 7.3 papunktyje nurodyta, kad „Dalyvis netenka pasiūlymo galiojimo užtikrinimo esant bent vienai šių sąlygų: &lt;...&gt; 7.3.3. dalyvis, kurio pasiūlymas laimėjo viešąjį pirkimą, per 10 darbo dienų nuo sutarties pasirašymo dienos neperveda sutarties įvykdymo užtikrinimo – užstato arba nepateikia sutarties įvykdymo užtikrinančio dokumento – banko garantijos“. Atsižvelgiant į nurodytas Pirkimo dokumentų sąlygas, prašome paaiškinti, kokiu pagrindu taikomos dvigubos sankcijos už sutarties įvykdymo užtikrinimo nepateikimą (pasinaudojama pasiūlymo galiojimo užtikrinimu 5000 Eur ir skiriama 500 Eur bauda), taip pat – ar nepateikus Sutarties įvykdymo užtikrinimo gali įsigalioti Sutartis? </w:t>
      </w:r>
    </w:p>
    <w:p w14:paraId="5049CEBE" w14:textId="77777777" w:rsidR="00781AAB" w:rsidRPr="00FC296F" w:rsidRDefault="00781AAB" w:rsidP="00FC296F">
      <w:pPr>
        <w:pStyle w:val="ListParagraph"/>
        <w:tabs>
          <w:tab w:val="left" w:pos="142"/>
          <w:tab w:val="left" w:pos="284"/>
        </w:tabs>
        <w:spacing w:after="0" w:line="276" w:lineRule="auto"/>
        <w:ind w:left="0"/>
        <w:rPr>
          <w:rFonts w:ascii="Calibri" w:hAnsi="Calibri" w:cs="Calibri"/>
          <w:sz w:val="24"/>
          <w:szCs w:val="24"/>
          <w:lang w:eastAsia="lt-LT" w:bidi="lt-LT"/>
        </w:rPr>
      </w:pPr>
      <w:r w:rsidRPr="00FC296F">
        <w:rPr>
          <w:rFonts w:ascii="Calibri" w:hAnsi="Calibri" w:cs="Calibri"/>
          <w:sz w:val="24"/>
          <w:szCs w:val="24"/>
          <w:lang w:eastAsia="lt-LT" w:bidi="lt-LT"/>
        </w:rPr>
        <w:t xml:space="preserve">Taip pat atsižvelgiant į </w:t>
      </w:r>
      <w:r w:rsidRPr="00FC296F">
        <w:rPr>
          <w:rFonts w:ascii="Calibri" w:hAnsi="Calibri" w:cs="Calibri"/>
          <w:sz w:val="24"/>
          <w:szCs w:val="24"/>
        </w:rPr>
        <w:t xml:space="preserve">Sutarties projekto 17.7 punkte nustatytą baudą už nepradedamus vykdyti darbus, pašome paaiškinti, ar </w:t>
      </w:r>
      <w:r w:rsidRPr="00FC296F">
        <w:rPr>
          <w:rFonts w:ascii="Calibri" w:hAnsi="Calibri" w:cs="Calibri"/>
          <w:sz w:val="24"/>
          <w:szCs w:val="24"/>
          <w:lang w:eastAsia="lt-LT" w:bidi="lt-LT"/>
        </w:rPr>
        <w:t xml:space="preserve">tai vienkartinio pobūdžio bauda, ar nevertėtų svarstyti galimybės baudą taikyti už kiekvieną vėluojamą dieną? </w:t>
      </w:r>
    </w:p>
    <w:p w14:paraId="56BB5D0E" w14:textId="77777777" w:rsidR="00781AAB" w:rsidRPr="00FC296F" w:rsidRDefault="00781AAB" w:rsidP="00FC296F">
      <w:pPr>
        <w:spacing w:after="0" w:line="276" w:lineRule="auto"/>
        <w:rPr>
          <w:rFonts w:ascii="Calibri" w:hAnsi="Calibri" w:cs="Calibri"/>
          <w:sz w:val="24"/>
          <w:szCs w:val="24"/>
        </w:rPr>
      </w:pPr>
      <w:r w:rsidRPr="00FC296F">
        <w:rPr>
          <w:rFonts w:ascii="Calibri" w:hAnsi="Calibri" w:cs="Calibri"/>
          <w:sz w:val="24"/>
          <w:szCs w:val="24"/>
        </w:rPr>
        <w:t xml:space="preserve">Atsižvelgdama į tai, kas nurodyta, Tarnyba rekomenduoja peržiūrėti ir patikslinti Pirkimų dokumentus pagal šioje Rekomendacijoje pateiktas pastabas. Primename, kad Perkančioji </w:t>
      </w:r>
      <w:r w:rsidRPr="00FC296F">
        <w:rPr>
          <w:rFonts w:ascii="Calibri" w:hAnsi="Calibri" w:cs="Calibri"/>
          <w:sz w:val="24"/>
          <w:szCs w:val="24"/>
        </w:rPr>
        <w:lastRenderedPageBreak/>
        <w:t>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6CEDD4A6" w14:textId="77777777" w:rsidR="00781AAB" w:rsidRPr="00FC296F" w:rsidRDefault="00781AAB" w:rsidP="00FC296F">
      <w:pPr>
        <w:spacing w:after="0" w:line="276" w:lineRule="auto"/>
        <w:rPr>
          <w:rFonts w:ascii="Calibri" w:hAnsi="Calibri" w:cs="Calibri"/>
          <w:sz w:val="24"/>
          <w:szCs w:val="24"/>
        </w:rPr>
      </w:pPr>
      <w:r w:rsidRPr="00FC296F">
        <w:rPr>
          <w:rFonts w:ascii="Calibri" w:hAnsi="Calibri" w:cs="Calibri"/>
          <w:sz w:val="24"/>
          <w:szCs w:val="24"/>
        </w:rPr>
        <w:t>Pažymėtina, kad visais atvejais sprendimą dėl tolimesnio Pirkimų procedūrų vykdymo ar nutraukimo priima pati Perkančioji organizacija, vadovaudamasi Įstatymo 29 straipsnio 3</w:t>
      </w:r>
      <w:r w:rsidRPr="00FC296F">
        <w:rPr>
          <w:rFonts w:ascii="Calibri" w:hAnsi="Calibri" w:cs="Calibri"/>
          <w:sz w:val="24"/>
          <w:szCs w:val="24"/>
          <w:vertAlign w:val="superscript"/>
        </w:rPr>
        <w:footnoteReference w:id="2"/>
      </w:r>
      <w:r w:rsidRPr="00FC296F">
        <w:rPr>
          <w:rFonts w:ascii="Calibri" w:hAnsi="Calibri" w:cs="Calibri"/>
          <w:sz w:val="24"/>
          <w:szCs w:val="24"/>
        </w:rPr>
        <w:t xml:space="preserve"> ir 4</w:t>
      </w:r>
      <w:r w:rsidRPr="00FC296F">
        <w:rPr>
          <w:rFonts w:ascii="Calibri" w:hAnsi="Calibri" w:cs="Calibri"/>
          <w:sz w:val="24"/>
          <w:szCs w:val="24"/>
          <w:vertAlign w:val="superscript"/>
        </w:rPr>
        <w:footnoteReference w:id="3"/>
      </w:r>
      <w:r w:rsidRPr="00FC296F">
        <w:rPr>
          <w:rFonts w:ascii="Calibri" w:hAnsi="Calibri" w:cs="Calibri"/>
          <w:sz w:val="24"/>
          <w:szCs w:val="24"/>
          <w:vertAlign w:val="superscript"/>
        </w:rPr>
        <w:t xml:space="preserve"> </w:t>
      </w:r>
      <w:r w:rsidRPr="00FC296F">
        <w:rPr>
          <w:rFonts w:ascii="Calibri" w:hAnsi="Calibri" w:cs="Calibri"/>
          <w:sz w:val="24"/>
          <w:szCs w:val="24"/>
        </w:rPr>
        <w:t>dalių nuostatomis.</w:t>
      </w:r>
    </w:p>
    <w:sectPr w:rsidR="00781AAB" w:rsidRPr="00FC296F" w:rsidSect="00781A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0BF8C" w14:textId="77777777" w:rsidR="00781AAB" w:rsidRDefault="00781AAB" w:rsidP="00781AAB">
      <w:pPr>
        <w:spacing w:after="0" w:line="240" w:lineRule="auto"/>
      </w:pPr>
      <w:r>
        <w:separator/>
      </w:r>
    </w:p>
  </w:endnote>
  <w:endnote w:type="continuationSeparator" w:id="0">
    <w:p w14:paraId="0DEBC404" w14:textId="77777777" w:rsidR="00781AAB" w:rsidRDefault="00781AAB" w:rsidP="0078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0896F" w14:textId="77777777" w:rsidR="00781AAB" w:rsidRDefault="00781AAB" w:rsidP="00781AAB">
      <w:pPr>
        <w:spacing w:after="0" w:line="240" w:lineRule="auto"/>
      </w:pPr>
      <w:r>
        <w:separator/>
      </w:r>
    </w:p>
  </w:footnote>
  <w:footnote w:type="continuationSeparator" w:id="0">
    <w:p w14:paraId="1A7FB782" w14:textId="77777777" w:rsidR="00781AAB" w:rsidRDefault="00781AAB" w:rsidP="00781AAB">
      <w:pPr>
        <w:spacing w:after="0" w:line="240" w:lineRule="auto"/>
      </w:pPr>
      <w:r>
        <w:continuationSeparator/>
      </w:r>
    </w:p>
  </w:footnote>
  <w:footnote w:id="1">
    <w:p w14:paraId="72597237" w14:textId="77777777" w:rsidR="00781AAB" w:rsidRPr="008762C7" w:rsidRDefault="00781AAB" w:rsidP="00781AAB">
      <w:pPr>
        <w:pStyle w:val="FootnoteText"/>
        <w:rPr>
          <w:rFonts w:ascii="Calibri" w:hAnsi="Calibri" w:cs="Calibri"/>
        </w:rPr>
      </w:pPr>
      <w:r w:rsidRPr="008762C7">
        <w:rPr>
          <w:rStyle w:val="FootnoteReference"/>
          <w:rFonts w:ascii="Calibri" w:hAnsi="Calibri" w:cs="Calibri"/>
        </w:rPr>
        <w:footnoteRef/>
      </w:r>
      <w:r w:rsidRPr="008762C7">
        <w:rPr>
          <w:rFonts w:ascii="Calibri" w:hAnsi="Calibri" w:cs="Calibri"/>
        </w:rPr>
        <w:t xml:space="preserve"> Statybos įstatymo 12 straipsnio 9 dalyje nustatyta, jog vadovauti nesudėtingojo statinio projektavimui, statinio projekto vykdymo priežiūrai, statinio statybos techninei priežiūrai ir statybai turi teisę asmenys, įgiję šio įstatymo 2 straipsnio 1 arba 92 dalyje nurodytą išsilavinimą“, taip pat Statybos techninio reglamento STR 1.06.01:2016 „Statybos darbai. Statinio statybos priežiūra“ 15.4 papunktyje nurodyta, kad vadovauti nesudėtingojo statinio statybai turi teisę neatestuoti asmenys.</w:t>
      </w:r>
    </w:p>
  </w:footnote>
  <w:footnote w:id="2">
    <w:p w14:paraId="6C7F95D3" w14:textId="77777777" w:rsidR="00781AAB" w:rsidRPr="00FC296F" w:rsidRDefault="00781AAB" w:rsidP="00781AAB">
      <w:pPr>
        <w:pStyle w:val="FootnoteText"/>
        <w:rPr>
          <w:rFonts w:ascii="Calibri" w:hAnsi="Calibri" w:cs="Calibri"/>
        </w:rPr>
      </w:pPr>
      <w:r w:rsidRPr="00FC296F">
        <w:rPr>
          <w:rStyle w:val="FootnoteReference"/>
          <w:rFonts w:ascii="Calibri" w:hAnsi="Calibri" w:cs="Calibri"/>
        </w:rPr>
        <w:footnoteRef/>
      </w:r>
      <w:r w:rsidRPr="00FC296F">
        <w:rPr>
          <w:rFonts w:ascii="Calibri" w:hAnsi="Calibri" w:cs="Calibri"/>
        </w:rPr>
        <w:t xml:space="preserve"> </w:t>
      </w:r>
      <w:r w:rsidRPr="00FC296F">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75A3A494" w14:textId="77777777" w:rsidR="00781AAB" w:rsidRPr="00FC296F" w:rsidRDefault="00781AAB" w:rsidP="00781AAB">
      <w:pPr>
        <w:pStyle w:val="FootnoteText"/>
        <w:rPr>
          <w:rFonts w:ascii="Calibri" w:hAnsi="Calibri" w:cs="Calibri"/>
        </w:rPr>
      </w:pPr>
      <w:r w:rsidRPr="00FC296F">
        <w:rPr>
          <w:rStyle w:val="FootnoteReference"/>
          <w:rFonts w:ascii="Calibri" w:hAnsi="Calibri" w:cs="Calibri"/>
        </w:rPr>
        <w:footnoteRef/>
      </w:r>
      <w:r w:rsidRPr="00FC296F">
        <w:rPr>
          <w:rFonts w:ascii="Calibri" w:hAnsi="Calibri" w:cs="Calibri"/>
        </w:rPr>
        <w:t xml:space="preserve"> </w:t>
      </w:r>
      <w:r w:rsidRPr="00FC296F">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C4599"/>
    <w:multiLevelType w:val="multilevel"/>
    <w:tmpl w:val="9A9262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644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AB"/>
    <w:rsid w:val="00641D9E"/>
    <w:rsid w:val="00781AAB"/>
    <w:rsid w:val="00A0134C"/>
    <w:rsid w:val="00FC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64DF"/>
  <w15:chartTrackingRefBased/>
  <w15:docId w15:val="{0E843B4D-4385-4D2D-B4FF-E0644888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AB"/>
    <w:rPr>
      <w:kern w:val="0"/>
      <w:lang w:val="lt-LT"/>
      <w14:ligatures w14:val="none"/>
    </w:rPr>
  </w:style>
  <w:style w:type="paragraph" w:styleId="Heading1">
    <w:name w:val="heading 1"/>
    <w:basedOn w:val="Normal"/>
    <w:next w:val="Normal"/>
    <w:link w:val="Heading1Char"/>
    <w:uiPriority w:val="9"/>
    <w:qFormat/>
    <w:rsid w:val="00781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AAB"/>
    <w:rPr>
      <w:rFonts w:eastAsiaTheme="majorEastAsia" w:cstheme="majorBidi"/>
      <w:color w:val="272727" w:themeColor="text1" w:themeTint="D8"/>
    </w:rPr>
  </w:style>
  <w:style w:type="paragraph" w:styleId="Title">
    <w:name w:val="Title"/>
    <w:basedOn w:val="Normal"/>
    <w:next w:val="Normal"/>
    <w:link w:val="TitleChar"/>
    <w:uiPriority w:val="10"/>
    <w:qFormat/>
    <w:rsid w:val="00781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AAB"/>
    <w:pPr>
      <w:spacing w:before="160"/>
      <w:jc w:val="center"/>
    </w:pPr>
    <w:rPr>
      <w:i/>
      <w:iCs/>
      <w:color w:val="404040" w:themeColor="text1" w:themeTint="BF"/>
    </w:rPr>
  </w:style>
  <w:style w:type="character" w:customStyle="1" w:styleId="QuoteChar">
    <w:name w:val="Quote Char"/>
    <w:basedOn w:val="DefaultParagraphFont"/>
    <w:link w:val="Quote"/>
    <w:uiPriority w:val="29"/>
    <w:rsid w:val="00781AA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781AAB"/>
    <w:pPr>
      <w:ind w:left="720"/>
      <w:contextualSpacing/>
    </w:pPr>
  </w:style>
  <w:style w:type="character" w:styleId="IntenseEmphasis">
    <w:name w:val="Intense Emphasis"/>
    <w:basedOn w:val="DefaultParagraphFont"/>
    <w:uiPriority w:val="21"/>
    <w:qFormat/>
    <w:rsid w:val="00781AAB"/>
    <w:rPr>
      <w:i/>
      <w:iCs/>
      <w:color w:val="0F4761" w:themeColor="accent1" w:themeShade="BF"/>
    </w:rPr>
  </w:style>
  <w:style w:type="paragraph" w:styleId="IntenseQuote">
    <w:name w:val="Intense Quote"/>
    <w:basedOn w:val="Normal"/>
    <w:next w:val="Normal"/>
    <w:link w:val="IntenseQuoteChar"/>
    <w:uiPriority w:val="30"/>
    <w:qFormat/>
    <w:rsid w:val="00781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AAB"/>
    <w:rPr>
      <w:i/>
      <w:iCs/>
      <w:color w:val="0F4761" w:themeColor="accent1" w:themeShade="BF"/>
    </w:rPr>
  </w:style>
  <w:style w:type="character" w:styleId="IntenseReference">
    <w:name w:val="Intense Reference"/>
    <w:basedOn w:val="DefaultParagraphFont"/>
    <w:uiPriority w:val="32"/>
    <w:qFormat/>
    <w:rsid w:val="00781AAB"/>
    <w:rPr>
      <w:b/>
      <w:bCs/>
      <w:smallCaps/>
      <w:color w:val="0F4761" w:themeColor="accent1" w:themeShade="BF"/>
      <w:spacing w:val="5"/>
    </w:rPr>
  </w:style>
  <w:style w:type="paragraph" w:customStyle="1" w:styleId="paragraph">
    <w:name w:val="paragraph"/>
    <w:basedOn w:val="Normal"/>
    <w:rsid w:val="00781AA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781AAB"/>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781AAB"/>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781AAB"/>
    <w:rPr>
      <w:vertAlign w:val="superscript"/>
    </w:rPr>
  </w:style>
  <w:style w:type="character" w:styleId="Hyperlink">
    <w:name w:val="Hyperlink"/>
    <w:basedOn w:val="DefaultParagraphFont"/>
    <w:uiPriority w:val="99"/>
    <w:unhideWhenUsed/>
    <w:rsid w:val="00781AAB"/>
    <w:rPr>
      <w:strike w:val="0"/>
      <w:dstrike w:val="0"/>
      <w:color w:val="auto"/>
      <w:u w:val="none"/>
      <w:effect w:val="none"/>
    </w:rPr>
  </w:style>
  <w:style w:type="paragraph" w:customStyle="1" w:styleId="Bodytext2">
    <w:name w:val="Body text (2)"/>
    <w:basedOn w:val="Normal"/>
    <w:rsid w:val="00781AAB"/>
    <w:pPr>
      <w:widowControl w:val="0"/>
      <w:shd w:val="clear" w:color="auto" w:fill="FFFFFF"/>
      <w:suppressAutoHyphens/>
      <w:autoSpaceDN w:val="0"/>
      <w:spacing w:before="120" w:after="0" w:line="230" w:lineRule="exact"/>
      <w:ind w:hanging="740"/>
      <w:jc w:val="both"/>
      <w:textAlignment w:val="baseline"/>
    </w:pPr>
    <w:rPr>
      <w:rFonts w:ascii="Microsoft Sans Serif" w:eastAsia="Calibri" w:hAnsi="Microsoft Sans Serif" w:cs="Microsoft Sans Serif"/>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781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2024-06-20T14:33:00Z</dcterms:created>
  <dcterms:modified xsi:type="dcterms:W3CDTF">2024-06-20T14:35:00Z</dcterms:modified>
</cp:coreProperties>
</file>