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3B266" w14:textId="77777777" w:rsidR="00B461D8" w:rsidRPr="00B461D8" w:rsidRDefault="00B461D8" w:rsidP="00332B6A">
      <w:pPr>
        <w:spacing w:line="276" w:lineRule="auto"/>
        <w:rPr>
          <w:rFonts w:ascii="Calibri" w:eastAsia="Calibri" w:hAnsi="Calibri" w:cs="Calibri"/>
          <w:sz w:val="24"/>
          <w:szCs w:val="24"/>
          <w:lang w:val="lt-LT"/>
        </w:rPr>
      </w:pPr>
      <w:r w:rsidRPr="00B461D8">
        <w:rPr>
          <w:rFonts w:ascii="Calibri" w:eastAsia="Calibri"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  </w:t>
      </w:r>
    </w:p>
    <w:p w14:paraId="0EFFD8F6" w14:textId="76A5A15A" w:rsidR="00B461D8" w:rsidRPr="00B461D8" w:rsidRDefault="00B461D8" w:rsidP="00332B6A">
      <w:pPr>
        <w:shd w:val="clear" w:color="auto" w:fill="FFFFFF"/>
        <w:spacing w:after="0" w:line="276" w:lineRule="auto"/>
        <w:rPr>
          <w:rFonts w:ascii="Calibri" w:eastAsia="Times New Roman" w:hAnsi="Calibri" w:cs="Calibri"/>
          <w:color w:val="333333"/>
          <w:kern w:val="0"/>
          <w:sz w:val="24"/>
          <w:szCs w:val="24"/>
          <w14:ligatures w14:val="none"/>
        </w:rPr>
      </w:pPr>
      <w:r w:rsidRPr="00B461D8">
        <w:rPr>
          <w:rFonts w:ascii="Calibri" w:eastAsia="Calibri" w:hAnsi="Calibri" w:cs="Calibri"/>
          <w:sz w:val="24"/>
          <w:szCs w:val="24"/>
          <w:lang w:val="lt-LT"/>
        </w:rPr>
        <w:t xml:space="preserve">Vadovaujantis Tarnybai Įstatyme nustatyta pažeidimų prevencijos funkcija, šiuo metu atliekama </w:t>
      </w:r>
      <w:r w:rsidR="00E13BE2" w:rsidRPr="00332B6A">
        <w:rPr>
          <w:rFonts w:ascii="Calibri" w:eastAsia="Calibri" w:hAnsi="Calibri" w:cs="Calibri"/>
          <w:b/>
          <w:bCs/>
          <w:sz w:val="24"/>
          <w:szCs w:val="24"/>
          <w:lang w:val="lt-LT"/>
        </w:rPr>
        <w:t>Kelmės</w:t>
      </w:r>
      <w:r w:rsidRPr="00B461D8">
        <w:rPr>
          <w:rFonts w:ascii="Calibri" w:eastAsia="Calibri" w:hAnsi="Calibri" w:cs="Calibri"/>
          <w:b/>
          <w:bCs/>
          <w:sz w:val="24"/>
          <w:szCs w:val="24"/>
          <w:lang w:val="lt-LT"/>
        </w:rPr>
        <w:t xml:space="preserve"> </w:t>
      </w:r>
      <w:r w:rsidR="00E13BE2" w:rsidRPr="00332B6A">
        <w:rPr>
          <w:rFonts w:ascii="Calibri" w:eastAsia="Calibri" w:hAnsi="Calibri" w:cs="Calibri"/>
          <w:b/>
          <w:bCs/>
          <w:sz w:val="24"/>
          <w:szCs w:val="24"/>
          <w:lang w:val="lt-LT"/>
        </w:rPr>
        <w:t>rajono</w:t>
      </w:r>
      <w:r w:rsidRPr="00B461D8">
        <w:rPr>
          <w:rFonts w:ascii="Calibri" w:eastAsia="Calibri" w:hAnsi="Calibri" w:cs="Calibri"/>
          <w:b/>
          <w:bCs/>
          <w:sz w:val="24"/>
          <w:szCs w:val="24"/>
          <w:lang w:val="lt-LT"/>
        </w:rPr>
        <w:t xml:space="preserve"> savivaldybės administracijos </w:t>
      </w:r>
      <w:r w:rsidRPr="00B461D8">
        <w:rPr>
          <w:rFonts w:ascii="Calibri" w:eastAsia="Calibri" w:hAnsi="Calibri" w:cs="Calibri"/>
          <w:sz w:val="24"/>
          <w:szCs w:val="24"/>
          <w:lang w:val="lt-LT"/>
        </w:rPr>
        <w:t xml:space="preserve">(toliau – Perkančioji organizacija) vykdomo pirkimo </w:t>
      </w:r>
      <w:r w:rsidRPr="00B461D8">
        <w:rPr>
          <w:rFonts w:ascii="Calibri" w:eastAsia="Calibri" w:hAnsi="Calibri" w:cs="Calibri"/>
          <w:b/>
          <w:bCs/>
          <w:sz w:val="24"/>
          <w:szCs w:val="24"/>
          <w:lang w:val="lt-LT"/>
        </w:rPr>
        <w:t>Nr. 7</w:t>
      </w:r>
      <w:r w:rsidR="00E13BE2" w:rsidRPr="00332B6A">
        <w:rPr>
          <w:rFonts w:ascii="Calibri" w:eastAsia="Calibri" w:hAnsi="Calibri" w:cs="Calibri"/>
          <w:b/>
          <w:bCs/>
          <w:sz w:val="24"/>
          <w:szCs w:val="24"/>
          <w:lang w:val="lt-LT"/>
        </w:rPr>
        <w:t>21906</w:t>
      </w:r>
      <w:r w:rsidRPr="00B461D8">
        <w:rPr>
          <w:rFonts w:ascii="Calibri" w:eastAsia="Calibri" w:hAnsi="Calibri" w:cs="Calibri"/>
          <w:b/>
          <w:bCs/>
          <w:sz w:val="24"/>
          <w:szCs w:val="24"/>
          <w:lang w:val="lt-LT"/>
        </w:rPr>
        <w:t xml:space="preserve"> „</w:t>
      </w:r>
      <w:r w:rsidR="007578AE" w:rsidRPr="00332B6A">
        <w:rPr>
          <w:rFonts w:ascii="Calibri" w:eastAsia="Calibri" w:hAnsi="Calibri" w:cs="Calibri"/>
          <w:b/>
          <w:bCs/>
          <w:sz w:val="24"/>
          <w:szCs w:val="24"/>
          <w:lang w:val="lt-LT"/>
        </w:rPr>
        <w:t>KELIO KR-87 „KRAŽIŲ MSTL. PIEVŲ G.“ IR KELIO KR-89 „KRAŽIŲ MSTL. S. STANEVIČIAUS G.“ KAPITALINIS REMONTAS (APŠVIETIMO ĮRENGIMAS)</w:t>
      </w:r>
      <w:r w:rsidRPr="00B461D8">
        <w:rPr>
          <w:rFonts w:ascii="Calibri" w:eastAsia="Calibri" w:hAnsi="Calibri" w:cs="Calibri"/>
          <w:b/>
          <w:bCs/>
          <w:sz w:val="24"/>
          <w:szCs w:val="24"/>
          <w:lang w:val="lt-LT"/>
        </w:rPr>
        <w:t>“</w:t>
      </w:r>
      <w:r w:rsidRPr="00B461D8">
        <w:rPr>
          <w:rFonts w:ascii="Calibri" w:eastAsia="Calibri" w:hAnsi="Calibri" w:cs="Calibri"/>
          <w:sz w:val="24"/>
          <w:szCs w:val="24"/>
          <w:lang w:val="lt-LT"/>
        </w:rPr>
        <w:t xml:space="preserve"> </w:t>
      </w:r>
      <w:r w:rsidRPr="00B461D8">
        <w:rPr>
          <w:rFonts w:ascii="Calibri" w:eastAsia="Calibri" w:hAnsi="Calibri" w:cs="Calibri"/>
          <w:sz w:val="24"/>
          <w:szCs w:val="24"/>
        </w:rPr>
        <w:t>(toliau – Pirkimas) dokumentų atitikties Įstatymui ir jį įgyvendinantiems teisės aktams peržiūra (peržiūra prevenciniais tikslais atliekama tam tikra apimtimi).</w:t>
      </w:r>
    </w:p>
    <w:p w14:paraId="08330A0C" w14:textId="77777777" w:rsidR="00B461D8" w:rsidRPr="00E23CA3" w:rsidRDefault="00B461D8" w:rsidP="00332B6A">
      <w:pPr>
        <w:spacing w:line="276" w:lineRule="auto"/>
        <w:rPr>
          <w:rFonts w:ascii="Calibri" w:eastAsia="Calibri" w:hAnsi="Calibri" w:cs="Calibri"/>
          <w:sz w:val="24"/>
          <w:szCs w:val="24"/>
        </w:rPr>
      </w:pPr>
      <w:r w:rsidRPr="00B461D8">
        <w:rPr>
          <w:rFonts w:ascii="Calibri" w:eastAsia="Calibri" w:hAnsi="Calibri" w:cs="Calibri"/>
          <w:sz w:val="24"/>
          <w:szCs w:val="24"/>
        </w:rPr>
        <w:t>Tarnyba, prevencine tvarka peržiūrėjusi Pirkimo dokumentus ir atsižvelgdama į galiojantį teisinį reglamentavimą, teikia pastabas ir rekomendacijas (toliau – Rekomendacija) dėl Pirkimo dokumentų nuostatų.</w:t>
      </w:r>
    </w:p>
    <w:p w14:paraId="16AFC1C4" w14:textId="7DC8D6CE" w:rsidR="00E23CA3" w:rsidRPr="00E23CA3" w:rsidRDefault="00E23CA3" w:rsidP="00E23CA3">
      <w:pPr>
        <w:pStyle w:val="ListParagraph"/>
        <w:numPr>
          <w:ilvl w:val="0"/>
          <w:numId w:val="5"/>
        </w:numPr>
        <w:tabs>
          <w:tab w:val="left" w:pos="851"/>
        </w:tabs>
        <w:spacing w:after="0" w:line="240" w:lineRule="auto"/>
        <w:rPr>
          <w:rFonts w:ascii="Calibri" w:eastAsia="Calibri" w:hAnsi="Calibri" w:cs="Calibri"/>
          <w:b/>
          <w:bCs/>
          <w:sz w:val="24"/>
          <w:szCs w:val="24"/>
          <w:lang w:eastAsia="lt-LT"/>
        </w:rPr>
      </w:pPr>
      <w:r w:rsidRPr="00E23CA3">
        <w:rPr>
          <w:rFonts w:ascii="Calibri" w:eastAsia="Calibri" w:hAnsi="Calibri" w:cs="Calibri"/>
          <w:b/>
          <w:bCs/>
          <w:sz w:val="24"/>
          <w:szCs w:val="24"/>
          <w:lang w:eastAsia="lt-LT"/>
        </w:rPr>
        <w:t>Dėl ekonomiškai naudingiausio pasiūlymo vertinimo kriterijų</w:t>
      </w:r>
    </w:p>
    <w:p w14:paraId="3741610A" w14:textId="77777777" w:rsidR="00DC5164" w:rsidRPr="00332B6A" w:rsidRDefault="00DC5164" w:rsidP="00332B6A">
      <w:pPr>
        <w:tabs>
          <w:tab w:val="left" w:pos="851"/>
        </w:tabs>
        <w:spacing w:after="0" w:line="276" w:lineRule="auto"/>
        <w:ind w:left="567"/>
        <w:rPr>
          <w:rFonts w:ascii="Calibri" w:eastAsia="Calibri" w:hAnsi="Calibri" w:cs="Calibri"/>
          <w:b/>
          <w:bCs/>
          <w:sz w:val="24"/>
          <w:szCs w:val="24"/>
          <w:lang w:eastAsia="lt-LT"/>
        </w:rPr>
      </w:pPr>
    </w:p>
    <w:p w14:paraId="30DFD995" w14:textId="0DA3F69A" w:rsidR="00B90E1B" w:rsidRPr="00332B6A" w:rsidRDefault="00D81D75" w:rsidP="00332B6A">
      <w:pPr>
        <w:spacing w:after="0" w:line="276" w:lineRule="auto"/>
        <w:rPr>
          <w:rFonts w:ascii="Calibri" w:eastAsia="Times New Roman" w:hAnsi="Calibri" w:cs="Calibri"/>
          <w:sz w:val="24"/>
          <w:szCs w:val="24"/>
        </w:rPr>
      </w:pPr>
      <w:r w:rsidRPr="00332B6A">
        <w:rPr>
          <w:rFonts w:ascii="Calibri" w:eastAsia="Calibri" w:hAnsi="Calibri" w:cs="Calibri"/>
          <w:kern w:val="0"/>
          <w:sz w:val="24"/>
          <w:szCs w:val="24"/>
          <w:lang w:val="lt-LT"/>
          <w14:ligatures w14:val="none"/>
        </w:rPr>
        <w:t xml:space="preserve">         </w:t>
      </w:r>
      <w:r w:rsidRPr="00332B6A">
        <w:rPr>
          <w:rFonts w:ascii="Calibri" w:eastAsia="Calibri" w:hAnsi="Calibri" w:cs="Calibri"/>
          <w:b/>
          <w:bCs/>
          <w:kern w:val="0"/>
          <w:sz w:val="24"/>
          <w:szCs w:val="24"/>
          <w:lang w:val="lt-LT"/>
          <w14:ligatures w14:val="none"/>
        </w:rPr>
        <w:t>1.1.</w:t>
      </w:r>
      <w:r w:rsidRPr="00332B6A">
        <w:rPr>
          <w:rFonts w:ascii="Calibri" w:eastAsia="Calibri" w:hAnsi="Calibri" w:cs="Calibri"/>
          <w:kern w:val="0"/>
          <w:sz w:val="24"/>
          <w:szCs w:val="24"/>
          <w:lang w:val="lt-LT"/>
          <w14:ligatures w14:val="none"/>
        </w:rPr>
        <w:t xml:space="preserve"> </w:t>
      </w:r>
      <w:r w:rsidR="00B90E1B" w:rsidRPr="00332B6A">
        <w:rPr>
          <w:rFonts w:ascii="Calibri" w:eastAsia="Calibri" w:hAnsi="Calibri" w:cs="Calibri"/>
          <w:kern w:val="0"/>
          <w:sz w:val="24"/>
          <w:szCs w:val="24"/>
          <w:lang w:val="lt-LT"/>
          <w14:ligatures w14:val="none"/>
        </w:rPr>
        <w:t xml:space="preserve">Pirkimo sąlygų XI skyriuje „Ekonomiškai naudingiausio pasiūlymo pagal kriterijų kainos ar sąnaudų ir kokybės santykį vertinimas“ nurodyti ekonominio naudingumo vertinimo kriterijai ir jų įvertinimo tvarka, kainos kriterijui (C) suteikiant lyginamąjį svorį 90, </w:t>
      </w:r>
      <w:r w:rsidR="00B90E1B" w:rsidRPr="00332B6A">
        <w:rPr>
          <w:rFonts w:ascii="Calibri" w:eastAsia="Times New Roman" w:hAnsi="Calibri" w:cs="Calibri"/>
          <w:sz w:val="24"/>
          <w:szCs w:val="24"/>
          <w:lang w:val="lt-LT"/>
        </w:rPr>
        <w:t>papildomai statinio, šviestuvų garantinio termino trukmei</w:t>
      </w:r>
      <w:r w:rsidR="00FB59E9" w:rsidRPr="00332B6A">
        <w:rPr>
          <w:rFonts w:ascii="Calibri" w:eastAsia="Times New Roman" w:hAnsi="Calibri" w:cs="Calibri"/>
          <w:sz w:val="24"/>
          <w:szCs w:val="24"/>
          <w:lang w:val="lt-LT"/>
        </w:rPr>
        <w:t xml:space="preserve"> (</w:t>
      </w:r>
      <w:r w:rsidR="00B90E1B" w:rsidRPr="00332B6A">
        <w:rPr>
          <w:rFonts w:ascii="Calibri" w:eastAsia="Times New Roman" w:hAnsi="Calibri" w:cs="Calibri"/>
          <w:sz w:val="24"/>
          <w:szCs w:val="24"/>
          <w:lang w:val="lt-LT"/>
        </w:rPr>
        <w:t>T</w:t>
      </w:r>
      <w:r w:rsidR="00FB59E9" w:rsidRPr="00332B6A">
        <w:rPr>
          <w:rFonts w:ascii="Calibri" w:eastAsia="Times New Roman" w:hAnsi="Calibri" w:cs="Calibri"/>
          <w:sz w:val="24"/>
          <w:szCs w:val="24"/>
          <w:lang w:val="lt-LT"/>
        </w:rPr>
        <w:t>)</w:t>
      </w:r>
      <w:r w:rsidR="00B90E1B" w:rsidRPr="00332B6A">
        <w:rPr>
          <w:rFonts w:ascii="Calibri" w:eastAsia="Calibri" w:hAnsi="Calibri" w:cs="Calibri"/>
          <w:sz w:val="24"/>
          <w:szCs w:val="24"/>
          <w:lang w:val="lt-LT"/>
        </w:rPr>
        <w:t xml:space="preserve"> suteikiant lyginamąjį</w:t>
      </w:r>
      <w:r w:rsidR="00B90E1B" w:rsidRPr="00332B6A">
        <w:rPr>
          <w:rFonts w:ascii="Calibri" w:eastAsia="Calibri" w:hAnsi="Calibri" w:cs="Calibri"/>
          <w:sz w:val="24"/>
          <w:szCs w:val="24"/>
          <w:vertAlign w:val="subscript"/>
          <w:lang w:val="lt-LT"/>
        </w:rPr>
        <w:t xml:space="preserve"> </w:t>
      </w:r>
      <w:r w:rsidR="00B90E1B" w:rsidRPr="00332B6A">
        <w:rPr>
          <w:rFonts w:ascii="Calibri" w:eastAsia="Calibri" w:hAnsi="Calibri" w:cs="Calibri"/>
          <w:kern w:val="0"/>
          <w:sz w:val="24"/>
          <w:szCs w:val="24"/>
          <w:lang w:val="lt-LT"/>
          <w14:ligatures w14:val="none"/>
        </w:rPr>
        <w:t xml:space="preserve">svorį </w:t>
      </w:r>
      <w:r w:rsidR="00DA27F4" w:rsidRPr="00332B6A">
        <w:rPr>
          <w:rFonts w:ascii="Calibri" w:eastAsia="Calibri" w:hAnsi="Calibri" w:cs="Calibri"/>
          <w:kern w:val="0"/>
          <w:sz w:val="24"/>
          <w:szCs w:val="24"/>
          <w:lang w:val="lt-LT"/>
          <w14:ligatures w14:val="none"/>
        </w:rPr>
        <w:t>10.</w:t>
      </w:r>
    </w:p>
    <w:p w14:paraId="69940D88" w14:textId="680FEE32" w:rsidR="003C1746" w:rsidRPr="00332B6A" w:rsidRDefault="00187A2D" w:rsidP="00332B6A">
      <w:pPr>
        <w:spacing w:after="0" w:line="276" w:lineRule="auto"/>
        <w:rPr>
          <w:rFonts w:ascii="Calibri" w:eastAsia="Times New Roman" w:hAnsi="Calibri" w:cs="Calibri"/>
          <w:sz w:val="24"/>
          <w:szCs w:val="24"/>
          <w:lang w:val="lt-LT"/>
        </w:rPr>
      </w:pPr>
      <w:r w:rsidRPr="00332B6A">
        <w:rPr>
          <w:rFonts w:ascii="Calibri" w:eastAsia="Times New Roman" w:hAnsi="Calibri" w:cs="Calibri"/>
          <w:sz w:val="24"/>
          <w:szCs w:val="24"/>
          <w:lang w:val="lt-LT"/>
        </w:rPr>
        <w:t xml:space="preserve">         </w:t>
      </w:r>
      <w:r w:rsidR="00764B60" w:rsidRPr="00332B6A">
        <w:rPr>
          <w:rFonts w:ascii="Calibri" w:eastAsia="Times New Roman" w:hAnsi="Calibri" w:cs="Calibri"/>
          <w:sz w:val="24"/>
          <w:szCs w:val="24"/>
          <w:lang w:val="lt-LT"/>
        </w:rPr>
        <w:t>Pažymėtina</w:t>
      </w:r>
      <w:r w:rsidR="00467D94" w:rsidRPr="00332B6A">
        <w:rPr>
          <w:rFonts w:ascii="Calibri" w:eastAsia="Times New Roman" w:hAnsi="Calibri" w:cs="Calibri"/>
          <w:sz w:val="24"/>
          <w:szCs w:val="24"/>
          <w:lang w:val="lt-LT"/>
        </w:rPr>
        <w:t xml:space="preserve">, </w:t>
      </w:r>
      <w:r w:rsidR="00766633" w:rsidRPr="00332B6A">
        <w:rPr>
          <w:rFonts w:ascii="Calibri" w:eastAsia="Times New Roman" w:hAnsi="Calibri" w:cs="Calibri"/>
          <w:sz w:val="24"/>
          <w:szCs w:val="24"/>
          <w:lang w:val="lt-LT"/>
        </w:rPr>
        <w:t xml:space="preserve">jog </w:t>
      </w:r>
      <w:r w:rsidR="0022717B" w:rsidRPr="00332B6A">
        <w:rPr>
          <w:rFonts w:ascii="Calibri" w:eastAsia="Times New Roman" w:hAnsi="Calibri" w:cs="Calibri"/>
          <w:sz w:val="24"/>
          <w:szCs w:val="24"/>
          <w:lang w:val="lt-LT"/>
        </w:rPr>
        <w:t xml:space="preserve">Pirkimo sąlygų 86.5 papunktyje nustatyta, </w:t>
      </w:r>
      <w:r w:rsidR="00766633" w:rsidRPr="00332B6A">
        <w:rPr>
          <w:rFonts w:ascii="Calibri" w:eastAsia="Times New Roman" w:hAnsi="Calibri" w:cs="Calibri"/>
          <w:sz w:val="24"/>
          <w:szCs w:val="24"/>
          <w:lang w:val="lt-LT"/>
        </w:rPr>
        <w:t>jog</w:t>
      </w:r>
      <w:r w:rsidR="0022717B" w:rsidRPr="00332B6A">
        <w:rPr>
          <w:rFonts w:ascii="Calibri" w:eastAsia="Times New Roman" w:hAnsi="Calibri" w:cs="Calibri"/>
          <w:sz w:val="24"/>
          <w:szCs w:val="24"/>
          <w:lang w:val="lt-LT"/>
        </w:rPr>
        <w:t xml:space="preserve"> „</w:t>
      </w:r>
      <w:r w:rsidR="006B7EC0" w:rsidRPr="00332B6A">
        <w:rPr>
          <w:rFonts w:ascii="Calibri" w:eastAsia="Times New Roman" w:hAnsi="Calibri" w:cs="Calibri"/>
          <w:sz w:val="24"/>
          <w:szCs w:val="24"/>
          <w:lang w:val="lt-LT"/>
        </w:rPr>
        <w:t xml:space="preserve">Tiekėjas siūlo suteikti </w:t>
      </w:r>
      <w:r w:rsidR="006B7EC0" w:rsidRPr="00332B6A">
        <w:rPr>
          <w:rFonts w:ascii="Calibri" w:eastAsia="Times New Roman" w:hAnsi="Calibri" w:cs="Calibri"/>
          <w:b/>
          <w:bCs/>
          <w:sz w:val="24"/>
          <w:szCs w:val="24"/>
          <w:lang w:val="lt-LT"/>
        </w:rPr>
        <w:t>papildomą terminą</w:t>
      </w:r>
      <w:r w:rsidR="006B7EC0" w:rsidRPr="00332B6A">
        <w:rPr>
          <w:rFonts w:ascii="Calibri" w:eastAsia="Times New Roman" w:hAnsi="Calibri" w:cs="Calibri"/>
          <w:sz w:val="24"/>
          <w:szCs w:val="24"/>
          <w:lang w:val="lt-LT"/>
        </w:rPr>
        <w:t xml:space="preserve">, viršijantį minimalų nustatytą </w:t>
      </w:r>
      <w:r w:rsidR="006B7EC0" w:rsidRPr="00332B6A">
        <w:rPr>
          <w:rFonts w:ascii="Calibri" w:eastAsia="Times New Roman" w:hAnsi="Calibri" w:cs="Calibri"/>
          <w:b/>
          <w:bCs/>
          <w:sz w:val="24"/>
          <w:szCs w:val="24"/>
          <w:lang w:val="lt-LT"/>
        </w:rPr>
        <w:t xml:space="preserve">visiems atliktiems statybos darbams, įskaitant jiems panaudotas medžiagas, priemones ir visas jų sudedamąsias dalis (išskyrus gatvių šviestuvus) </w:t>
      </w:r>
      <w:r w:rsidR="006B7EC0" w:rsidRPr="00332B6A">
        <w:rPr>
          <w:rFonts w:ascii="Calibri" w:eastAsia="Times New Roman" w:hAnsi="Calibri" w:cs="Calibri"/>
          <w:sz w:val="24"/>
          <w:szCs w:val="24"/>
          <w:lang w:val="lt-LT"/>
        </w:rPr>
        <w:t>5 metų garantinį terminą ir esant paslėptų statinio elementų 10 metų garantinį terminą“</w:t>
      </w:r>
      <w:r w:rsidR="00F0091D" w:rsidRPr="00332B6A">
        <w:rPr>
          <w:rFonts w:ascii="Calibri" w:eastAsia="Times New Roman" w:hAnsi="Calibri" w:cs="Calibri"/>
          <w:sz w:val="24"/>
          <w:szCs w:val="24"/>
          <w:lang w:val="lt-LT"/>
        </w:rPr>
        <w:t>, o</w:t>
      </w:r>
      <w:r w:rsidR="00C25294" w:rsidRPr="00332B6A">
        <w:rPr>
          <w:rFonts w:ascii="Calibri" w:eastAsia="Times New Roman" w:hAnsi="Calibri" w:cs="Calibri"/>
          <w:sz w:val="24"/>
          <w:szCs w:val="24"/>
          <w:lang w:val="lt-LT"/>
        </w:rPr>
        <w:t xml:space="preserve"> 86.6 papunktyje nustatyta, </w:t>
      </w:r>
      <w:r w:rsidR="00766633" w:rsidRPr="00332B6A">
        <w:rPr>
          <w:rFonts w:ascii="Calibri" w:eastAsia="Times New Roman" w:hAnsi="Calibri" w:cs="Calibri"/>
          <w:sz w:val="24"/>
          <w:szCs w:val="24"/>
          <w:lang w:val="lt-LT"/>
        </w:rPr>
        <w:t>jog</w:t>
      </w:r>
      <w:r w:rsidR="00C25294" w:rsidRPr="00332B6A">
        <w:rPr>
          <w:rFonts w:ascii="Calibri" w:eastAsia="Times New Roman" w:hAnsi="Calibri" w:cs="Calibri"/>
          <w:sz w:val="24"/>
          <w:szCs w:val="24"/>
          <w:lang w:val="lt-LT"/>
        </w:rPr>
        <w:t xml:space="preserve"> „</w:t>
      </w:r>
      <w:r w:rsidR="00467D94" w:rsidRPr="00332B6A">
        <w:rPr>
          <w:rFonts w:ascii="Calibri" w:eastAsia="Times New Roman" w:hAnsi="Calibri" w:cs="Calibri"/>
          <w:sz w:val="24"/>
          <w:szCs w:val="24"/>
          <w:lang w:val="lt-LT"/>
        </w:rPr>
        <w:t xml:space="preserve">Tiekėjas siūlo suteikti </w:t>
      </w:r>
      <w:r w:rsidR="00467D94" w:rsidRPr="00332B6A">
        <w:rPr>
          <w:rFonts w:ascii="Calibri" w:eastAsia="Times New Roman" w:hAnsi="Calibri" w:cs="Calibri"/>
          <w:b/>
          <w:bCs/>
          <w:sz w:val="24"/>
          <w:szCs w:val="24"/>
          <w:lang w:val="lt-LT"/>
        </w:rPr>
        <w:t>papildomą terminą</w:t>
      </w:r>
      <w:r w:rsidR="00467D94" w:rsidRPr="00332B6A">
        <w:rPr>
          <w:rFonts w:ascii="Calibri" w:eastAsia="Times New Roman" w:hAnsi="Calibri" w:cs="Calibri"/>
          <w:sz w:val="24"/>
          <w:szCs w:val="24"/>
          <w:lang w:val="lt-LT"/>
        </w:rPr>
        <w:t xml:space="preserve">, viršijantį minimalų nustatytą </w:t>
      </w:r>
      <w:r w:rsidR="00467D94" w:rsidRPr="00332B6A">
        <w:rPr>
          <w:rFonts w:ascii="Calibri" w:eastAsia="Times New Roman" w:hAnsi="Calibri" w:cs="Calibri"/>
          <w:b/>
          <w:bCs/>
          <w:sz w:val="24"/>
          <w:szCs w:val="24"/>
          <w:lang w:val="lt-LT"/>
        </w:rPr>
        <w:t xml:space="preserve">šviestuvams </w:t>
      </w:r>
      <w:r w:rsidR="00467D94" w:rsidRPr="00332B6A">
        <w:rPr>
          <w:rFonts w:ascii="Calibri" w:eastAsia="Times New Roman" w:hAnsi="Calibri" w:cs="Calibri"/>
          <w:sz w:val="24"/>
          <w:szCs w:val="24"/>
          <w:lang w:val="lt-LT"/>
        </w:rPr>
        <w:t>10 metų garantinį terminą“</w:t>
      </w:r>
      <w:r w:rsidR="00B479D4" w:rsidRPr="00332B6A">
        <w:rPr>
          <w:rFonts w:ascii="Calibri" w:eastAsia="Times New Roman" w:hAnsi="Calibri" w:cs="Calibri"/>
          <w:sz w:val="24"/>
          <w:szCs w:val="24"/>
          <w:lang w:val="lt-LT"/>
        </w:rPr>
        <w:t>, t.</w:t>
      </w:r>
      <w:r w:rsidR="007A371C" w:rsidRPr="00332B6A">
        <w:rPr>
          <w:rFonts w:ascii="Calibri" w:eastAsia="Times New Roman" w:hAnsi="Calibri" w:cs="Calibri"/>
          <w:sz w:val="24"/>
          <w:szCs w:val="24"/>
          <w:lang w:val="lt-LT"/>
        </w:rPr>
        <w:t xml:space="preserve"> </w:t>
      </w:r>
      <w:r w:rsidR="00B479D4" w:rsidRPr="00332B6A">
        <w:rPr>
          <w:rFonts w:ascii="Calibri" w:eastAsia="Times New Roman" w:hAnsi="Calibri" w:cs="Calibri"/>
          <w:sz w:val="24"/>
          <w:szCs w:val="24"/>
          <w:lang w:val="lt-LT"/>
        </w:rPr>
        <w:t xml:space="preserve">y. </w:t>
      </w:r>
      <w:r w:rsidR="003C1746" w:rsidRPr="00332B6A">
        <w:rPr>
          <w:rFonts w:ascii="Calibri" w:eastAsia="Times New Roman" w:hAnsi="Calibri" w:cs="Calibri"/>
          <w:sz w:val="24"/>
          <w:szCs w:val="24"/>
          <w:lang w:val="lt-LT"/>
        </w:rPr>
        <w:t xml:space="preserve"> </w:t>
      </w:r>
      <w:r w:rsidR="007A371C" w:rsidRPr="00332B6A">
        <w:rPr>
          <w:rFonts w:ascii="Calibri" w:eastAsia="Times New Roman" w:hAnsi="Calibri" w:cs="Calibri"/>
          <w:sz w:val="24"/>
          <w:szCs w:val="24"/>
          <w:lang w:val="lt-LT"/>
        </w:rPr>
        <w:t xml:space="preserve">atskirai </w:t>
      </w:r>
      <w:r w:rsidR="00B26B46">
        <w:rPr>
          <w:rFonts w:ascii="Calibri" w:eastAsia="Times New Roman" w:hAnsi="Calibri" w:cs="Calibri"/>
          <w:sz w:val="24"/>
          <w:szCs w:val="24"/>
          <w:lang w:val="lt-LT"/>
        </w:rPr>
        <w:t xml:space="preserve">tiekėjas gali </w:t>
      </w:r>
      <w:r w:rsidR="007A371C" w:rsidRPr="00332B6A">
        <w:rPr>
          <w:rFonts w:ascii="Calibri" w:eastAsia="Times New Roman" w:hAnsi="Calibri" w:cs="Calibri"/>
          <w:sz w:val="24"/>
          <w:szCs w:val="24"/>
          <w:lang w:val="lt-LT"/>
        </w:rPr>
        <w:t>suteik</w:t>
      </w:r>
      <w:r w:rsidR="00B26B46">
        <w:rPr>
          <w:rFonts w:ascii="Calibri" w:eastAsia="Times New Roman" w:hAnsi="Calibri" w:cs="Calibri"/>
          <w:sz w:val="24"/>
          <w:szCs w:val="24"/>
          <w:lang w:val="lt-LT"/>
        </w:rPr>
        <w:t xml:space="preserve">ti </w:t>
      </w:r>
      <w:r w:rsidR="007A371C" w:rsidRPr="00332B6A">
        <w:rPr>
          <w:rFonts w:ascii="Calibri" w:eastAsia="Times New Roman" w:hAnsi="Calibri" w:cs="Calibri"/>
          <w:sz w:val="24"/>
          <w:szCs w:val="24"/>
          <w:lang w:val="lt-LT"/>
        </w:rPr>
        <w:t>papildom</w:t>
      </w:r>
      <w:r w:rsidR="00B26B46">
        <w:rPr>
          <w:rFonts w:ascii="Calibri" w:eastAsia="Times New Roman" w:hAnsi="Calibri" w:cs="Calibri"/>
          <w:sz w:val="24"/>
          <w:szCs w:val="24"/>
          <w:lang w:val="lt-LT"/>
        </w:rPr>
        <w:t>ą</w:t>
      </w:r>
      <w:r w:rsidR="007A371C" w:rsidRPr="00332B6A">
        <w:rPr>
          <w:rFonts w:ascii="Calibri" w:eastAsia="Times New Roman" w:hAnsi="Calibri" w:cs="Calibri"/>
          <w:sz w:val="24"/>
          <w:szCs w:val="24"/>
          <w:lang w:val="lt-LT"/>
        </w:rPr>
        <w:t xml:space="preserve"> garantij</w:t>
      </w:r>
      <w:r w:rsidR="00B26B46">
        <w:rPr>
          <w:rFonts w:ascii="Calibri" w:eastAsia="Times New Roman" w:hAnsi="Calibri" w:cs="Calibri"/>
          <w:sz w:val="24"/>
          <w:szCs w:val="24"/>
          <w:lang w:val="lt-LT"/>
        </w:rPr>
        <w:t>ą</w:t>
      </w:r>
      <w:r w:rsidR="007A371C" w:rsidRPr="00332B6A">
        <w:rPr>
          <w:rFonts w:ascii="Calibri" w:eastAsia="Times New Roman" w:hAnsi="Calibri" w:cs="Calibri"/>
          <w:sz w:val="24"/>
          <w:szCs w:val="24"/>
          <w:lang w:val="lt-LT"/>
        </w:rPr>
        <w:t xml:space="preserve"> </w:t>
      </w:r>
      <w:r w:rsidR="003C1746" w:rsidRPr="00332B6A">
        <w:rPr>
          <w:rFonts w:ascii="Calibri" w:eastAsia="Times New Roman" w:hAnsi="Calibri" w:cs="Calibri"/>
          <w:sz w:val="24"/>
          <w:szCs w:val="24"/>
          <w:lang w:val="lt-LT"/>
        </w:rPr>
        <w:t xml:space="preserve">statybos darbams </w:t>
      </w:r>
      <w:r w:rsidR="00B26B46">
        <w:rPr>
          <w:rFonts w:ascii="Calibri" w:eastAsia="Times New Roman" w:hAnsi="Calibri" w:cs="Calibri"/>
          <w:sz w:val="24"/>
          <w:szCs w:val="24"/>
          <w:lang w:val="lt-LT"/>
        </w:rPr>
        <w:t xml:space="preserve">(tame tarpe viršijantį minimalų 5 metų ir 10 metų (paslėptiems darbams) garantinį terminą) </w:t>
      </w:r>
      <w:r w:rsidR="003C1746" w:rsidRPr="00332B6A">
        <w:rPr>
          <w:rFonts w:ascii="Calibri" w:eastAsia="Times New Roman" w:hAnsi="Calibri" w:cs="Calibri"/>
          <w:sz w:val="24"/>
          <w:szCs w:val="24"/>
          <w:lang w:val="lt-LT"/>
        </w:rPr>
        <w:t xml:space="preserve">ir atskirai papildoma garantija </w:t>
      </w:r>
      <w:r w:rsidR="00B26B46">
        <w:rPr>
          <w:rFonts w:ascii="Calibri" w:eastAsia="Times New Roman" w:hAnsi="Calibri" w:cs="Calibri"/>
          <w:sz w:val="24"/>
          <w:szCs w:val="24"/>
          <w:lang w:val="lt-LT"/>
        </w:rPr>
        <w:t xml:space="preserve">gali būti </w:t>
      </w:r>
      <w:r w:rsidR="003C1746" w:rsidRPr="00332B6A">
        <w:rPr>
          <w:rFonts w:ascii="Calibri" w:eastAsia="Times New Roman" w:hAnsi="Calibri" w:cs="Calibri"/>
          <w:sz w:val="24"/>
          <w:szCs w:val="24"/>
          <w:lang w:val="lt-LT"/>
        </w:rPr>
        <w:t>suteikiama šviestuvams.</w:t>
      </w:r>
    </w:p>
    <w:p w14:paraId="7A03017F" w14:textId="5069EAFD" w:rsidR="00AB29EE" w:rsidRDefault="00B26B46" w:rsidP="00286B37">
      <w:pPr>
        <w:spacing w:after="0" w:line="276" w:lineRule="auto"/>
        <w:ind w:firstLine="720"/>
        <w:rPr>
          <w:rFonts w:ascii="Calibri" w:eastAsia="Times New Roman" w:hAnsi="Calibri" w:cs="Calibri"/>
          <w:sz w:val="24"/>
          <w:szCs w:val="24"/>
          <w:lang w:val="lt-LT"/>
        </w:rPr>
      </w:pPr>
      <w:r>
        <w:rPr>
          <w:rFonts w:ascii="Calibri" w:eastAsia="Times New Roman" w:hAnsi="Calibri" w:cs="Calibri"/>
          <w:sz w:val="24"/>
          <w:szCs w:val="24"/>
          <w:lang w:val="lt-LT"/>
        </w:rPr>
        <w:t>Pirkimo dokumentų</w:t>
      </w:r>
      <w:r w:rsidR="00166713" w:rsidRPr="00332B6A">
        <w:rPr>
          <w:rFonts w:ascii="Calibri" w:eastAsia="Times New Roman" w:hAnsi="Calibri" w:cs="Calibri"/>
          <w:sz w:val="24"/>
          <w:szCs w:val="24"/>
          <w:lang w:val="lt-LT"/>
        </w:rPr>
        <w:t xml:space="preserve"> 86.6 papunkčio lentelėje nustatytas</w:t>
      </w:r>
      <w:r w:rsidR="00781409" w:rsidRPr="00332B6A">
        <w:rPr>
          <w:rFonts w:ascii="Calibri" w:eastAsia="Times New Roman" w:hAnsi="Calibri" w:cs="Calibri"/>
          <w:sz w:val="24"/>
          <w:szCs w:val="24"/>
          <w:lang w:val="lt-LT"/>
        </w:rPr>
        <w:t xml:space="preserve"> </w:t>
      </w:r>
      <w:r w:rsidR="00F0091D" w:rsidRPr="00332B6A">
        <w:rPr>
          <w:rFonts w:ascii="Calibri" w:eastAsia="Times New Roman" w:hAnsi="Calibri" w:cs="Calibri"/>
          <w:sz w:val="24"/>
          <w:szCs w:val="24"/>
          <w:lang w:val="lt-LT"/>
        </w:rPr>
        <w:t xml:space="preserve">bendras </w:t>
      </w:r>
      <w:r w:rsidR="00781409" w:rsidRPr="00332B6A">
        <w:rPr>
          <w:rFonts w:ascii="Calibri" w:eastAsia="Times New Roman" w:hAnsi="Calibri" w:cs="Calibri"/>
          <w:sz w:val="24"/>
          <w:szCs w:val="24"/>
          <w:lang w:val="lt-LT"/>
        </w:rPr>
        <w:t xml:space="preserve">tiesioginis balų suteikimas už </w:t>
      </w:r>
      <w:r w:rsidR="005C1F0D" w:rsidRPr="00332B6A">
        <w:rPr>
          <w:rFonts w:ascii="Calibri" w:eastAsia="Times New Roman" w:hAnsi="Calibri" w:cs="Calibri"/>
          <w:sz w:val="24"/>
          <w:szCs w:val="24"/>
          <w:lang w:val="lt-LT"/>
        </w:rPr>
        <w:t>tiekėjo siūlomą papildomą</w:t>
      </w:r>
      <w:r w:rsidR="005C1F0D" w:rsidRPr="00332B6A">
        <w:rPr>
          <w:rFonts w:ascii="Calibri" w:eastAsia="Times New Roman" w:hAnsi="Calibri" w:cs="Calibri"/>
          <w:b/>
          <w:bCs/>
          <w:sz w:val="24"/>
          <w:szCs w:val="24"/>
          <w:lang w:val="lt-LT"/>
        </w:rPr>
        <w:t xml:space="preserve"> statinio, šviestuvų garantinio termino tru</w:t>
      </w:r>
      <w:r w:rsidR="00B852F8" w:rsidRPr="00332B6A">
        <w:rPr>
          <w:rFonts w:ascii="Calibri" w:eastAsia="Times New Roman" w:hAnsi="Calibri" w:cs="Calibri"/>
          <w:b/>
          <w:bCs/>
          <w:sz w:val="24"/>
          <w:szCs w:val="24"/>
          <w:lang w:val="lt-LT"/>
        </w:rPr>
        <w:t>kmę metais</w:t>
      </w:r>
      <w:r w:rsidR="00865776" w:rsidRPr="00332B6A">
        <w:rPr>
          <w:rFonts w:ascii="Calibri" w:eastAsia="Times New Roman" w:hAnsi="Calibri" w:cs="Calibri"/>
          <w:sz w:val="24"/>
          <w:szCs w:val="24"/>
          <w:lang w:val="lt-LT"/>
        </w:rPr>
        <w:t>, šiuo atveju</w:t>
      </w:r>
      <w:r w:rsidR="006E0BE5" w:rsidRPr="00332B6A">
        <w:rPr>
          <w:rFonts w:ascii="Calibri" w:eastAsia="Times New Roman" w:hAnsi="Calibri" w:cs="Calibri"/>
          <w:sz w:val="24"/>
          <w:szCs w:val="24"/>
          <w:lang w:val="lt-LT"/>
        </w:rPr>
        <w:t xml:space="preserve"> </w:t>
      </w:r>
      <w:r w:rsidR="002B5C99" w:rsidRPr="00332B6A">
        <w:rPr>
          <w:rFonts w:ascii="Calibri" w:eastAsia="Times New Roman" w:hAnsi="Calibri" w:cs="Calibri"/>
          <w:sz w:val="24"/>
          <w:szCs w:val="24"/>
          <w:lang w:val="lt-LT"/>
        </w:rPr>
        <w:t>jei tiekėjas nesiūlys papildomos garantijos</w:t>
      </w:r>
      <w:r w:rsidR="006B6596" w:rsidRPr="00332B6A">
        <w:rPr>
          <w:rFonts w:ascii="Calibri" w:eastAsia="Times New Roman" w:hAnsi="Calibri" w:cs="Calibri"/>
          <w:sz w:val="24"/>
          <w:szCs w:val="24"/>
          <w:lang w:val="lt-LT"/>
        </w:rPr>
        <w:t xml:space="preserve">, jam bus suteikta 0 balų, jei siūlys 1 metus, bus teiktas 1 </w:t>
      </w:r>
      <w:r w:rsidR="006E0BE5" w:rsidRPr="00332B6A">
        <w:rPr>
          <w:rFonts w:ascii="Calibri" w:eastAsia="Times New Roman" w:hAnsi="Calibri" w:cs="Calibri"/>
          <w:sz w:val="24"/>
          <w:szCs w:val="24"/>
          <w:lang w:val="lt-LT"/>
        </w:rPr>
        <w:t>balas</w:t>
      </w:r>
      <w:r w:rsidR="00EE65B5" w:rsidRPr="00332B6A">
        <w:rPr>
          <w:rFonts w:ascii="Calibri" w:eastAsia="Times New Roman" w:hAnsi="Calibri" w:cs="Calibri"/>
          <w:sz w:val="24"/>
          <w:szCs w:val="24"/>
          <w:lang w:val="lt-LT"/>
        </w:rPr>
        <w:t xml:space="preserve">, jei siūlys 2 metus, bus suteikti 2 balai ir </w:t>
      </w:r>
      <w:r w:rsidR="000A706A" w:rsidRPr="00332B6A">
        <w:rPr>
          <w:rFonts w:ascii="Calibri" w:eastAsia="Times New Roman" w:hAnsi="Calibri" w:cs="Calibri"/>
          <w:sz w:val="24"/>
          <w:szCs w:val="24"/>
          <w:lang w:val="lt-LT"/>
        </w:rPr>
        <w:t xml:space="preserve">atitinkamai </w:t>
      </w:r>
      <w:r w:rsidR="00EE65B5" w:rsidRPr="00332B6A">
        <w:rPr>
          <w:rFonts w:ascii="Calibri" w:eastAsia="Times New Roman" w:hAnsi="Calibri" w:cs="Calibri"/>
          <w:sz w:val="24"/>
          <w:szCs w:val="24"/>
          <w:lang w:val="lt-LT"/>
        </w:rPr>
        <w:t>t.t.</w:t>
      </w:r>
      <w:r w:rsidR="0087359B" w:rsidRPr="00332B6A">
        <w:rPr>
          <w:rFonts w:ascii="Calibri" w:eastAsia="Times New Roman" w:hAnsi="Calibri" w:cs="Calibri"/>
          <w:sz w:val="24"/>
          <w:szCs w:val="24"/>
          <w:lang w:val="lt-LT"/>
        </w:rPr>
        <w:t>, m</w:t>
      </w:r>
      <w:r w:rsidR="00762C57" w:rsidRPr="00332B6A">
        <w:rPr>
          <w:rFonts w:ascii="Calibri" w:eastAsia="Times New Roman" w:hAnsi="Calibri" w:cs="Calibri"/>
          <w:sz w:val="24"/>
          <w:szCs w:val="24"/>
          <w:lang w:val="lt-LT"/>
        </w:rPr>
        <w:t xml:space="preserve">aksimalūs 10 balų bus skiriama už 10 ir daugiau </w:t>
      </w:r>
      <w:r w:rsidR="00166713" w:rsidRPr="00332B6A">
        <w:rPr>
          <w:rFonts w:ascii="Calibri" w:eastAsia="Times New Roman" w:hAnsi="Calibri" w:cs="Calibri"/>
          <w:sz w:val="24"/>
          <w:szCs w:val="24"/>
          <w:lang w:val="lt-LT"/>
        </w:rPr>
        <w:t xml:space="preserve">metų </w:t>
      </w:r>
      <w:r w:rsidR="00762C57" w:rsidRPr="00332B6A">
        <w:rPr>
          <w:rFonts w:ascii="Calibri" w:eastAsia="Times New Roman" w:hAnsi="Calibri" w:cs="Calibri"/>
          <w:sz w:val="24"/>
          <w:szCs w:val="24"/>
          <w:lang w:val="lt-LT"/>
        </w:rPr>
        <w:t>suteikiamos papildomos garantijos.</w:t>
      </w:r>
      <w:r w:rsidR="002F6194" w:rsidRPr="00332B6A">
        <w:rPr>
          <w:rFonts w:ascii="Calibri" w:eastAsia="Times New Roman" w:hAnsi="Calibri" w:cs="Calibri"/>
          <w:sz w:val="24"/>
          <w:szCs w:val="24"/>
          <w:lang w:val="lt-LT"/>
        </w:rPr>
        <w:t xml:space="preserve"> </w:t>
      </w:r>
      <w:r>
        <w:rPr>
          <w:rFonts w:ascii="Calibri" w:eastAsia="Times New Roman" w:hAnsi="Calibri" w:cs="Calibri"/>
          <w:sz w:val="24"/>
          <w:szCs w:val="24"/>
          <w:lang w:val="lt-LT"/>
        </w:rPr>
        <w:t xml:space="preserve">Įvertinus nurodytą, </w:t>
      </w:r>
      <w:r w:rsidR="00557ED1" w:rsidRPr="00332B6A">
        <w:rPr>
          <w:rFonts w:ascii="Calibri" w:eastAsia="Times New Roman" w:hAnsi="Calibri" w:cs="Calibri"/>
          <w:sz w:val="24"/>
          <w:szCs w:val="24"/>
          <w:lang w:val="lt-LT"/>
        </w:rPr>
        <w:t xml:space="preserve"> nėra aišku, kaip bus </w:t>
      </w:r>
      <w:r>
        <w:rPr>
          <w:rFonts w:ascii="Calibri" w:eastAsia="Times New Roman" w:hAnsi="Calibri" w:cs="Calibri"/>
          <w:sz w:val="24"/>
          <w:szCs w:val="24"/>
          <w:lang w:val="lt-LT"/>
        </w:rPr>
        <w:t xml:space="preserve">vertinami pasiūlymai ir kaip bus </w:t>
      </w:r>
      <w:r w:rsidR="0019693D" w:rsidRPr="00332B6A">
        <w:rPr>
          <w:rFonts w:ascii="Calibri" w:eastAsia="Times New Roman" w:hAnsi="Calibri" w:cs="Calibri"/>
          <w:sz w:val="24"/>
          <w:szCs w:val="24"/>
          <w:lang w:val="lt-LT"/>
        </w:rPr>
        <w:t>apskaičiuo</w:t>
      </w:r>
      <w:r>
        <w:rPr>
          <w:rFonts w:ascii="Calibri" w:eastAsia="Times New Roman" w:hAnsi="Calibri" w:cs="Calibri"/>
          <w:sz w:val="24"/>
          <w:szCs w:val="24"/>
          <w:lang w:val="lt-LT"/>
        </w:rPr>
        <w:t xml:space="preserve">jamas </w:t>
      </w:r>
      <w:r w:rsidR="0019693D" w:rsidRPr="00332B6A">
        <w:rPr>
          <w:rFonts w:ascii="Calibri" w:eastAsia="Times New Roman" w:hAnsi="Calibri" w:cs="Calibri"/>
          <w:sz w:val="24"/>
          <w:szCs w:val="24"/>
          <w:lang w:val="lt-LT"/>
        </w:rPr>
        <w:t xml:space="preserve"> bendras </w:t>
      </w:r>
      <w:r w:rsidR="00013D49" w:rsidRPr="00332B6A">
        <w:rPr>
          <w:rFonts w:ascii="Calibri" w:eastAsia="Times New Roman" w:hAnsi="Calibri" w:cs="Calibri"/>
          <w:sz w:val="24"/>
          <w:szCs w:val="24"/>
          <w:lang w:val="lt-LT"/>
        </w:rPr>
        <w:t>kriterijaus „</w:t>
      </w:r>
      <w:r w:rsidR="00DA406F" w:rsidRPr="00332B6A">
        <w:rPr>
          <w:rFonts w:ascii="Calibri" w:eastAsia="Times New Roman" w:hAnsi="Calibri" w:cs="Calibri"/>
          <w:sz w:val="24"/>
          <w:szCs w:val="24"/>
          <w:lang w:val="lt-LT"/>
        </w:rPr>
        <w:t>Papildoma statinio, šviestuvų garantinio termino trukmė“ balas</w:t>
      </w:r>
      <w:r w:rsidR="00AB29EE" w:rsidRPr="00332B6A">
        <w:rPr>
          <w:rFonts w:ascii="Calibri" w:eastAsia="Times New Roman" w:hAnsi="Calibri" w:cs="Calibri"/>
          <w:sz w:val="24"/>
          <w:szCs w:val="24"/>
          <w:lang w:val="lt-LT"/>
        </w:rPr>
        <w:t xml:space="preserve">, nes </w:t>
      </w:r>
      <w:r>
        <w:rPr>
          <w:rFonts w:ascii="Calibri" w:eastAsia="Times New Roman" w:hAnsi="Calibri" w:cs="Calibri"/>
          <w:sz w:val="24"/>
          <w:szCs w:val="24"/>
          <w:lang w:val="lt-LT"/>
        </w:rPr>
        <w:t>P</w:t>
      </w:r>
      <w:r w:rsidR="00AB29EE" w:rsidRPr="00332B6A">
        <w:rPr>
          <w:rFonts w:ascii="Calibri" w:eastAsia="Times New Roman" w:hAnsi="Calibri" w:cs="Calibri"/>
          <w:sz w:val="24"/>
          <w:szCs w:val="24"/>
          <w:lang w:val="lt-LT"/>
        </w:rPr>
        <w:t>irkimo sąlygose nėra  formulės</w:t>
      </w:r>
      <w:r w:rsidR="00E2349F" w:rsidRPr="00332B6A">
        <w:rPr>
          <w:rFonts w:ascii="Calibri" w:eastAsia="Times New Roman" w:hAnsi="Calibri" w:cs="Calibri"/>
          <w:sz w:val="24"/>
          <w:szCs w:val="24"/>
          <w:lang w:val="lt-LT"/>
        </w:rPr>
        <w:t xml:space="preserve">, </w:t>
      </w:r>
      <w:r w:rsidR="00CE3ED3" w:rsidRPr="00332B6A">
        <w:rPr>
          <w:rFonts w:ascii="Calibri" w:eastAsia="Times New Roman" w:hAnsi="Calibri" w:cs="Calibri"/>
          <w:sz w:val="24"/>
          <w:szCs w:val="24"/>
          <w:lang w:val="lt-LT"/>
        </w:rPr>
        <w:t>šiam kriterijui apskaičiuoti</w:t>
      </w:r>
      <w:r w:rsidR="00142159" w:rsidRPr="00332B6A">
        <w:rPr>
          <w:rFonts w:ascii="Calibri" w:eastAsia="Times New Roman" w:hAnsi="Calibri" w:cs="Calibri"/>
          <w:sz w:val="24"/>
          <w:szCs w:val="24"/>
          <w:lang w:val="lt-LT"/>
        </w:rPr>
        <w:t xml:space="preserve"> (</w:t>
      </w:r>
      <w:r w:rsidR="0008343A" w:rsidRPr="00332B6A">
        <w:rPr>
          <w:rFonts w:ascii="Calibri" w:eastAsia="Times New Roman" w:hAnsi="Calibri" w:cs="Calibri"/>
          <w:sz w:val="24"/>
          <w:szCs w:val="24"/>
          <w:lang w:val="lt-LT"/>
        </w:rPr>
        <w:t>t. y.</w:t>
      </w:r>
      <w:r w:rsidR="00A77944" w:rsidRPr="00332B6A">
        <w:rPr>
          <w:rFonts w:ascii="Calibri" w:eastAsia="Times New Roman" w:hAnsi="Calibri" w:cs="Calibri"/>
          <w:sz w:val="24"/>
          <w:szCs w:val="24"/>
          <w:lang w:val="lt-LT"/>
        </w:rPr>
        <w:t xml:space="preserve">, </w:t>
      </w:r>
      <w:r>
        <w:rPr>
          <w:rFonts w:ascii="Calibri" w:eastAsia="Times New Roman" w:hAnsi="Calibri" w:cs="Calibri"/>
          <w:sz w:val="24"/>
          <w:szCs w:val="24"/>
          <w:lang w:val="lt-LT"/>
        </w:rPr>
        <w:t xml:space="preserve">neaišku </w:t>
      </w:r>
      <w:r w:rsidR="004502A3" w:rsidRPr="00332B6A">
        <w:rPr>
          <w:rFonts w:ascii="Calibri" w:eastAsia="Times New Roman" w:hAnsi="Calibri" w:cs="Calibri"/>
          <w:sz w:val="24"/>
          <w:szCs w:val="24"/>
          <w:lang w:val="lt-LT"/>
        </w:rPr>
        <w:t xml:space="preserve">kaip </w:t>
      </w:r>
      <w:r>
        <w:rPr>
          <w:rFonts w:ascii="Calibri" w:eastAsia="Times New Roman" w:hAnsi="Calibri" w:cs="Calibri"/>
          <w:sz w:val="24"/>
          <w:szCs w:val="24"/>
          <w:lang w:val="lt-LT"/>
        </w:rPr>
        <w:t xml:space="preserve">faktiškai bus skiriami </w:t>
      </w:r>
      <w:r w:rsidR="004502A3" w:rsidRPr="00332B6A">
        <w:rPr>
          <w:rFonts w:ascii="Calibri" w:eastAsia="Times New Roman" w:hAnsi="Calibri" w:cs="Calibri"/>
          <w:sz w:val="24"/>
          <w:szCs w:val="24"/>
          <w:lang w:val="lt-LT"/>
        </w:rPr>
        <w:t xml:space="preserve"> balai</w:t>
      </w:r>
      <w:r w:rsidR="00221310" w:rsidRPr="00332B6A">
        <w:rPr>
          <w:rFonts w:ascii="Calibri" w:eastAsia="Times New Roman" w:hAnsi="Calibri" w:cs="Calibri"/>
          <w:sz w:val="24"/>
          <w:szCs w:val="24"/>
          <w:lang w:val="lt-LT"/>
        </w:rPr>
        <w:t xml:space="preserve"> </w:t>
      </w:r>
      <w:r w:rsidR="00851BA0" w:rsidRPr="00332B6A">
        <w:rPr>
          <w:rFonts w:ascii="Calibri" w:eastAsia="Times New Roman" w:hAnsi="Calibri" w:cs="Calibri"/>
          <w:sz w:val="24"/>
          <w:szCs w:val="24"/>
          <w:lang w:val="lt-LT"/>
        </w:rPr>
        <w:t>jei</w:t>
      </w:r>
      <w:r w:rsidR="00221310" w:rsidRPr="00332B6A">
        <w:rPr>
          <w:rFonts w:ascii="Calibri" w:eastAsia="Times New Roman" w:hAnsi="Calibri" w:cs="Calibri"/>
          <w:sz w:val="24"/>
          <w:szCs w:val="24"/>
          <w:lang w:val="lt-LT"/>
        </w:rPr>
        <w:t xml:space="preserve"> vienas</w:t>
      </w:r>
      <w:r w:rsidR="00851BA0" w:rsidRPr="00332B6A">
        <w:rPr>
          <w:rFonts w:ascii="Calibri" w:eastAsia="Times New Roman" w:hAnsi="Calibri" w:cs="Calibri"/>
          <w:sz w:val="24"/>
          <w:szCs w:val="24"/>
          <w:lang w:val="lt-LT"/>
        </w:rPr>
        <w:t xml:space="preserve"> </w:t>
      </w:r>
      <w:r w:rsidR="000011FC" w:rsidRPr="00332B6A">
        <w:rPr>
          <w:rFonts w:ascii="Calibri" w:eastAsia="Times New Roman" w:hAnsi="Calibri" w:cs="Calibri"/>
          <w:sz w:val="24"/>
          <w:szCs w:val="24"/>
          <w:lang w:val="lt-LT"/>
        </w:rPr>
        <w:t>tiekėja</w:t>
      </w:r>
      <w:r w:rsidR="00E31FE7" w:rsidRPr="00332B6A">
        <w:rPr>
          <w:rFonts w:ascii="Calibri" w:eastAsia="Times New Roman" w:hAnsi="Calibri" w:cs="Calibri"/>
          <w:sz w:val="24"/>
          <w:szCs w:val="24"/>
          <w:lang w:val="lt-LT"/>
        </w:rPr>
        <w:t>s siūlys papildomą garantiją tik statybos darbams, arba tik šviestuvams</w:t>
      </w:r>
      <w:r w:rsidR="005F2749" w:rsidRPr="00332B6A">
        <w:rPr>
          <w:rFonts w:ascii="Calibri" w:eastAsia="Times New Roman" w:hAnsi="Calibri" w:cs="Calibri"/>
          <w:sz w:val="24"/>
          <w:szCs w:val="24"/>
          <w:lang w:val="lt-LT"/>
        </w:rPr>
        <w:t xml:space="preserve">, o kitas tiekėjas siūlys papildomą garantiją ir </w:t>
      </w:r>
      <w:r w:rsidR="00CA0605" w:rsidRPr="00332B6A">
        <w:rPr>
          <w:rFonts w:ascii="Calibri" w:eastAsia="Times New Roman" w:hAnsi="Calibri" w:cs="Calibri"/>
          <w:sz w:val="24"/>
          <w:szCs w:val="24"/>
          <w:lang w:val="lt-LT"/>
        </w:rPr>
        <w:t>statybos darbams ir šviestuvams</w:t>
      </w:r>
      <w:r w:rsidR="00142159" w:rsidRPr="00332B6A">
        <w:rPr>
          <w:rFonts w:ascii="Calibri" w:eastAsia="Times New Roman" w:hAnsi="Calibri" w:cs="Calibri"/>
          <w:sz w:val="24"/>
          <w:szCs w:val="24"/>
          <w:lang w:val="lt-LT"/>
        </w:rPr>
        <w:t>)</w:t>
      </w:r>
      <w:r w:rsidR="00CA0605" w:rsidRPr="00332B6A">
        <w:rPr>
          <w:rFonts w:ascii="Calibri" w:eastAsia="Times New Roman" w:hAnsi="Calibri" w:cs="Calibri"/>
          <w:sz w:val="24"/>
          <w:szCs w:val="24"/>
          <w:lang w:val="lt-LT"/>
        </w:rPr>
        <w:t>.</w:t>
      </w:r>
    </w:p>
    <w:p w14:paraId="7BF6B23D" w14:textId="17FFD8E5" w:rsidR="00446E44" w:rsidRPr="00332B6A" w:rsidRDefault="0079628C" w:rsidP="00286B37">
      <w:pPr>
        <w:spacing w:after="0" w:line="276" w:lineRule="auto"/>
        <w:ind w:firstLine="720"/>
        <w:rPr>
          <w:rFonts w:ascii="Calibri" w:eastAsia="Times New Roman" w:hAnsi="Calibri" w:cs="Calibri"/>
          <w:sz w:val="24"/>
          <w:szCs w:val="24"/>
          <w:lang w:val="lt-LT"/>
        </w:rPr>
      </w:pPr>
      <w:r w:rsidRPr="0079628C">
        <w:rPr>
          <w:rFonts w:ascii="Calibri" w:eastAsia="Times New Roman" w:hAnsi="Calibri" w:cs="Calibri"/>
          <w:sz w:val="24"/>
          <w:szCs w:val="24"/>
          <w:lang w:val="lt-LT"/>
        </w:rPr>
        <w:lastRenderedPageBreak/>
        <w:t>Tarnyba atkreipia dėmesį, kad pasiūlymų vertinimo kriterijų lyginamųjų svorių nustatymo ir balų suteikimo tvarkos derinys lemia, kiek svarbus yra kiekvienas pasiūlymų vertinimo kriterijus, užtikrinant geriausią Perkančiosios organizacijos mokamos kainos ir pagal pasiūlymus gaunamos kokybės santykį. Šis derinys taip pat parodo, kiek daugiau Perkančioji organizacija yra pasirengusi mokėti už kokybiškesnius pasiūlymus.</w:t>
      </w:r>
    </w:p>
    <w:p w14:paraId="0BAFF2A7" w14:textId="433F3939" w:rsidR="00456862" w:rsidRPr="00332B6A" w:rsidRDefault="00A96936" w:rsidP="00286B37">
      <w:pPr>
        <w:spacing w:after="0" w:line="276" w:lineRule="auto"/>
        <w:ind w:firstLine="720"/>
        <w:rPr>
          <w:rFonts w:ascii="Calibri" w:eastAsia="Times New Roman" w:hAnsi="Calibri" w:cs="Calibri"/>
          <w:sz w:val="24"/>
          <w:szCs w:val="24"/>
          <w:lang w:val="lt-LT"/>
        </w:rPr>
      </w:pPr>
      <w:r w:rsidRPr="00332B6A">
        <w:rPr>
          <w:rFonts w:ascii="Calibri" w:eastAsia="Times New Roman" w:hAnsi="Calibri" w:cs="Calibri"/>
          <w:sz w:val="24"/>
          <w:szCs w:val="24"/>
          <w:lang w:val="lt-LT"/>
        </w:rPr>
        <w:t xml:space="preserve">Įvertinusi aukščiau išdėstytą, Tarnyba pažymi, kad nustatyta pasiūlymų vertinimo tvarka suformuluota netinkamai, t. y., </w:t>
      </w:r>
      <w:r w:rsidR="00F91541">
        <w:rPr>
          <w:rFonts w:ascii="Calibri" w:eastAsia="Times New Roman" w:hAnsi="Calibri" w:cs="Calibri"/>
          <w:sz w:val="24"/>
          <w:szCs w:val="24"/>
          <w:lang w:val="lt-LT"/>
        </w:rPr>
        <w:t xml:space="preserve">nustatyta </w:t>
      </w:r>
      <w:r w:rsidRPr="00332B6A">
        <w:rPr>
          <w:rFonts w:ascii="Calibri" w:eastAsia="Times New Roman" w:hAnsi="Calibri" w:cs="Calibri"/>
          <w:sz w:val="24"/>
          <w:szCs w:val="24"/>
          <w:lang w:val="lt-LT"/>
        </w:rPr>
        <w:t>neaiški ir nekonkreti balų skyrimo tvarka</w:t>
      </w:r>
      <w:r w:rsidR="002D7777">
        <w:rPr>
          <w:rFonts w:ascii="Calibri" w:eastAsia="Times New Roman" w:hAnsi="Calibri" w:cs="Calibri"/>
          <w:sz w:val="24"/>
          <w:szCs w:val="24"/>
          <w:lang w:val="lt-LT"/>
        </w:rPr>
        <w:t xml:space="preserve">, todėl </w:t>
      </w:r>
      <w:r w:rsidR="00456862" w:rsidRPr="00332B6A">
        <w:rPr>
          <w:rFonts w:ascii="Calibri" w:eastAsia="Times New Roman" w:hAnsi="Calibri" w:cs="Calibri"/>
          <w:sz w:val="24"/>
          <w:szCs w:val="24"/>
          <w:lang w:val="lt-LT"/>
        </w:rPr>
        <w:t>rekomenduotina keisti / tikslinti ekonominio naudingumo vertinimo tvarką</w:t>
      </w:r>
      <w:r w:rsidR="009B4F8B">
        <w:rPr>
          <w:rFonts w:ascii="Calibri" w:eastAsia="Times New Roman" w:hAnsi="Calibri" w:cs="Calibri"/>
          <w:sz w:val="24"/>
          <w:szCs w:val="24"/>
          <w:lang w:val="lt-LT"/>
        </w:rPr>
        <w:t xml:space="preserve">, aiškiai aprašant, pateikiant skaičiavimo formules, kaip bus </w:t>
      </w:r>
      <w:r w:rsidR="00F91541">
        <w:rPr>
          <w:rFonts w:ascii="Calibri" w:eastAsia="Times New Roman" w:hAnsi="Calibri" w:cs="Calibri"/>
          <w:sz w:val="24"/>
          <w:szCs w:val="24"/>
          <w:lang w:val="lt-LT"/>
        </w:rPr>
        <w:t>skiriam</w:t>
      </w:r>
      <w:r w:rsidR="00D3317E">
        <w:rPr>
          <w:rFonts w:ascii="Calibri" w:eastAsia="Times New Roman" w:hAnsi="Calibri" w:cs="Calibri"/>
          <w:sz w:val="24"/>
          <w:szCs w:val="24"/>
          <w:lang w:val="lt-LT"/>
        </w:rPr>
        <w:t>as</w:t>
      </w:r>
      <w:r w:rsidR="00F91541">
        <w:rPr>
          <w:rFonts w:ascii="Calibri" w:eastAsia="Times New Roman" w:hAnsi="Calibri" w:cs="Calibri"/>
          <w:sz w:val="24"/>
          <w:szCs w:val="24"/>
          <w:lang w:val="lt-LT"/>
        </w:rPr>
        <w:t xml:space="preserve"> ir </w:t>
      </w:r>
      <w:r w:rsidR="009B4F8B">
        <w:rPr>
          <w:rFonts w:ascii="Calibri" w:eastAsia="Times New Roman" w:hAnsi="Calibri" w:cs="Calibri"/>
          <w:sz w:val="24"/>
          <w:szCs w:val="24"/>
          <w:lang w:val="lt-LT"/>
        </w:rPr>
        <w:t>apskaičiuo</w:t>
      </w:r>
      <w:r w:rsidR="00F91541">
        <w:rPr>
          <w:rFonts w:ascii="Calibri" w:eastAsia="Times New Roman" w:hAnsi="Calibri" w:cs="Calibri"/>
          <w:sz w:val="24"/>
          <w:szCs w:val="24"/>
          <w:lang w:val="lt-LT"/>
        </w:rPr>
        <w:t>jamas</w:t>
      </w:r>
      <w:r w:rsidR="009B4F8B">
        <w:rPr>
          <w:rFonts w:ascii="Calibri" w:eastAsia="Times New Roman" w:hAnsi="Calibri" w:cs="Calibri"/>
          <w:sz w:val="24"/>
          <w:szCs w:val="24"/>
          <w:lang w:val="lt-LT"/>
        </w:rPr>
        <w:t xml:space="preserve"> </w:t>
      </w:r>
      <w:r w:rsidR="00A7387B">
        <w:rPr>
          <w:rFonts w:ascii="Calibri" w:eastAsia="Times New Roman" w:hAnsi="Calibri" w:cs="Calibri"/>
          <w:sz w:val="24"/>
          <w:szCs w:val="24"/>
          <w:lang w:val="lt-LT"/>
        </w:rPr>
        <w:t>vertinimo kriterijaus „</w:t>
      </w:r>
      <w:r w:rsidR="00A7387B" w:rsidRPr="00A7387B">
        <w:rPr>
          <w:rFonts w:ascii="Calibri" w:eastAsia="Times New Roman" w:hAnsi="Calibri" w:cs="Calibri"/>
          <w:sz w:val="24"/>
          <w:szCs w:val="24"/>
          <w:lang w:val="lt-LT"/>
        </w:rPr>
        <w:t>Papildoma statinio, šviestuvų garantinio termino trukmė“</w:t>
      </w:r>
      <w:r w:rsidR="00A7387B">
        <w:rPr>
          <w:rFonts w:ascii="Calibri" w:eastAsia="Times New Roman" w:hAnsi="Calibri" w:cs="Calibri"/>
          <w:sz w:val="24"/>
          <w:szCs w:val="24"/>
          <w:lang w:val="lt-LT"/>
        </w:rPr>
        <w:t xml:space="preserve"> bendras balas.</w:t>
      </w:r>
    </w:p>
    <w:p w14:paraId="3096E39C" w14:textId="77777777" w:rsidR="00456862" w:rsidRPr="00332B6A" w:rsidRDefault="00456862" w:rsidP="00332B6A">
      <w:pPr>
        <w:spacing w:after="0" w:line="276" w:lineRule="auto"/>
        <w:rPr>
          <w:rFonts w:ascii="Calibri" w:eastAsia="Times New Roman" w:hAnsi="Calibri" w:cs="Calibri"/>
          <w:sz w:val="24"/>
          <w:szCs w:val="24"/>
          <w:lang w:val="lt-LT"/>
        </w:rPr>
      </w:pPr>
    </w:p>
    <w:p w14:paraId="199EA9D3" w14:textId="54CBA38F" w:rsidR="007A336C" w:rsidRPr="00332B6A" w:rsidRDefault="007A336C" w:rsidP="00332B6A">
      <w:pPr>
        <w:spacing w:after="0" w:line="276" w:lineRule="auto"/>
        <w:rPr>
          <w:rFonts w:ascii="Calibri" w:eastAsia="Times New Roman" w:hAnsi="Calibri" w:cs="Calibri"/>
          <w:sz w:val="24"/>
          <w:szCs w:val="24"/>
          <w:lang w:val="lt-LT"/>
        </w:rPr>
      </w:pPr>
      <w:r w:rsidRPr="00332B6A">
        <w:rPr>
          <w:rFonts w:ascii="Calibri" w:eastAsia="Times New Roman" w:hAnsi="Calibri" w:cs="Calibri"/>
          <w:b/>
          <w:bCs/>
          <w:sz w:val="24"/>
          <w:szCs w:val="24"/>
          <w:lang w:val="lt-LT"/>
        </w:rPr>
        <w:t xml:space="preserve">         </w:t>
      </w:r>
      <w:r w:rsidR="00A56900" w:rsidRPr="00332B6A">
        <w:rPr>
          <w:rFonts w:ascii="Calibri" w:eastAsia="Times New Roman" w:hAnsi="Calibri" w:cs="Calibri"/>
          <w:b/>
          <w:bCs/>
          <w:sz w:val="24"/>
          <w:szCs w:val="24"/>
          <w:lang w:val="lt-LT"/>
        </w:rPr>
        <w:t>1.2.</w:t>
      </w:r>
      <w:r w:rsidR="00A56900" w:rsidRPr="00332B6A">
        <w:rPr>
          <w:rFonts w:ascii="Calibri" w:eastAsia="Times New Roman" w:hAnsi="Calibri" w:cs="Calibri"/>
          <w:sz w:val="24"/>
          <w:szCs w:val="24"/>
          <w:lang w:val="lt-LT"/>
        </w:rPr>
        <w:t xml:space="preserve"> </w:t>
      </w:r>
      <w:r w:rsidR="002F59FD" w:rsidRPr="00332B6A">
        <w:rPr>
          <w:rFonts w:ascii="Calibri" w:eastAsia="Times New Roman" w:hAnsi="Calibri" w:cs="Calibri"/>
          <w:sz w:val="24"/>
          <w:szCs w:val="24"/>
          <w:lang w:val="lt-LT"/>
        </w:rPr>
        <w:t xml:space="preserve">Tarnyba atkreipia dėmesį, kad </w:t>
      </w:r>
      <w:r w:rsidR="00432C57" w:rsidRPr="00332B6A">
        <w:rPr>
          <w:rFonts w:ascii="Calibri" w:eastAsia="Times New Roman" w:hAnsi="Calibri" w:cs="Calibri"/>
          <w:sz w:val="24"/>
          <w:szCs w:val="24"/>
          <w:lang w:val="lt-LT"/>
        </w:rPr>
        <w:t>Pirkimo sąlygų 86.7 papunktyje nustatyta, jog „</w:t>
      </w:r>
      <w:r w:rsidR="00AE3C74" w:rsidRPr="00332B6A">
        <w:rPr>
          <w:rFonts w:ascii="Calibri" w:eastAsia="Times New Roman" w:hAnsi="Calibri" w:cs="Calibri"/>
          <w:sz w:val="24"/>
          <w:szCs w:val="24"/>
          <w:lang w:val="lt-LT"/>
        </w:rPr>
        <w:t>Tiekėjas savo pasiūlyme turi nurodyti jo siūlomą papildomą</w:t>
      </w:r>
      <w:r w:rsidR="00AE3C74" w:rsidRPr="00332B6A">
        <w:rPr>
          <w:rFonts w:ascii="Calibri" w:eastAsia="Times New Roman" w:hAnsi="Calibri" w:cs="Calibri"/>
          <w:b/>
          <w:bCs/>
          <w:sz w:val="24"/>
          <w:szCs w:val="24"/>
          <w:lang w:val="lt-LT"/>
        </w:rPr>
        <w:t xml:space="preserve"> statinio, šviestuvų </w:t>
      </w:r>
      <w:r w:rsidR="00AE3C74" w:rsidRPr="00332B6A">
        <w:rPr>
          <w:rFonts w:ascii="Calibri" w:eastAsia="Times New Roman" w:hAnsi="Calibri" w:cs="Calibri"/>
          <w:sz w:val="24"/>
          <w:szCs w:val="24"/>
          <w:lang w:val="lt-LT"/>
        </w:rPr>
        <w:t>garantinio termino trukmę (</w:t>
      </w:r>
      <w:r w:rsidR="00AE3C74" w:rsidRPr="00332B6A">
        <w:rPr>
          <w:rFonts w:ascii="Calibri" w:eastAsia="Times New Roman" w:hAnsi="Calibri" w:cs="Calibri"/>
          <w:b/>
          <w:bCs/>
          <w:sz w:val="24"/>
          <w:szCs w:val="24"/>
          <w:lang w:val="lt-LT"/>
        </w:rPr>
        <w:t>galimi</w:t>
      </w:r>
      <w:r w:rsidR="00AE3C74" w:rsidRPr="00332B6A">
        <w:rPr>
          <w:rFonts w:ascii="Calibri" w:eastAsia="Times New Roman" w:hAnsi="Calibri" w:cs="Calibri"/>
          <w:sz w:val="24"/>
          <w:szCs w:val="24"/>
          <w:lang w:val="lt-LT"/>
        </w:rPr>
        <w:t xml:space="preserve"> </w:t>
      </w:r>
      <w:r w:rsidR="00AE3C74" w:rsidRPr="00332B6A">
        <w:rPr>
          <w:rFonts w:ascii="Calibri" w:eastAsia="Times New Roman" w:hAnsi="Calibri" w:cs="Calibri"/>
          <w:b/>
          <w:bCs/>
          <w:sz w:val="24"/>
          <w:szCs w:val="24"/>
          <w:lang w:val="lt-LT"/>
        </w:rPr>
        <w:t>tik vienuolika papildomos statinio garantinio termino trukmės variantai</w:t>
      </w:r>
      <w:r w:rsidR="00AE3C74" w:rsidRPr="00332B6A">
        <w:rPr>
          <w:rFonts w:ascii="Calibri" w:eastAsia="Times New Roman" w:hAnsi="Calibri" w:cs="Calibri"/>
          <w:sz w:val="24"/>
          <w:szCs w:val="24"/>
          <w:lang w:val="lt-LT"/>
        </w:rPr>
        <w:t>, pateikti lentelėje), išreikštą metais</w:t>
      </w:r>
      <w:r w:rsidR="002A4A62" w:rsidRPr="00332B6A">
        <w:rPr>
          <w:rFonts w:ascii="Calibri" w:eastAsia="Times New Roman" w:hAnsi="Calibri" w:cs="Calibri"/>
          <w:sz w:val="24"/>
          <w:szCs w:val="24"/>
          <w:lang w:val="lt-LT"/>
        </w:rPr>
        <w:t>“</w:t>
      </w:r>
      <w:r w:rsidR="00AE3C74" w:rsidRPr="00332B6A">
        <w:rPr>
          <w:rFonts w:ascii="Calibri" w:eastAsia="Times New Roman" w:hAnsi="Calibri" w:cs="Calibri"/>
          <w:sz w:val="24"/>
          <w:szCs w:val="24"/>
          <w:lang w:val="lt-LT"/>
        </w:rPr>
        <w:t>.</w:t>
      </w:r>
      <w:r w:rsidR="005E60C5" w:rsidRPr="00332B6A">
        <w:rPr>
          <w:rFonts w:ascii="Calibri" w:eastAsia="Times New Roman" w:hAnsi="Calibri" w:cs="Calibri"/>
          <w:sz w:val="24"/>
          <w:szCs w:val="24"/>
          <w:lang w:val="lt-LT"/>
        </w:rPr>
        <w:t xml:space="preserve"> Šiuo atveju nėra aišku, ar</w:t>
      </w:r>
      <w:r w:rsidR="009F4D5A" w:rsidRPr="00332B6A">
        <w:rPr>
          <w:rFonts w:ascii="Calibri" w:eastAsia="Times New Roman" w:hAnsi="Calibri" w:cs="Calibri"/>
          <w:sz w:val="24"/>
          <w:szCs w:val="24"/>
          <w:lang w:val="lt-LT"/>
        </w:rPr>
        <w:t xml:space="preserve"> Tiekėjas pasiūlyme turi nurodyti siūlomą papildomą statinio</w:t>
      </w:r>
      <w:r w:rsidR="007350BB" w:rsidRPr="00332B6A">
        <w:rPr>
          <w:rFonts w:ascii="Calibri" w:eastAsia="Times New Roman" w:hAnsi="Calibri" w:cs="Calibri"/>
          <w:sz w:val="24"/>
          <w:szCs w:val="24"/>
          <w:lang w:val="lt-LT"/>
        </w:rPr>
        <w:t xml:space="preserve"> ir švie</w:t>
      </w:r>
      <w:r w:rsidR="005A0659" w:rsidRPr="00332B6A">
        <w:rPr>
          <w:rFonts w:ascii="Calibri" w:eastAsia="Times New Roman" w:hAnsi="Calibri" w:cs="Calibri"/>
          <w:sz w:val="24"/>
          <w:szCs w:val="24"/>
          <w:lang w:val="lt-LT"/>
        </w:rPr>
        <w:t>s</w:t>
      </w:r>
      <w:r w:rsidR="007350BB" w:rsidRPr="00332B6A">
        <w:rPr>
          <w:rFonts w:ascii="Calibri" w:eastAsia="Times New Roman" w:hAnsi="Calibri" w:cs="Calibri"/>
          <w:sz w:val="24"/>
          <w:szCs w:val="24"/>
          <w:lang w:val="lt-LT"/>
        </w:rPr>
        <w:t xml:space="preserve">tuvų garantinio termino trukmę, ar tik </w:t>
      </w:r>
      <w:r w:rsidR="001B4AB2" w:rsidRPr="00332B6A">
        <w:rPr>
          <w:rFonts w:ascii="Calibri" w:eastAsia="Times New Roman" w:hAnsi="Calibri" w:cs="Calibri"/>
          <w:sz w:val="24"/>
          <w:szCs w:val="24"/>
          <w:lang w:val="lt-LT"/>
        </w:rPr>
        <w:t>statinio</w:t>
      </w:r>
      <w:r w:rsidR="00A23B9E" w:rsidRPr="00332B6A">
        <w:rPr>
          <w:rFonts w:ascii="Calibri" w:eastAsia="Times New Roman" w:hAnsi="Calibri" w:cs="Calibri"/>
          <w:sz w:val="24"/>
          <w:szCs w:val="24"/>
          <w:lang w:val="lt-LT"/>
        </w:rPr>
        <w:t>.</w:t>
      </w:r>
    </w:p>
    <w:p w14:paraId="073F370A" w14:textId="13B99936" w:rsidR="007A336C" w:rsidRPr="00CC2E49" w:rsidRDefault="007A336C" w:rsidP="00332B6A">
      <w:pPr>
        <w:spacing w:after="0" w:line="276" w:lineRule="auto"/>
        <w:rPr>
          <w:rFonts w:ascii="Calibri" w:eastAsia="Times New Roman" w:hAnsi="Calibri" w:cs="Calibri"/>
          <w:sz w:val="24"/>
          <w:szCs w:val="24"/>
          <w:lang w:val="lt-LT"/>
        </w:rPr>
      </w:pPr>
      <w:r w:rsidRPr="00332B6A">
        <w:rPr>
          <w:rFonts w:ascii="Calibri" w:eastAsia="Times New Roman" w:hAnsi="Calibri" w:cs="Calibri"/>
          <w:sz w:val="24"/>
          <w:szCs w:val="24"/>
          <w:lang w:val="lt-LT"/>
        </w:rPr>
        <w:t xml:space="preserve">         </w:t>
      </w:r>
      <w:r w:rsidRPr="00CC2E49">
        <w:rPr>
          <w:rFonts w:ascii="Calibri" w:eastAsia="Times New Roman" w:hAnsi="Calibri" w:cs="Calibri"/>
          <w:kern w:val="0"/>
          <w:sz w:val="24"/>
          <w:szCs w:val="24"/>
          <w:lang w:val="lt-LT" w:eastAsia="lt-LT"/>
          <w14:ligatures w14:val="none"/>
        </w:rPr>
        <w:t>Atsižvelgiant į tai, kad Pirkimo dokumentai turi būti tikslūs, aiškūs ir be dviprasmybių</w:t>
      </w:r>
      <w:r w:rsidRPr="00CC2E49">
        <w:rPr>
          <w:rFonts w:ascii="Calibri" w:eastAsia="Times New Roman" w:hAnsi="Calibri" w:cs="Calibri"/>
          <w:kern w:val="0"/>
          <w:sz w:val="24"/>
          <w:szCs w:val="24"/>
          <w:vertAlign w:val="superscript"/>
          <w:lang w:val="lt-LT" w:eastAsia="lt-LT"/>
          <w14:ligatures w14:val="none"/>
        </w:rPr>
        <w:footnoteReference w:id="1"/>
      </w:r>
      <w:r w:rsidRPr="00CC2E49">
        <w:rPr>
          <w:rFonts w:ascii="Calibri" w:eastAsia="Times New Roman" w:hAnsi="Calibri" w:cs="Calibri"/>
          <w:kern w:val="0"/>
          <w:sz w:val="24"/>
          <w:szCs w:val="24"/>
          <w:lang w:val="lt-LT" w:eastAsia="lt-LT"/>
          <w14:ligatures w14:val="none"/>
        </w:rPr>
        <w:t>, Tarnyba rekomenduoja patikslinti (suvienodinti) Pirkimo dokumentuose pateiktą informaciją, susijusią su pasiūlymų vertinimu.</w:t>
      </w:r>
    </w:p>
    <w:p w14:paraId="68AFCF07" w14:textId="77777777" w:rsidR="00D31892" w:rsidRPr="00332B6A" w:rsidRDefault="00D31892" w:rsidP="00332B6A">
      <w:pPr>
        <w:spacing w:after="0" w:line="276" w:lineRule="auto"/>
        <w:rPr>
          <w:rFonts w:ascii="Calibri" w:eastAsia="Times New Roman" w:hAnsi="Calibri" w:cs="Calibri"/>
          <w:sz w:val="24"/>
          <w:szCs w:val="24"/>
          <w:lang w:val="lt-LT"/>
        </w:rPr>
      </w:pPr>
    </w:p>
    <w:p w14:paraId="77177E38" w14:textId="70AA5B49" w:rsidR="00AA6D3E" w:rsidRPr="00332B6A" w:rsidRDefault="006D5E92" w:rsidP="00332B6A">
      <w:pPr>
        <w:spacing w:after="0" w:line="276" w:lineRule="auto"/>
        <w:rPr>
          <w:rFonts w:ascii="Calibri" w:eastAsia="Times New Roman" w:hAnsi="Calibri" w:cs="Calibri"/>
          <w:sz w:val="24"/>
          <w:szCs w:val="24"/>
          <w:lang w:val="lt-LT"/>
        </w:rPr>
      </w:pPr>
      <w:r w:rsidRPr="00332B6A">
        <w:rPr>
          <w:rFonts w:ascii="Calibri" w:eastAsia="Times New Roman" w:hAnsi="Calibri" w:cs="Calibri"/>
          <w:b/>
          <w:bCs/>
          <w:sz w:val="24"/>
          <w:szCs w:val="24"/>
          <w:lang w:val="lt-LT"/>
        </w:rPr>
        <w:t xml:space="preserve">        </w:t>
      </w:r>
      <w:r w:rsidR="00896091" w:rsidRPr="00332B6A">
        <w:rPr>
          <w:rFonts w:ascii="Calibri" w:eastAsia="Times New Roman" w:hAnsi="Calibri" w:cs="Calibri"/>
          <w:b/>
          <w:bCs/>
          <w:sz w:val="24"/>
          <w:szCs w:val="24"/>
          <w:lang w:val="lt-LT"/>
        </w:rPr>
        <w:t xml:space="preserve"> </w:t>
      </w:r>
      <w:r w:rsidRPr="00332B6A">
        <w:rPr>
          <w:rFonts w:ascii="Calibri" w:eastAsia="Times New Roman" w:hAnsi="Calibri" w:cs="Calibri"/>
          <w:b/>
          <w:bCs/>
          <w:sz w:val="24"/>
          <w:szCs w:val="24"/>
          <w:lang w:val="lt-LT"/>
        </w:rPr>
        <w:t>1.3.</w:t>
      </w:r>
      <w:r w:rsidRPr="00332B6A">
        <w:rPr>
          <w:rFonts w:ascii="Calibri" w:eastAsia="Times New Roman" w:hAnsi="Calibri" w:cs="Calibri"/>
          <w:sz w:val="24"/>
          <w:szCs w:val="24"/>
          <w:lang w:val="lt-LT"/>
        </w:rPr>
        <w:t xml:space="preserve"> </w:t>
      </w:r>
      <w:r w:rsidR="00F2730F" w:rsidRPr="00332B6A">
        <w:rPr>
          <w:rFonts w:ascii="Calibri" w:eastAsia="Times New Roman" w:hAnsi="Calibri" w:cs="Calibri"/>
          <w:sz w:val="24"/>
          <w:szCs w:val="24"/>
          <w:lang w:val="lt-LT"/>
        </w:rPr>
        <w:t xml:space="preserve">Pirkimo sąlygų </w:t>
      </w:r>
      <w:r w:rsidR="00D81B92" w:rsidRPr="00332B6A">
        <w:rPr>
          <w:rFonts w:ascii="Calibri" w:eastAsia="Times New Roman" w:hAnsi="Calibri" w:cs="Calibri"/>
          <w:sz w:val="24"/>
          <w:szCs w:val="24"/>
          <w:lang w:val="lt-LT"/>
        </w:rPr>
        <w:t xml:space="preserve">priedo Nr. 4 „Sutarties projektas“ </w:t>
      </w:r>
      <w:r w:rsidR="00342001" w:rsidRPr="00332B6A">
        <w:rPr>
          <w:rFonts w:ascii="Calibri" w:eastAsia="Times New Roman" w:hAnsi="Calibri" w:cs="Calibri"/>
          <w:sz w:val="24"/>
          <w:szCs w:val="24"/>
          <w:lang w:val="lt-LT"/>
        </w:rPr>
        <w:t>10.4 papunktyje nustatyta, jog „</w:t>
      </w:r>
      <w:r w:rsidR="009D47B9" w:rsidRPr="00332B6A">
        <w:rPr>
          <w:rFonts w:ascii="Calibri" w:eastAsia="Times New Roman" w:hAnsi="Calibri" w:cs="Calibri"/>
          <w:sz w:val="24"/>
          <w:szCs w:val="24"/>
          <w:lang w:val="lt-LT"/>
        </w:rPr>
        <w:t xml:space="preserve">Papildoma </w:t>
      </w:r>
      <w:r w:rsidR="009D47B9" w:rsidRPr="00332B6A">
        <w:rPr>
          <w:rFonts w:ascii="Calibri" w:eastAsia="Times New Roman" w:hAnsi="Calibri" w:cs="Calibri"/>
          <w:b/>
          <w:bCs/>
          <w:sz w:val="24"/>
          <w:szCs w:val="24"/>
          <w:lang w:val="lt-LT"/>
        </w:rPr>
        <w:t>statinio garantinio termino trukmė</w:t>
      </w:r>
      <w:r w:rsidR="009D47B9" w:rsidRPr="00332B6A">
        <w:rPr>
          <w:rFonts w:ascii="Calibri" w:eastAsia="Times New Roman" w:hAnsi="Calibri" w:cs="Calibri"/>
          <w:sz w:val="24"/>
          <w:szCs w:val="24"/>
          <w:lang w:val="lt-LT"/>
        </w:rPr>
        <w:t xml:space="preserve"> – ............. metai. Papildomam garantiniam terminui taikoma Sutarties 10.2 p. nustatyta tvarka</w:t>
      </w:r>
      <w:r w:rsidR="007A336C" w:rsidRPr="00332B6A">
        <w:rPr>
          <w:rFonts w:ascii="Calibri" w:eastAsia="Times New Roman" w:hAnsi="Calibri" w:cs="Calibri"/>
          <w:sz w:val="24"/>
          <w:szCs w:val="24"/>
          <w:lang w:val="lt-LT"/>
        </w:rPr>
        <w:t>“.</w:t>
      </w:r>
      <w:r w:rsidR="00AC16B7" w:rsidRPr="00332B6A">
        <w:rPr>
          <w:rFonts w:ascii="Calibri" w:eastAsia="Times New Roman" w:hAnsi="Calibri" w:cs="Calibri"/>
          <w:sz w:val="24"/>
          <w:szCs w:val="24"/>
          <w:lang w:val="lt-LT"/>
        </w:rPr>
        <w:t xml:space="preserve"> Atsižvelgiant į tai, kad Pirkimo sąlygų </w:t>
      </w:r>
      <w:r w:rsidR="001419EF" w:rsidRPr="00332B6A">
        <w:rPr>
          <w:rFonts w:ascii="Calibri" w:eastAsia="Times New Roman" w:hAnsi="Calibri" w:cs="Calibri"/>
          <w:sz w:val="24"/>
          <w:szCs w:val="24"/>
          <w:lang w:val="lt-LT"/>
        </w:rPr>
        <w:t>86.5 ir 86.6 papunkčiuose nustatyta</w:t>
      </w:r>
      <w:r w:rsidR="00355816" w:rsidRPr="00332B6A">
        <w:rPr>
          <w:rFonts w:ascii="Calibri" w:eastAsia="Times New Roman" w:hAnsi="Calibri" w:cs="Calibri"/>
          <w:sz w:val="24"/>
          <w:szCs w:val="24"/>
          <w:lang w:val="lt-LT"/>
        </w:rPr>
        <w:t xml:space="preserve">, kad tiekėjas siūlo papildomą garantiją </w:t>
      </w:r>
      <w:r w:rsidR="00271DED" w:rsidRPr="00332B6A">
        <w:rPr>
          <w:rFonts w:ascii="Calibri" w:eastAsia="Times New Roman" w:hAnsi="Calibri" w:cs="Calibri"/>
          <w:sz w:val="24"/>
          <w:szCs w:val="24"/>
          <w:lang w:val="lt-LT"/>
        </w:rPr>
        <w:t xml:space="preserve">atskirai </w:t>
      </w:r>
      <w:r w:rsidR="00355816" w:rsidRPr="00332B6A">
        <w:rPr>
          <w:rFonts w:ascii="Calibri" w:eastAsia="Times New Roman" w:hAnsi="Calibri" w:cs="Calibri"/>
          <w:sz w:val="24"/>
          <w:szCs w:val="24"/>
          <w:lang w:val="lt-LT"/>
        </w:rPr>
        <w:t xml:space="preserve">statybos darbams ir </w:t>
      </w:r>
      <w:r w:rsidR="00271DED" w:rsidRPr="00332B6A">
        <w:rPr>
          <w:rFonts w:ascii="Calibri" w:eastAsia="Times New Roman" w:hAnsi="Calibri" w:cs="Calibri"/>
          <w:sz w:val="24"/>
          <w:szCs w:val="24"/>
          <w:lang w:val="lt-LT"/>
        </w:rPr>
        <w:t xml:space="preserve">atskirai </w:t>
      </w:r>
      <w:r w:rsidR="003F6C36" w:rsidRPr="00332B6A">
        <w:rPr>
          <w:rFonts w:ascii="Calibri" w:eastAsia="Times New Roman" w:hAnsi="Calibri" w:cs="Calibri"/>
          <w:sz w:val="24"/>
          <w:szCs w:val="24"/>
          <w:lang w:val="lt-LT"/>
        </w:rPr>
        <w:t xml:space="preserve">papildomą garantiją šviestuvams, prašome </w:t>
      </w:r>
      <w:r w:rsidR="00F91541">
        <w:rPr>
          <w:rFonts w:ascii="Calibri" w:eastAsia="Times New Roman" w:hAnsi="Calibri" w:cs="Calibri"/>
          <w:sz w:val="24"/>
          <w:szCs w:val="24"/>
          <w:lang w:val="lt-LT"/>
        </w:rPr>
        <w:t>paaiškinti koks terminas turi būti nurodomas šiuo atveju, bei nurodyti, kur</w:t>
      </w:r>
      <w:r w:rsidR="00504AE6" w:rsidRPr="00332B6A">
        <w:rPr>
          <w:rFonts w:ascii="Calibri" w:eastAsia="Times New Roman" w:hAnsi="Calibri" w:cs="Calibri"/>
          <w:sz w:val="24"/>
          <w:szCs w:val="24"/>
          <w:lang w:val="lt-LT"/>
        </w:rPr>
        <w:t xml:space="preserve"> Sutarties projekt</w:t>
      </w:r>
      <w:r w:rsidR="00F91541">
        <w:rPr>
          <w:rFonts w:ascii="Calibri" w:eastAsia="Times New Roman" w:hAnsi="Calibri" w:cs="Calibri"/>
          <w:sz w:val="24"/>
          <w:szCs w:val="24"/>
          <w:lang w:val="lt-LT"/>
        </w:rPr>
        <w:t xml:space="preserve">e būtų </w:t>
      </w:r>
      <w:r w:rsidR="00504AE6" w:rsidRPr="00332B6A">
        <w:rPr>
          <w:rFonts w:ascii="Calibri" w:eastAsia="Times New Roman" w:hAnsi="Calibri" w:cs="Calibri"/>
          <w:sz w:val="24"/>
          <w:szCs w:val="24"/>
          <w:lang w:val="lt-LT"/>
        </w:rPr>
        <w:t>nusta</w:t>
      </w:r>
      <w:r w:rsidR="00097CD6" w:rsidRPr="00332B6A">
        <w:rPr>
          <w:rFonts w:ascii="Calibri" w:eastAsia="Times New Roman" w:hAnsi="Calibri" w:cs="Calibri"/>
          <w:sz w:val="24"/>
          <w:szCs w:val="24"/>
          <w:lang w:val="lt-LT"/>
        </w:rPr>
        <w:t>tyta</w:t>
      </w:r>
      <w:r w:rsidR="00BF13AD" w:rsidRPr="00332B6A">
        <w:rPr>
          <w:rFonts w:ascii="Calibri" w:eastAsia="Times New Roman" w:hAnsi="Calibri" w:cs="Calibri"/>
          <w:sz w:val="24"/>
          <w:szCs w:val="24"/>
          <w:lang w:val="lt-LT"/>
        </w:rPr>
        <w:t>s</w:t>
      </w:r>
      <w:r w:rsidR="00097CD6" w:rsidRPr="00332B6A">
        <w:rPr>
          <w:rFonts w:ascii="Calibri" w:eastAsia="Times New Roman" w:hAnsi="Calibri" w:cs="Calibri"/>
          <w:sz w:val="24"/>
          <w:szCs w:val="24"/>
          <w:lang w:val="lt-LT"/>
        </w:rPr>
        <w:t xml:space="preserve"> tiekėjo įsipareigojimas dėl </w:t>
      </w:r>
      <w:r w:rsidR="00FC19F8" w:rsidRPr="00332B6A">
        <w:rPr>
          <w:rFonts w:ascii="Calibri" w:eastAsia="Times New Roman" w:hAnsi="Calibri" w:cs="Calibri"/>
          <w:sz w:val="24"/>
          <w:szCs w:val="24"/>
          <w:lang w:val="lt-LT"/>
        </w:rPr>
        <w:t xml:space="preserve">suteikiamos </w:t>
      </w:r>
      <w:r w:rsidR="0096344C" w:rsidRPr="00332B6A">
        <w:rPr>
          <w:rFonts w:ascii="Calibri" w:eastAsia="Times New Roman" w:hAnsi="Calibri" w:cs="Calibri"/>
          <w:sz w:val="24"/>
          <w:szCs w:val="24"/>
          <w:lang w:val="lt-LT"/>
        </w:rPr>
        <w:t>pa</w:t>
      </w:r>
      <w:r w:rsidR="004077CE" w:rsidRPr="00332B6A">
        <w:rPr>
          <w:rFonts w:ascii="Calibri" w:eastAsia="Times New Roman" w:hAnsi="Calibri" w:cs="Calibri"/>
          <w:sz w:val="24"/>
          <w:szCs w:val="24"/>
          <w:lang w:val="lt-LT"/>
        </w:rPr>
        <w:t>p</w:t>
      </w:r>
      <w:r w:rsidR="0096344C" w:rsidRPr="00332B6A">
        <w:rPr>
          <w:rFonts w:ascii="Calibri" w:eastAsia="Times New Roman" w:hAnsi="Calibri" w:cs="Calibri"/>
          <w:sz w:val="24"/>
          <w:szCs w:val="24"/>
          <w:lang w:val="lt-LT"/>
        </w:rPr>
        <w:t xml:space="preserve">ildomos </w:t>
      </w:r>
      <w:r w:rsidR="00FC19F8" w:rsidRPr="00332B6A">
        <w:rPr>
          <w:rFonts w:ascii="Calibri" w:eastAsia="Times New Roman" w:hAnsi="Calibri" w:cs="Calibri"/>
          <w:sz w:val="24"/>
          <w:szCs w:val="24"/>
          <w:lang w:val="lt-LT"/>
        </w:rPr>
        <w:t xml:space="preserve">garantijos </w:t>
      </w:r>
      <w:r w:rsidR="0096344C" w:rsidRPr="00332B6A">
        <w:rPr>
          <w:rFonts w:ascii="Calibri" w:eastAsia="Times New Roman" w:hAnsi="Calibri" w:cs="Calibri"/>
          <w:b/>
          <w:bCs/>
          <w:sz w:val="24"/>
          <w:szCs w:val="24"/>
          <w:lang w:val="lt-LT"/>
        </w:rPr>
        <w:t>šviestuvams</w:t>
      </w:r>
      <w:r w:rsidR="0096344C" w:rsidRPr="00332B6A">
        <w:rPr>
          <w:rFonts w:ascii="Calibri" w:eastAsia="Times New Roman" w:hAnsi="Calibri" w:cs="Calibri"/>
          <w:sz w:val="24"/>
          <w:szCs w:val="24"/>
          <w:lang w:val="lt-LT"/>
        </w:rPr>
        <w:t>, už kurią tiekėjas pasiūlymo pateikimo metu gavo papildomus balus</w:t>
      </w:r>
      <w:r w:rsidR="00F91541">
        <w:rPr>
          <w:rFonts w:ascii="Calibri" w:eastAsia="Times New Roman" w:hAnsi="Calibri" w:cs="Calibri"/>
          <w:sz w:val="24"/>
          <w:szCs w:val="24"/>
          <w:lang w:val="lt-LT"/>
        </w:rPr>
        <w:t xml:space="preserve">. Taip pat nurodyti </w:t>
      </w:r>
      <w:r w:rsidR="00712E2E" w:rsidRPr="00332B6A">
        <w:rPr>
          <w:rFonts w:ascii="Calibri" w:eastAsia="Times New Roman" w:hAnsi="Calibri" w:cs="Calibri"/>
          <w:sz w:val="24"/>
          <w:szCs w:val="24"/>
          <w:lang w:val="lt-LT"/>
        </w:rPr>
        <w:t xml:space="preserve"> kokios b</w:t>
      </w:r>
      <w:r w:rsidR="00F91541">
        <w:rPr>
          <w:rFonts w:ascii="Calibri" w:eastAsia="Times New Roman" w:hAnsi="Calibri" w:cs="Calibri"/>
          <w:sz w:val="24"/>
          <w:szCs w:val="24"/>
          <w:lang w:val="lt-LT"/>
        </w:rPr>
        <w:t xml:space="preserve">ūtų </w:t>
      </w:r>
      <w:r w:rsidR="00712E2E" w:rsidRPr="00332B6A">
        <w:rPr>
          <w:rFonts w:ascii="Calibri" w:eastAsia="Times New Roman" w:hAnsi="Calibri" w:cs="Calibri"/>
          <w:sz w:val="24"/>
          <w:szCs w:val="24"/>
          <w:lang w:val="lt-LT"/>
        </w:rPr>
        <w:t>taikomos sankcijos, jei tiekėjas šio įsipareigojimo nesilaikys</w:t>
      </w:r>
      <w:r w:rsidR="00F91541">
        <w:rPr>
          <w:rFonts w:ascii="Calibri" w:eastAsia="Times New Roman" w:hAnsi="Calibri" w:cs="Calibri"/>
          <w:sz w:val="24"/>
          <w:szCs w:val="24"/>
          <w:lang w:val="lt-LT"/>
        </w:rPr>
        <w:t xml:space="preserve"> (nurodyti konkrečius Sutarties projekto punktus)</w:t>
      </w:r>
      <w:r w:rsidR="00712E2E" w:rsidRPr="00332B6A">
        <w:rPr>
          <w:rFonts w:ascii="Calibri" w:eastAsia="Times New Roman" w:hAnsi="Calibri" w:cs="Calibri"/>
          <w:sz w:val="24"/>
          <w:szCs w:val="24"/>
          <w:lang w:val="lt-LT"/>
        </w:rPr>
        <w:t>.</w:t>
      </w:r>
    </w:p>
    <w:p w14:paraId="432E2B4E" w14:textId="77777777" w:rsidR="002D7CEB" w:rsidRPr="00B461D8" w:rsidRDefault="002D7CEB" w:rsidP="00332B6A">
      <w:pPr>
        <w:spacing w:after="0" w:line="276" w:lineRule="auto"/>
        <w:rPr>
          <w:rFonts w:ascii="Calibri" w:eastAsia="Times New Roman" w:hAnsi="Calibri" w:cs="Calibri"/>
          <w:sz w:val="24"/>
          <w:szCs w:val="24"/>
          <w:lang w:val="lt-LT"/>
        </w:rPr>
      </w:pPr>
    </w:p>
    <w:p w14:paraId="715B734B" w14:textId="70FBBCDE" w:rsidR="00790E68" w:rsidRDefault="00B461D8" w:rsidP="00790E68">
      <w:pPr>
        <w:numPr>
          <w:ilvl w:val="0"/>
          <w:numId w:val="2"/>
        </w:numPr>
        <w:tabs>
          <w:tab w:val="left" w:pos="851"/>
        </w:tabs>
        <w:spacing w:after="0" w:line="276" w:lineRule="auto"/>
        <w:ind w:left="0" w:firstLine="567"/>
        <w:contextualSpacing/>
        <w:rPr>
          <w:rFonts w:ascii="Calibri" w:eastAsia="Times New Roman" w:hAnsi="Calibri" w:cs="Calibri"/>
          <w:b/>
          <w:bCs/>
          <w:kern w:val="0"/>
          <w:sz w:val="24"/>
          <w:szCs w:val="24"/>
          <w:lang w:val="lt-LT" w:eastAsia="lt-LT"/>
          <w14:ligatures w14:val="none"/>
        </w:rPr>
      </w:pPr>
      <w:r w:rsidRPr="00B461D8">
        <w:rPr>
          <w:rFonts w:ascii="Calibri" w:eastAsia="Calibri" w:hAnsi="Calibri" w:cs="Calibri"/>
          <w:sz w:val="24"/>
          <w:szCs w:val="24"/>
        </w:rPr>
        <w:t xml:space="preserve"> </w:t>
      </w:r>
      <w:r w:rsidR="0086313A" w:rsidRPr="00332B6A">
        <w:rPr>
          <w:rFonts w:ascii="Calibri" w:eastAsia="Times New Roman" w:hAnsi="Calibri" w:cs="Calibri"/>
          <w:b/>
          <w:bCs/>
          <w:kern w:val="0"/>
          <w:sz w:val="24"/>
          <w:szCs w:val="24"/>
          <w:lang w:val="lt-LT" w:eastAsia="lt-LT"/>
          <w14:ligatures w14:val="none"/>
        </w:rPr>
        <w:t>Dėl Pirkimo sąlygose įtvirtintų nuostatų</w:t>
      </w:r>
    </w:p>
    <w:p w14:paraId="58DE0EB1" w14:textId="42F4FF87" w:rsidR="0086313A" w:rsidRPr="0086313A" w:rsidRDefault="00F91541" w:rsidP="00790E68">
      <w:pPr>
        <w:tabs>
          <w:tab w:val="left" w:pos="851"/>
        </w:tabs>
        <w:spacing w:after="0" w:line="276" w:lineRule="auto"/>
        <w:contextualSpacing/>
        <w:rPr>
          <w:rFonts w:ascii="Calibri" w:eastAsia="Times New Roman" w:hAnsi="Calibri" w:cs="Calibri"/>
          <w:b/>
          <w:bCs/>
          <w:kern w:val="0"/>
          <w:sz w:val="24"/>
          <w:szCs w:val="24"/>
          <w:lang w:val="lt-LT" w:eastAsia="lt-LT"/>
          <w14:ligatures w14:val="none"/>
        </w:rPr>
      </w:pPr>
      <w:r>
        <w:rPr>
          <w:rFonts w:ascii="Calibri" w:eastAsia="Times New Roman" w:hAnsi="Calibri" w:cs="Calibri"/>
          <w:kern w:val="0"/>
          <w:sz w:val="24"/>
          <w:szCs w:val="24"/>
          <w:lang w:val="lt-LT" w:eastAsia="lt-LT"/>
          <w14:ligatures w14:val="none"/>
        </w:rPr>
        <w:tab/>
      </w:r>
      <w:r w:rsidR="0086313A" w:rsidRPr="0086313A">
        <w:rPr>
          <w:rFonts w:ascii="Calibri" w:eastAsia="Times New Roman" w:hAnsi="Calibri" w:cs="Calibri"/>
          <w:kern w:val="0"/>
          <w:sz w:val="24"/>
          <w:szCs w:val="24"/>
          <w:lang w:val="lt-LT" w:eastAsia="lt-LT"/>
          <w14:ligatures w14:val="none"/>
        </w:rPr>
        <w:t>Įstatymo 35 straipsnio 2 dalies 34 punkte n</w:t>
      </w:r>
      <w:r w:rsidR="00C21114">
        <w:rPr>
          <w:rFonts w:ascii="Calibri" w:eastAsia="Times New Roman" w:hAnsi="Calibri" w:cs="Calibri"/>
          <w:kern w:val="0"/>
          <w:sz w:val="24"/>
          <w:szCs w:val="24"/>
          <w:lang w:val="lt-LT" w:eastAsia="lt-LT"/>
          <w14:ligatures w14:val="none"/>
        </w:rPr>
        <w:t>ustatyta</w:t>
      </w:r>
      <w:r w:rsidR="0086313A" w:rsidRPr="0086313A">
        <w:rPr>
          <w:rFonts w:ascii="Calibri" w:eastAsia="Times New Roman" w:hAnsi="Calibri" w:cs="Calibri"/>
          <w:kern w:val="0"/>
          <w:sz w:val="24"/>
          <w:szCs w:val="24"/>
          <w:lang w:val="lt-LT" w:eastAsia="lt-LT"/>
          <w14:ligatures w14:val="none"/>
        </w:rPr>
        <w:t xml:space="preserve">, kad „Pirkimo dokumentuose turi būti nurodyti perkančiosios organizacijos sprendimo neatlikti pirkimo naudojantis centrinės perkančiosios organizacijos paslaugomis argumentai &lt;...&gt;“. Šiuo atveju Pirkimo dokumentuose Perkančioji organizacija nenurodė jokių argumentų, kodėl nevykdo Pirkimo naudojantis centrinės perkančiosios organizacijos paslaugomis, kaip to reikalauja Įstatymas. Atsižvelgiant į </w:t>
      </w:r>
      <w:r w:rsidR="0086313A" w:rsidRPr="0086313A">
        <w:rPr>
          <w:rFonts w:ascii="Calibri" w:eastAsia="Times New Roman" w:hAnsi="Calibri" w:cs="Calibri"/>
          <w:kern w:val="0"/>
          <w:sz w:val="24"/>
          <w:szCs w:val="24"/>
          <w:lang w:val="lt-LT" w:eastAsia="lt-LT"/>
          <w14:ligatures w14:val="none"/>
        </w:rPr>
        <w:lastRenderedPageBreak/>
        <w:t xml:space="preserve">tai, Tarnyba rekomenduoja Pirkimo dokumentus patikslinti, </w:t>
      </w:r>
      <w:r>
        <w:rPr>
          <w:rFonts w:ascii="Calibri" w:eastAsia="Times New Roman" w:hAnsi="Calibri" w:cs="Calibri"/>
          <w:kern w:val="0"/>
          <w:sz w:val="24"/>
          <w:szCs w:val="24"/>
          <w:lang w:val="lt-LT" w:eastAsia="lt-LT"/>
          <w14:ligatures w14:val="none"/>
        </w:rPr>
        <w:t xml:space="preserve">nurodant </w:t>
      </w:r>
      <w:r w:rsidR="0086313A" w:rsidRPr="0086313A">
        <w:rPr>
          <w:rFonts w:ascii="Calibri" w:eastAsia="Times New Roman" w:hAnsi="Calibri" w:cs="Calibri"/>
          <w:kern w:val="0"/>
          <w:sz w:val="24"/>
          <w:szCs w:val="24"/>
          <w:lang w:val="lt-LT" w:eastAsia="lt-LT"/>
          <w14:ligatures w14:val="none"/>
        </w:rPr>
        <w:t xml:space="preserve"> argumentu</w:t>
      </w:r>
      <w:r>
        <w:rPr>
          <w:rFonts w:ascii="Calibri" w:eastAsia="Times New Roman" w:hAnsi="Calibri" w:cs="Calibri"/>
          <w:kern w:val="0"/>
          <w:sz w:val="24"/>
          <w:szCs w:val="24"/>
          <w:lang w:val="lt-LT" w:eastAsia="lt-LT"/>
          <w14:ligatures w14:val="none"/>
        </w:rPr>
        <w:t>s</w:t>
      </w:r>
      <w:r w:rsidR="0086313A" w:rsidRPr="0086313A">
        <w:rPr>
          <w:rFonts w:ascii="Calibri" w:eastAsia="Times New Roman" w:hAnsi="Calibri" w:cs="Calibri"/>
          <w:kern w:val="0"/>
          <w:sz w:val="24"/>
          <w:szCs w:val="24"/>
          <w:lang w:val="lt-LT" w:eastAsia="lt-LT"/>
          <w14:ligatures w14:val="none"/>
        </w:rPr>
        <w:t xml:space="preserve"> dėl priimto sprendimo neatlikti pirkimo naudojantis centrinės perkančiosios organizacijos paslaugomis.</w:t>
      </w:r>
    </w:p>
    <w:p w14:paraId="777DFE24" w14:textId="77777777" w:rsidR="00B461D8" w:rsidRPr="00B461D8" w:rsidRDefault="00B461D8" w:rsidP="00332B6A">
      <w:pPr>
        <w:spacing w:after="0" w:line="276" w:lineRule="auto"/>
        <w:rPr>
          <w:rFonts w:ascii="Calibri" w:eastAsia="Calibri" w:hAnsi="Calibri" w:cs="Calibri"/>
          <w:color w:val="000000"/>
          <w:sz w:val="24"/>
          <w:szCs w:val="24"/>
          <w:shd w:val="clear" w:color="auto" w:fill="FFFFFF"/>
        </w:rPr>
      </w:pPr>
    </w:p>
    <w:p w14:paraId="378BA6DC" w14:textId="77777777" w:rsidR="00B461D8" w:rsidRPr="00B461D8" w:rsidRDefault="00B461D8" w:rsidP="00332B6A">
      <w:pPr>
        <w:spacing w:line="276" w:lineRule="auto"/>
        <w:rPr>
          <w:rFonts w:ascii="Calibri" w:eastAsia="Calibri" w:hAnsi="Calibri" w:cs="Calibri"/>
          <w:bCs/>
          <w:sz w:val="24"/>
          <w:szCs w:val="24"/>
          <w:lang w:val="lt-LT"/>
        </w:rPr>
      </w:pPr>
      <w:r w:rsidRPr="00B461D8">
        <w:rPr>
          <w:rFonts w:ascii="Calibri" w:eastAsia="Calibri" w:hAnsi="Calibri" w:cs="Calibri"/>
          <w:sz w:val="24"/>
          <w:szCs w:val="24"/>
        </w:rPr>
        <w:t xml:space="preserve">      </w:t>
      </w:r>
      <w:r w:rsidRPr="00B461D8">
        <w:rPr>
          <w:rFonts w:ascii="Calibri" w:eastAsia="Calibri" w:hAnsi="Calibri" w:cs="Calibri"/>
          <w:bCs/>
          <w:sz w:val="24"/>
          <w:szCs w:val="24"/>
          <w:lang w:val="lt"/>
        </w:rPr>
        <w:t xml:space="preserve">Atsižvelgiant į aukščiau išdėstytą, Tarnyba rekomenduoja peržiūrėti ir patikslinti Pirkimo dokumentų nuostatas pagal pateiktą Rekomendaciją. Primename, kad Perkančioji organizacija, patikslinusi Pirkimo dokumentus, turi visus pakeitimus paskelbti viešai CVP IS ir prireikus pratęsti pasiūlymų pateikimo terminą protingumo kriterijų atitinkančiam laikotarpiui, per kurį tiekėjai, rengdami pasiūlymus, galėtų atsižvelgti į patikslinimus. Pažymėtina, kad visais atvejais sprendimą dėl tolimesnio Pirkimo procedūrų vykdymo ar nutraukimo priima pati Perkančioji organizacija, vadovaudamasi </w:t>
      </w:r>
      <w:r w:rsidRPr="00B461D8">
        <w:rPr>
          <w:rFonts w:ascii="Calibri" w:eastAsia="Calibri" w:hAnsi="Calibri" w:cs="Calibri"/>
          <w:bCs/>
          <w:sz w:val="24"/>
          <w:szCs w:val="24"/>
          <w:lang w:val="lt-LT"/>
        </w:rPr>
        <w:t>Įstatymo 29 straipsnio 3</w:t>
      </w:r>
      <w:r w:rsidRPr="00B461D8">
        <w:rPr>
          <w:rFonts w:ascii="Calibri" w:eastAsia="Calibri" w:hAnsi="Calibri" w:cs="Calibri"/>
          <w:bCs/>
          <w:sz w:val="24"/>
          <w:szCs w:val="24"/>
          <w:vertAlign w:val="superscript"/>
          <w:lang w:val="lt-LT"/>
        </w:rPr>
        <w:footnoteReference w:id="2"/>
      </w:r>
      <w:r w:rsidRPr="00B461D8">
        <w:rPr>
          <w:rFonts w:ascii="Calibri" w:eastAsia="Calibri" w:hAnsi="Calibri" w:cs="Calibri"/>
          <w:bCs/>
          <w:sz w:val="24"/>
          <w:szCs w:val="24"/>
          <w:lang w:val="lt-LT"/>
        </w:rPr>
        <w:t xml:space="preserve"> ir 4</w:t>
      </w:r>
      <w:r w:rsidRPr="00B461D8">
        <w:rPr>
          <w:rFonts w:ascii="Calibri" w:eastAsia="Calibri" w:hAnsi="Calibri" w:cs="Calibri"/>
          <w:bCs/>
          <w:sz w:val="24"/>
          <w:szCs w:val="24"/>
          <w:vertAlign w:val="superscript"/>
          <w:lang w:val="lt-LT"/>
        </w:rPr>
        <w:footnoteReference w:id="3"/>
      </w:r>
      <w:r w:rsidRPr="00B461D8">
        <w:rPr>
          <w:rFonts w:ascii="Calibri" w:eastAsia="Calibri" w:hAnsi="Calibri" w:cs="Calibri"/>
          <w:bCs/>
          <w:sz w:val="24"/>
          <w:szCs w:val="24"/>
          <w:lang w:val="lt-LT"/>
        </w:rPr>
        <w:t xml:space="preserve"> dalių nuostatomis.</w:t>
      </w:r>
    </w:p>
    <w:p w14:paraId="5379580B" w14:textId="77777777" w:rsidR="00B461D8" w:rsidRPr="00B461D8" w:rsidRDefault="00B461D8" w:rsidP="00332B6A">
      <w:pPr>
        <w:spacing w:line="276" w:lineRule="auto"/>
        <w:rPr>
          <w:rFonts w:ascii="Calibri" w:eastAsia="Calibri" w:hAnsi="Calibri" w:cs="Calibri"/>
          <w:sz w:val="24"/>
          <w:szCs w:val="24"/>
        </w:rPr>
      </w:pPr>
    </w:p>
    <w:p w14:paraId="673D4662" w14:textId="77777777" w:rsidR="00C87E6C" w:rsidRPr="00332B6A" w:rsidRDefault="00C87E6C" w:rsidP="00332B6A">
      <w:pPr>
        <w:spacing w:line="276" w:lineRule="auto"/>
        <w:rPr>
          <w:rFonts w:ascii="Calibri" w:hAnsi="Calibri" w:cs="Calibri"/>
          <w:sz w:val="24"/>
          <w:szCs w:val="24"/>
        </w:rPr>
      </w:pPr>
    </w:p>
    <w:sectPr w:rsidR="00C87E6C" w:rsidRPr="00332B6A" w:rsidSect="00B461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87D61" w14:textId="77777777" w:rsidR="00D22EBF" w:rsidRDefault="00D22EBF" w:rsidP="00B461D8">
      <w:pPr>
        <w:spacing w:after="0" w:line="240" w:lineRule="auto"/>
      </w:pPr>
      <w:r>
        <w:separator/>
      </w:r>
    </w:p>
  </w:endnote>
  <w:endnote w:type="continuationSeparator" w:id="0">
    <w:p w14:paraId="4A4AC6BB" w14:textId="77777777" w:rsidR="00D22EBF" w:rsidRDefault="00D22EBF" w:rsidP="00B4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2D7A7" w14:textId="77777777" w:rsidR="00D22EBF" w:rsidRDefault="00D22EBF" w:rsidP="00B461D8">
      <w:pPr>
        <w:spacing w:after="0" w:line="240" w:lineRule="auto"/>
      </w:pPr>
      <w:r>
        <w:separator/>
      </w:r>
    </w:p>
  </w:footnote>
  <w:footnote w:type="continuationSeparator" w:id="0">
    <w:p w14:paraId="745860F0" w14:textId="77777777" w:rsidR="00D22EBF" w:rsidRDefault="00D22EBF" w:rsidP="00B461D8">
      <w:pPr>
        <w:spacing w:after="0" w:line="240" w:lineRule="auto"/>
      </w:pPr>
      <w:r>
        <w:continuationSeparator/>
      </w:r>
    </w:p>
  </w:footnote>
  <w:footnote w:id="1">
    <w:p w14:paraId="6E370ECB" w14:textId="77777777" w:rsidR="007A336C" w:rsidRPr="00CC2E49" w:rsidRDefault="007A336C" w:rsidP="007A336C">
      <w:pPr>
        <w:pStyle w:val="FootnoteText"/>
        <w:rPr>
          <w:rFonts w:cs="Calibri"/>
        </w:rPr>
      </w:pPr>
      <w:r w:rsidRPr="00CC2E49">
        <w:rPr>
          <w:rStyle w:val="FootnoteReference"/>
          <w:rFonts w:cs="Calibri"/>
        </w:rPr>
        <w:footnoteRef/>
      </w:r>
      <w:r w:rsidRPr="00CC2E49">
        <w:rPr>
          <w:rFonts w:cs="Calibri"/>
        </w:rPr>
        <w:t xml:space="preserve"> Įstatymo 35 straipsnio 4 dalies nuostata „Pirkimo dokumentai turi būti tikslūs, aiškūs, be dviprasmybių, kad tiekėjai galėtų pateikti pasiūlymus, o perkančioji organizacija – nupirkti tai, ko reikia“.</w:t>
      </w:r>
    </w:p>
  </w:footnote>
  <w:footnote w:id="2">
    <w:p w14:paraId="1240F93E" w14:textId="77777777" w:rsidR="00B461D8" w:rsidRPr="00B461D8" w:rsidRDefault="00B461D8" w:rsidP="00B461D8">
      <w:pPr>
        <w:pStyle w:val="FT1"/>
        <w:jc w:val="both"/>
        <w:rPr>
          <w:rFonts w:cs="Calibri"/>
        </w:rPr>
      </w:pPr>
      <w:r w:rsidRPr="004E2975">
        <w:rPr>
          <w:rStyle w:val="FootnoteReference"/>
          <w:rFonts w:ascii="Times New Roman" w:hAnsi="Times New Roman" w:cs="Times New Roman"/>
        </w:rPr>
        <w:footnoteRef/>
      </w:r>
      <w:r w:rsidRPr="004E2975">
        <w:rPr>
          <w:rFonts w:ascii="Times New Roman" w:hAnsi="Times New Roman" w:cs="Times New Roman"/>
        </w:rPr>
        <w:t xml:space="preserve"> </w:t>
      </w:r>
      <w:r w:rsidRPr="004E2975">
        <w:rPr>
          <w:rFonts w:ascii="Times New Roman" w:hAnsi="Times New Roman" w:cs="Times New Roman"/>
          <w:i/>
          <w:iCs/>
        </w:rPr>
        <w:t>„</w:t>
      </w:r>
      <w:r w:rsidRPr="00B461D8">
        <w:rPr>
          <w:rFonts w:cs="Calibri"/>
          <w:bCs/>
          <w:color w:val="000000"/>
        </w:rPr>
        <w:t>Perkančioji</w:t>
      </w:r>
      <w:r w:rsidRPr="00B461D8">
        <w:rPr>
          <w:rFonts w:cs="Calibri"/>
          <w:color w:val="000000"/>
        </w:rPr>
        <w:t xml:space="preserve"> organizacija privalo </w:t>
      </w:r>
      <w:r w:rsidRPr="00B461D8">
        <w:rPr>
          <w:rFonts w:cs="Calibri"/>
          <w:bCs/>
          <w:color w:val="000000"/>
        </w:rPr>
        <w:t>nutraukti pradėtas pirkimo ar projekto konkurso procedūras</w:t>
      </w:r>
      <w:r w:rsidRPr="00B461D8">
        <w:rPr>
          <w:rFonts w:cs="Calibri"/>
          <w:color w:val="000000"/>
        </w:rPr>
        <w:t>, jeigu buvo pažeisti šio įstatymo 17 straipsnio 1 dalyje nustatyti principai ir atitinkamos padėties negalima ištaisyti.“</w:t>
      </w:r>
    </w:p>
  </w:footnote>
  <w:footnote w:id="3">
    <w:p w14:paraId="61A677B8" w14:textId="77777777" w:rsidR="00B461D8" w:rsidRPr="00B461D8" w:rsidRDefault="00B461D8" w:rsidP="00B461D8">
      <w:pPr>
        <w:pStyle w:val="FT1"/>
        <w:jc w:val="both"/>
        <w:rPr>
          <w:rFonts w:cs="Calibri"/>
          <w:i/>
          <w:iCs/>
        </w:rPr>
      </w:pPr>
      <w:r w:rsidRPr="00B461D8">
        <w:rPr>
          <w:rStyle w:val="FootnoteReference"/>
          <w:rFonts w:cs="Calibri"/>
        </w:rPr>
        <w:footnoteRef/>
      </w:r>
      <w:r w:rsidRPr="00B461D8">
        <w:rPr>
          <w:rFonts w:cs="Calibri"/>
        </w:rPr>
        <w:t>„</w:t>
      </w:r>
      <w:r w:rsidRPr="00B461D8">
        <w:rPr>
          <w:rFonts w:cs="Calibri"/>
          <w:bCs/>
          <w:color w:val="000000"/>
        </w:rPr>
        <w:t xml:space="preserve">Perkančioji organizacija turi teisę savo iniciatyva nutraukti pradėtas pirkimo ar projekto konkurso procedūras, jeigu atsirado aplinkybių, kurių nebuvo galima numatyti, arba </w:t>
      </w:r>
      <w:r w:rsidRPr="00B461D8">
        <w:rPr>
          <w:rFonts w:cs="Calibri"/>
          <w:bCs/>
          <w:color w:val="000000"/>
          <w:lang w:eastAsia="lt-LT"/>
        </w:rPr>
        <w:t>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287A"/>
    <w:multiLevelType w:val="multilevel"/>
    <w:tmpl w:val="A22ABDCC"/>
    <w:lvl w:ilvl="0">
      <w:start w:val="1"/>
      <w:numFmt w:val="decimal"/>
      <w:lvlText w:val="%1."/>
      <w:lvlJc w:val="left"/>
      <w:pPr>
        <w:ind w:left="927" w:hanging="360"/>
      </w:pPr>
      <w:rPr>
        <w:rFonts w:ascii="Calibri" w:hAnsi="Calibri" w:cs="Calibri" w:hint="default"/>
      </w:rPr>
    </w:lvl>
    <w:lvl w:ilvl="1">
      <w:start w:val="1"/>
      <w:numFmt w:val="decimal"/>
      <w:isLgl/>
      <w:lvlText w:val="%1.%2."/>
      <w:lvlJc w:val="left"/>
      <w:pPr>
        <w:ind w:left="927" w:hanging="360"/>
      </w:pPr>
      <w:rPr>
        <w:rFonts w:eastAsia="Calibri" w:hint="default"/>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2007" w:hanging="144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367" w:hanging="1800"/>
      </w:pPr>
      <w:rPr>
        <w:rFonts w:eastAsia="Calibri" w:hint="default"/>
      </w:rPr>
    </w:lvl>
  </w:abstractNum>
  <w:abstractNum w:abstractNumId="1" w15:restartNumberingAfterBreak="0">
    <w:nsid w:val="0FD936AD"/>
    <w:multiLevelType w:val="multilevel"/>
    <w:tmpl w:val="861443C6"/>
    <w:lvl w:ilvl="0">
      <w:start w:val="1"/>
      <w:numFmt w:val="decimal"/>
      <w:lvlText w:val="%1."/>
      <w:lvlJc w:val="left"/>
      <w:pPr>
        <w:ind w:left="420" w:hanging="420"/>
      </w:pPr>
      <w:rPr>
        <w:rFonts w:cstheme="minorHAnsi" w:hint="default"/>
        <w:sz w:val="24"/>
      </w:rPr>
    </w:lvl>
    <w:lvl w:ilvl="1">
      <w:start w:val="1"/>
      <w:numFmt w:val="decimal"/>
      <w:lvlText w:val="%1.%2."/>
      <w:lvlJc w:val="left"/>
      <w:pPr>
        <w:ind w:left="420" w:hanging="420"/>
      </w:pPr>
      <w:rPr>
        <w:rFonts w:cstheme="minorHAnsi" w:hint="default"/>
        <w:sz w:val="24"/>
      </w:rPr>
    </w:lvl>
    <w:lvl w:ilvl="2">
      <w:start w:val="1"/>
      <w:numFmt w:val="decimal"/>
      <w:lvlText w:val="%1.%2.%3."/>
      <w:lvlJc w:val="left"/>
      <w:pPr>
        <w:ind w:left="720" w:hanging="720"/>
      </w:pPr>
      <w:rPr>
        <w:rFonts w:cstheme="minorHAnsi" w:hint="default"/>
        <w:sz w:val="24"/>
      </w:rPr>
    </w:lvl>
    <w:lvl w:ilvl="3">
      <w:start w:val="1"/>
      <w:numFmt w:val="decimal"/>
      <w:lvlText w:val="%1.%2.%3.%4."/>
      <w:lvlJc w:val="left"/>
      <w:pPr>
        <w:ind w:left="720" w:hanging="720"/>
      </w:pPr>
      <w:rPr>
        <w:rFonts w:cstheme="minorHAnsi" w:hint="default"/>
        <w:sz w:val="24"/>
      </w:rPr>
    </w:lvl>
    <w:lvl w:ilvl="4">
      <w:start w:val="1"/>
      <w:numFmt w:val="decimal"/>
      <w:lvlText w:val="%1.%2.%3.%4.%5."/>
      <w:lvlJc w:val="left"/>
      <w:pPr>
        <w:ind w:left="1080" w:hanging="1080"/>
      </w:pPr>
      <w:rPr>
        <w:rFonts w:cstheme="minorHAnsi" w:hint="default"/>
        <w:sz w:val="24"/>
      </w:rPr>
    </w:lvl>
    <w:lvl w:ilvl="5">
      <w:start w:val="1"/>
      <w:numFmt w:val="decimal"/>
      <w:lvlText w:val="%1.%2.%3.%4.%5.%6."/>
      <w:lvlJc w:val="left"/>
      <w:pPr>
        <w:ind w:left="1080" w:hanging="1080"/>
      </w:pPr>
      <w:rPr>
        <w:rFonts w:cstheme="minorHAnsi" w:hint="default"/>
        <w:sz w:val="24"/>
      </w:rPr>
    </w:lvl>
    <w:lvl w:ilvl="6">
      <w:start w:val="1"/>
      <w:numFmt w:val="decimal"/>
      <w:lvlText w:val="%1.%2.%3.%4.%5.%6.%7."/>
      <w:lvlJc w:val="left"/>
      <w:pPr>
        <w:ind w:left="1440" w:hanging="1440"/>
      </w:pPr>
      <w:rPr>
        <w:rFonts w:cstheme="minorHAnsi" w:hint="default"/>
        <w:sz w:val="24"/>
      </w:rPr>
    </w:lvl>
    <w:lvl w:ilvl="7">
      <w:start w:val="1"/>
      <w:numFmt w:val="decimal"/>
      <w:lvlText w:val="%1.%2.%3.%4.%5.%6.%7.%8."/>
      <w:lvlJc w:val="left"/>
      <w:pPr>
        <w:ind w:left="1440" w:hanging="1440"/>
      </w:pPr>
      <w:rPr>
        <w:rFonts w:cstheme="minorHAnsi" w:hint="default"/>
        <w:sz w:val="24"/>
      </w:rPr>
    </w:lvl>
    <w:lvl w:ilvl="8">
      <w:start w:val="1"/>
      <w:numFmt w:val="decimal"/>
      <w:lvlText w:val="%1.%2.%3.%4.%5.%6.%7.%8.%9."/>
      <w:lvlJc w:val="left"/>
      <w:pPr>
        <w:ind w:left="1800" w:hanging="1800"/>
      </w:pPr>
      <w:rPr>
        <w:rFonts w:cstheme="minorHAnsi" w:hint="default"/>
        <w:sz w:val="24"/>
      </w:rPr>
    </w:lvl>
  </w:abstractNum>
  <w:abstractNum w:abstractNumId="2" w15:restartNumberingAfterBreak="0">
    <w:nsid w:val="18C86A2F"/>
    <w:multiLevelType w:val="hybridMultilevel"/>
    <w:tmpl w:val="85EC4B14"/>
    <w:lvl w:ilvl="0" w:tplc="699C21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7CA4326"/>
    <w:multiLevelType w:val="multilevel"/>
    <w:tmpl w:val="E25470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1973293">
    <w:abstractNumId w:val="1"/>
  </w:num>
  <w:num w:numId="2" w16cid:durableId="1192957671">
    <w:abstractNumId w:val="3"/>
  </w:num>
  <w:num w:numId="3" w16cid:durableId="1634093797">
    <w:abstractNumId w:val="0"/>
  </w:num>
  <w:num w:numId="4" w16cid:durableId="53335295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7989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63"/>
    <w:rsid w:val="000011FC"/>
    <w:rsid w:val="00013D49"/>
    <w:rsid w:val="0008343A"/>
    <w:rsid w:val="00086043"/>
    <w:rsid w:val="00097CD6"/>
    <w:rsid w:val="000A706A"/>
    <w:rsid w:val="000D2AC7"/>
    <w:rsid w:val="000D5D81"/>
    <w:rsid w:val="000E164E"/>
    <w:rsid w:val="000E2811"/>
    <w:rsid w:val="00110459"/>
    <w:rsid w:val="00132613"/>
    <w:rsid w:val="001419EF"/>
    <w:rsid w:val="00142159"/>
    <w:rsid w:val="00166713"/>
    <w:rsid w:val="00187A2D"/>
    <w:rsid w:val="0019605A"/>
    <w:rsid w:val="0019693D"/>
    <w:rsid w:val="001B4AB2"/>
    <w:rsid w:val="001F3E2D"/>
    <w:rsid w:val="001F6E7C"/>
    <w:rsid w:val="00221310"/>
    <w:rsid w:val="0022717B"/>
    <w:rsid w:val="00271DED"/>
    <w:rsid w:val="00286B37"/>
    <w:rsid w:val="002A4A62"/>
    <w:rsid w:val="002B5C99"/>
    <w:rsid w:val="002D7777"/>
    <w:rsid w:val="002D7CEB"/>
    <w:rsid w:val="002E2AC8"/>
    <w:rsid w:val="002F59FD"/>
    <w:rsid w:val="002F6194"/>
    <w:rsid w:val="003171D5"/>
    <w:rsid w:val="00332B6A"/>
    <w:rsid w:val="00340D13"/>
    <w:rsid w:val="00342001"/>
    <w:rsid w:val="00355816"/>
    <w:rsid w:val="00371DA4"/>
    <w:rsid w:val="00372C5C"/>
    <w:rsid w:val="003A4406"/>
    <w:rsid w:val="003C1746"/>
    <w:rsid w:val="003F6C36"/>
    <w:rsid w:val="004077CE"/>
    <w:rsid w:val="00432C57"/>
    <w:rsid w:val="00445F85"/>
    <w:rsid w:val="00446E44"/>
    <w:rsid w:val="004502A3"/>
    <w:rsid w:val="00456862"/>
    <w:rsid w:val="00467D94"/>
    <w:rsid w:val="004C4068"/>
    <w:rsid w:val="00504AE6"/>
    <w:rsid w:val="00525F1C"/>
    <w:rsid w:val="00535EA6"/>
    <w:rsid w:val="005433B5"/>
    <w:rsid w:val="00557ED1"/>
    <w:rsid w:val="0058342A"/>
    <w:rsid w:val="005A0659"/>
    <w:rsid w:val="005C1F0D"/>
    <w:rsid w:val="005E2E10"/>
    <w:rsid w:val="005E60C5"/>
    <w:rsid w:val="005F2749"/>
    <w:rsid w:val="0066455E"/>
    <w:rsid w:val="006B47FB"/>
    <w:rsid w:val="006B6596"/>
    <w:rsid w:val="006B7EC0"/>
    <w:rsid w:val="006C64E8"/>
    <w:rsid w:val="006D5E92"/>
    <w:rsid w:val="006E0BE5"/>
    <w:rsid w:val="006E4CB2"/>
    <w:rsid w:val="0071011F"/>
    <w:rsid w:val="00712E2E"/>
    <w:rsid w:val="007209DE"/>
    <w:rsid w:val="007350BB"/>
    <w:rsid w:val="007578AE"/>
    <w:rsid w:val="00762C57"/>
    <w:rsid w:val="00764B60"/>
    <w:rsid w:val="00766633"/>
    <w:rsid w:val="00781409"/>
    <w:rsid w:val="00790E68"/>
    <w:rsid w:val="0079628C"/>
    <w:rsid w:val="007A336C"/>
    <w:rsid w:val="007A371C"/>
    <w:rsid w:val="00814A6D"/>
    <w:rsid w:val="00851BA0"/>
    <w:rsid w:val="0086313A"/>
    <w:rsid w:val="00865776"/>
    <w:rsid w:val="0087359B"/>
    <w:rsid w:val="008760AA"/>
    <w:rsid w:val="00896091"/>
    <w:rsid w:val="0089749B"/>
    <w:rsid w:val="008A5848"/>
    <w:rsid w:val="00906E66"/>
    <w:rsid w:val="00910E1A"/>
    <w:rsid w:val="009517D7"/>
    <w:rsid w:val="009565D4"/>
    <w:rsid w:val="0096344C"/>
    <w:rsid w:val="0096451F"/>
    <w:rsid w:val="009B4F8B"/>
    <w:rsid w:val="009B6BCB"/>
    <w:rsid w:val="009D47B9"/>
    <w:rsid w:val="009E433A"/>
    <w:rsid w:val="009F4D5A"/>
    <w:rsid w:val="00A11724"/>
    <w:rsid w:val="00A23B9E"/>
    <w:rsid w:val="00A56900"/>
    <w:rsid w:val="00A7387B"/>
    <w:rsid w:val="00A77944"/>
    <w:rsid w:val="00A855AA"/>
    <w:rsid w:val="00A96936"/>
    <w:rsid w:val="00AA6D3E"/>
    <w:rsid w:val="00AB29EE"/>
    <w:rsid w:val="00AC16B7"/>
    <w:rsid w:val="00AE3C74"/>
    <w:rsid w:val="00B266C7"/>
    <w:rsid w:val="00B26B46"/>
    <w:rsid w:val="00B461D8"/>
    <w:rsid w:val="00B479D4"/>
    <w:rsid w:val="00B60C76"/>
    <w:rsid w:val="00B852F8"/>
    <w:rsid w:val="00B90E1B"/>
    <w:rsid w:val="00BC613C"/>
    <w:rsid w:val="00BF13AD"/>
    <w:rsid w:val="00C11463"/>
    <w:rsid w:val="00C21114"/>
    <w:rsid w:val="00C25294"/>
    <w:rsid w:val="00C721D1"/>
    <w:rsid w:val="00C87E6C"/>
    <w:rsid w:val="00CA0605"/>
    <w:rsid w:val="00CB164B"/>
    <w:rsid w:val="00CC2E49"/>
    <w:rsid w:val="00CE3ED3"/>
    <w:rsid w:val="00CF1B39"/>
    <w:rsid w:val="00CF42F1"/>
    <w:rsid w:val="00CF620C"/>
    <w:rsid w:val="00D22EBF"/>
    <w:rsid w:val="00D30DCC"/>
    <w:rsid w:val="00D31892"/>
    <w:rsid w:val="00D3317E"/>
    <w:rsid w:val="00D63B43"/>
    <w:rsid w:val="00D66D14"/>
    <w:rsid w:val="00D81B55"/>
    <w:rsid w:val="00D81B92"/>
    <w:rsid w:val="00D81D75"/>
    <w:rsid w:val="00DA27F4"/>
    <w:rsid w:val="00DA406F"/>
    <w:rsid w:val="00DC46BD"/>
    <w:rsid w:val="00DC5164"/>
    <w:rsid w:val="00E13BE2"/>
    <w:rsid w:val="00E2349F"/>
    <w:rsid w:val="00E23CA3"/>
    <w:rsid w:val="00E31FE7"/>
    <w:rsid w:val="00E55107"/>
    <w:rsid w:val="00EA13D1"/>
    <w:rsid w:val="00EA3A38"/>
    <w:rsid w:val="00EE65B5"/>
    <w:rsid w:val="00EE77BE"/>
    <w:rsid w:val="00F0091D"/>
    <w:rsid w:val="00F0544C"/>
    <w:rsid w:val="00F16DC4"/>
    <w:rsid w:val="00F2730F"/>
    <w:rsid w:val="00F41261"/>
    <w:rsid w:val="00F70744"/>
    <w:rsid w:val="00F83BCF"/>
    <w:rsid w:val="00F875E8"/>
    <w:rsid w:val="00F91541"/>
    <w:rsid w:val="00FB2CF6"/>
    <w:rsid w:val="00FB59E9"/>
    <w:rsid w:val="00FC1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DFB46"/>
  <w15:chartTrackingRefBased/>
  <w15:docId w15:val="{7FB9C67C-0B42-465A-92B7-FEA1EC7B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4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4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4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4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4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4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4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4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4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4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4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4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4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4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4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463"/>
    <w:rPr>
      <w:rFonts w:eastAsiaTheme="majorEastAsia" w:cstheme="majorBidi"/>
      <w:color w:val="272727" w:themeColor="text1" w:themeTint="D8"/>
    </w:rPr>
  </w:style>
  <w:style w:type="paragraph" w:styleId="Title">
    <w:name w:val="Title"/>
    <w:basedOn w:val="Normal"/>
    <w:next w:val="Normal"/>
    <w:link w:val="TitleChar"/>
    <w:uiPriority w:val="10"/>
    <w:qFormat/>
    <w:rsid w:val="00C11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4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4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4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463"/>
    <w:pPr>
      <w:spacing w:before="160"/>
      <w:jc w:val="center"/>
    </w:pPr>
    <w:rPr>
      <w:i/>
      <w:iCs/>
      <w:color w:val="404040" w:themeColor="text1" w:themeTint="BF"/>
    </w:rPr>
  </w:style>
  <w:style w:type="character" w:customStyle="1" w:styleId="QuoteChar">
    <w:name w:val="Quote Char"/>
    <w:basedOn w:val="DefaultParagraphFont"/>
    <w:link w:val="Quote"/>
    <w:uiPriority w:val="29"/>
    <w:rsid w:val="00C11463"/>
    <w:rPr>
      <w:i/>
      <w:iCs/>
      <w:color w:val="404040" w:themeColor="text1" w:themeTint="BF"/>
    </w:rPr>
  </w:style>
  <w:style w:type="paragraph" w:styleId="ListParagraph">
    <w:name w:val="List Paragraph"/>
    <w:basedOn w:val="Normal"/>
    <w:uiPriority w:val="34"/>
    <w:qFormat/>
    <w:rsid w:val="00C11463"/>
    <w:pPr>
      <w:ind w:left="720"/>
      <w:contextualSpacing/>
    </w:pPr>
  </w:style>
  <w:style w:type="character" w:styleId="IntenseEmphasis">
    <w:name w:val="Intense Emphasis"/>
    <w:basedOn w:val="DefaultParagraphFont"/>
    <w:uiPriority w:val="21"/>
    <w:qFormat/>
    <w:rsid w:val="00C11463"/>
    <w:rPr>
      <w:i/>
      <w:iCs/>
      <w:color w:val="0F4761" w:themeColor="accent1" w:themeShade="BF"/>
    </w:rPr>
  </w:style>
  <w:style w:type="paragraph" w:styleId="IntenseQuote">
    <w:name w:val="Intense Quote"/>
    <w:basedOn w:val="Normal"/>
    <w:next w:val="Normal"/>
    <w:link w:val="IntenseQuoteChar"/>
    <w:uiPriority w:val="30"/>
    <w:qFormat/>
    <w:rsid w:val="00C11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463"/>
    <w:rPr>
      <w:i/>
      <w:iCs/>
      <w:color w:val="0F4761" w:themeColor="accent1" w:themeShade="BF"/>
    </w:rPr>
  </w:style>
  <w:style w:type="character" w:styleId="IntenseReference">
    <w:name w:val="Intense Reference"/>
    <w:basedOn w:val="DefaultParagraphFont"/>
    <w:uiPriority w:val="32"/>
    <w:qFormat/>
    <w:rsid w:val="00C11463"/>
    <w:rPr>
      <w:b/>
      <w:bCs/>
      <w:smallCaps/>
      <w:color w:val="0F4761" w:themeColor="accent1" w:themeShade="BF"/>
      <w:spacing w:val="5"/>
    </w:rPr>
  </w:style>
  <w:style w:type="paragraph" w:customStyle="1" w:styleId="FT1">
    <w:name w:val="FT1"/>
    <w:basedOn w:val="Normal"/>
    <w:next w:val="FootnoteText"/>
    <w:link w:val="FootnoteTextChar"/>
    <w:unhideWhenUsed/>
    <w:qFormat/>
    <w:rsid w:val="00B461D8"/>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T1"/>
    <w:qFormat/>
    <w:rsid w:val="00B461D8"/>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B461D8"/>
    <w:rPr>
      <w:vertAlign w:val="superscript"/>
    </w:rPr>
  </w:style>
  <w:style w:type="character" w:customStyle="1" w:styleId="normaltextrun">
    <w:name w:val="normaltextrun"/>
    <w:basedOn w:val="DefaultParagraphFont"/>
    <w:rsid w:val="00B461D8"/>
  </w:style>
  <w:style w:type="character" w:customStyle="1" w:styleId="findhit">
    <w:name w:val="findhit"/>
    <w:basedOn w:val="DefaultParagraphFont"/>
    <w:rsid w:val="00B461D8"/>
  </w:style>
  <w:style w:type="paragraph" w:styleId="FootnoteText">
    <w:name w:val="footnote text"/>
    <w:basedOn w:val="Normal"/>
    <w:link w:val="FootnoteTextChar1"/>
    <w:uiPriority w:val="99"/>
    <w:semiHidden/>
    <w:unhideWhenUsed/>
    <w:rsid w:val="00B461D8"/>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B461D8"/>
    <w:rPr>
      <w:sz w:val="20"/>
      <w:szCs w:val="20"/>
    </w:rPr>
  </w:style>
  <w:style w:type="paragraph" w:styleId="Revision">
    <w:name w:val="Revision"/>
    <w:hidden/>
    <w:uiPriority w:val="99"/>
    <w:semiHidden/>
    <w:rsid w:val="00B26B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17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1007</Words>
  <Characters>5741</Characters>
  <Application>Microsoft Office Word</Application>
  <DocSecurity>0</DocSecurity>
  <Lines>47</Lines>
  <Paragraphs>13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4</cp:revision>
  <dcterms:created xsi:type="dcterms:W3CDTF">2024-05-21T06:22:00Z</dcterms:created>
  <dcterms:modified xsi:type="dcterms:W3CDTF">2024-05-22T04:15:00Z</dcterms:modified>
</cp:coreProperties>
</file>