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D744750" w14:textId="5CE7A6B7" w:rsidR="0028646C" w:rsidRPr="00CB501F" w:rsidRDefault="0028646C" w:rsidP="00EF5131">
      <w:pPr>
        <w:spacing w:before="100" w:beforeAutospacing="1" w:after="100" w:afterAutospacing="1" w:line="240" w:lineRule="auto"/>
        <w:ind w:firstLine="567"/>
        <w:contextualSpacing/>
        <w:rPr>
          <w:rFonts w:cstheme="minorHAnsi"/>
          <w:sz w:val="24"/>
          <w:szCs w:val="24"/>
          <w:lang w:eastAsia="lt-LT"/>
        </w:rPr>
      </w:pPr>
      <w:r w:rsidRPr="00CB501F">
        <w:rPr>
          <w:rFonts w:cstheme="minorHAnsi"/>
          <w:sz w:val="24"/>
          <w:szCs w:val="24"/>
          <w:lang w:eastAsia="lt-LT"/>
        </w:rPr>
        <w:t>Viešųjų pirkimų tarnyba (toliau – Tarnyba), vadovaudamasi Lietuvos Respublikos viešųjų pirkimų įstatymo (toliau – Įstatymas) 95 straipsnio 1 dalies 2 punkto nuostatomis, vykdo Įstatymo ir su jo įgyvendinimu susijusių teisės aktų pažeidimų prevenciją.</w:t>
      </w:r>
    </w:p>
    <w:p w14:paraId="6E562E1F" w14:textId="2025C775" w:rsidR="00B92B06" w:rsidRDefault="0028646C" w:rsidP="00433B5E">
      <w:pPr>
        <w:spacing w:before="100" w:beforeAutospacing="1" w:after="100" w:afterAutospacing="1" w:line="240" w:lineRule="auto"/>
        <w:ind w:firstLine="567"/>
        <w:contextualSpacing/>
        <w:rPr>
          <w:rFonts w:cstheme="minorHAnsi"/>
          <w:sz w:val="24"/>
          <w:szCs w:val="24"/>
          <w:lang w:eastAsia="lt-LT"/>
        </w:rPr>
      </w:pPr>
      <w:r w:rsidRPr="00CB501F">
        <w:rPr>
          <w:rFonts w:cstheme="minorHAnsi"/>
          <w:sz w:val="24"/>
          <w:szCs w:val="24"/>
          <w:lang w:eastAsia="lt-LT"/>
        </w:rPr>
        <w:t xml:space="preserve">Vadovaujantis Tarnybai Įstatyme nustatyta pažeidimų prevencijos funkcija, šiuo metu atliekama </w:t>
      </w:r>
      <w:r w:rsidR="00433B5E" w:rsidRPr="00433B5E">
        <w:rPr>
          <w:rFonts w:cstheme="minorHAnsi"/>
          <w:sz w:val="24"/>
          <w:szCs w:val="24"/>
          <w:lang w:eastAsia="lt-LT"/>
        </w:rPr>
        <w:t xml:space="preserve">Viešosios įstaigos Prienų ligoninė (toliau - Perkančioji organizacija) </w:t>
      </w:r>
      <w:r w:rsidR="00433B5E" w:rsidRPr="00433B5E">
        <w:rPr>
          <w:rFonts w:cstheme="minorHAnsi"/>
          <w:b/>
          <w:bCs/>
          <w:sz w:val="24"/>
          <w:szCs w:val="24"/>
          <w:lang w:eastAsia="lt-LT"/>
        </w:rPr>
        <w:t>vykdomo pirkimo Nr. 716429 "Ultragarsinės diagnostinės sistemos pirkimas"</w:t>
      </w:r>
      <w:r w:rsidR="00433B5E" w:rsidRPr="00433B5E">
        <w:rPr>
          <w:rFonts w:cstheme="minorHAnsi"/>
          <w:sz w:val="24"/>
          <w:szCs w:val="24"/>
          <w:lang w:eastAsia="lt-LT"/>
        </w:rPr>
        <w:t xml:space="preserve"> (toliau - Pirkimas) dokumentų atitikties Įstatymui</w:t>
      </w:r>
      <w:r w:rsidR="00433B5E">
        <w:rPr>
          <w:rFonts w:cstheme="minorHAnsi"/>
          <w:sz w:val="24"/>
          <w:szCs w:val="24"/>
          <w:lang w:eastAsia="lt-LT"/>
        </w:rPr>
        <w:t xml:space="preserve"> </w:t>
      </w:r>
      <w:r w:rsidR="00433B5E" w:rsidRPr="00433B5E">
        <w:rPr>
          <w:rFonts w:cstheme="minorHAnsi"/>
          <w:sz w:val="24"/>
          <w:szCs w:val="24"/>
          <w:lang w:eastAsia="lt-LT"/>
        </w:rPr>
        <w:t>ir su jo įgyvendinimu susijusiems teisės aktams peržiūra (peržiūra prevenciniais tikslais atliekama tam tikra apimtimi).</w:t>
      </w:r>
    </w:p>
    <w:p w14:paraId="04A68DA6" w14:textId="77777777" w:rsidR="006641B1" w:rsidRDefault="006641B1" w:rsidP="00433B5E">
      <w:pPr>
        <w:spacing w:before="100" w:beforeAutospacing="1" w:after="100" w:afterAutospacing="1" w:line="240" w:lineRule="auto"/>
        <w:ind w:firstLine="567"/>
        <w:contextualSpacing/>
        <w:rPr>
          <w:rFonts w:cstheme="minorHAnsi"/>
          <w:sz w:val="24"/>
          <w:szCs w:val="24"/>
          <w:lang w:eastAsia="lt-LT"/>
        </w:rPr>
      </w:pPr>
    </w:p>
    <w:p w14:paraId="7F044DE5" w14:textId="1B4C7CCC" w:rsidR="0028646C" w:rsidRDefault="0028646C" w:rsidP="00EF5131">
      <w:pPr>
        <w:spacing w:before="100" w:beforeAutospacing="1" w:after="100" w:afterAutospacing="1" w:line="240" w:lineRule="auto"/>
        <w:ind w:firstLine="567"/>
        <w:contextualSpacing/>
        <w:rPr>
          <w:rFonts w:cstheme="minorHAnsi"/>
          <w:sz w:val="24"/>
          <w:szCs w:val="24"/>
          <w:lang w:eastAsia="lt-LT"/>
        </w:rPr>
      </w:pPr>
      <w:r w:rsidRPr="00CB501F">
        <w:rPr>
          <w:rFonts w:cstheme="minorHAnsi"/>
          <w:sz w:val="24"/>
          <w:szCs w:val="24"/>
          <w:lang w:eastAsia="lt-LT"/>
        </w:rPr>
        <w:t xml:space="preserve">Tarnyba, prevencine tvarka peržiūrėjusi Pirkimo dokumentus </w:t>
      </w:r>
      <w:r w:rsidR="002F351F" w:rsidRPr="002F351F">
        <w:rPr>
          <w:rFonts w:cstheme="minorHAnsi"/>
          <w:sz w:val="24"/>
          <w:szCs w:val="24"/>
          <w:lang w:eastAsia="lt-LT"/>
        </w:rPr>
        <w:t>ir atsižvelgdama į galiojantį teisinį reglamentavimą</w:t>
      </w:r>
      <w:r w:rsidR="002F351F">
        <w:rPr>
          <w:rFonts w:cstheme="minorHAnsi"/>
          <w:sz w:val="24"/>
          <w:szCs w:val="24"/>
          <w:lang w:eastAsia="lt-LT"/>
        </w:rPr>
        <w:t xml:space="preserve">, </w:t>
      </w:r>
      <w:r w:rsidRPr="00CB501F">
        <w:rPr>
          <w:rFonts w:cstheme="minorHAnsi"/>
          <w:sz w:val="24"/>
          <w:szCs w:val="24"/>
          <w:lang w:eastAsia="lt-LT"/>
        </w:rPr>
        <w:t>teikia pastabas ir rekomendacijas (toliau – Rekomendacija) dėl Pirkimo dokumentų nuostatų</w:t>
      </w:r>
      <w:r w:rsidR="00EF5131">
        <w:rPr>
          <w:rFonts w:cstheme="minorHAnsi"/>
          <w:sz w:val="24"/>
          <w:szCs w:val="24"/>
          <w:lang w:eastAsia="lt-LT"/>
        </w:rPr>
        <w:t>:</w:t>
      </w:r>
    </w:p>
    <w:p w14:paraId="5149D89F" w14:textId="2CDBF519" w:rsidR="00EF5131" w:rsidRDefault="00EF5131" w:rsidP="00EF5131">
      <w:pPr>
        <w:pStyle w:val="tajtip"/>
        <w:numPr>
          <w:ilvl w:val="0"/>
          <w:numId w:val="3"/>
        </w:numPr>
        <w:shd w:val="clear" w:color="auto" w:fill="FFFFFF"/>
        <w:contextualSpacing/>
        <w:rPr>
          <w:rFonts w:asciiTheme="minorHAnsi" w:hAnsiTheme="minorHAnsi" w:cstheme="minorHAnsi"/>
          <w:b/>
          <w:bCs/>
          <w:lang w:val="lt-LT"/>
        </w:rPr>
      </w:pPr>
      <w:r>
        <w:rPr>
          <w:rFonts w:asciiTheme="minorHAnsi" w:hAnsiTheme="minorHAnsi" w:cstheme="minorHAnsi"/>
          <w:b/>
          <w:bCs/>
          <w:lang w:val="lt-LT"/>
        </w:rPr>
        <w:t>Dėl tiekėjų pašalinimo pagrindų</w:t>
      </w:r>
    </w:p>
    <w:p w14:paraId="08F508FC" w14:textId="60F3CE11" w:rsidR="00EF5131" w:rsidRDefault="00EF5131" w:rsidP="00337AA0">
      <w:pPr>
        <w:pStyle w:val="tajtip"/>
        <w:shd w:val="clear" w:color="auto" w:fill="FFFFFF"/>
        <w:ind w:firstLine="567"/>
        <w:contextualSpacing/>
        <w:jc w:val="both"/>
        <w:rPr>
          <w:rFonts w:asciiTheme="minorHAnsi" w:hAnsiTheme="minorHAnsi" w:cstheme="minorHAnsi"/>
          <w:lang w:val="lt-LT"/>
        </w:rPr>
      </w:pPr>
      <w:r w:rsidRPr="00EF5131">
        <w:rPr>
          <w:rFonts w:asciiTheme="minorHAnsi" w:hAnsiTheme="minorHAnsi" w:cstheme="minorHAnsi"/>
          <w:lang w:val="lt-LT"/>
        </w:rPr>
        <w:t xml:space="preserve">2024-01-01 įsigaliojo Įstatymo </w:t>
      </w:r>
      <w:r w:rsidR="0079387D" w:rsidRPr="0079387D">
        <w:rPr>
          <w:rFonts w:asciiTheme="minorHAnsi" w:hAnsiTheme="minorHAnsi" w:cstheme="minorHAnsi"/>
          <w:lang w:val="lt-LT"/>
        </w:rPr>
        <w:t xml:space="preserve">46 straipsnio </w:t>
      </w:r>
      <w:r w:rsidR="0079387D">
        <w:rPr>
          <w:rFonts w:asciiTheme="minorHAnsi" w:hAnsiTheme="minorHAnsi" w:cstheme="minorHAnsi"/>
          <w:lang w:val="lt-LT"/>
        </w:rPr>
        <w:t xml:space="preserve">2 dalies pakeitimai, kurie patikslino tiekėjo arba jo atsakingo asmens teistumo už Įstatymo </w:t>
      </w:r>
      <w:r w:rsidR="0079387D" w:rsidRPr="0079387D">
        <w:rPr>
          <w:rFonts w:asciiTheme="minorHAnsi" w:hAnsiTheme="minorHAnsi" w:cstheme="minorHAnsi"/>
          <w:lang w:val="lt-LT"/>
        </w:rPr>
        <w:t>4</w:t>
      </w:r>
      <w:r w:rsidR="0079387D">
        <w:rPr>
          <w:rFonts w:asciiTheme="minorHAnsi" w:hAnsiTheme="minorHAnsi" w:cstheme="minorHAnsi"/>
          <w:lang w:val="lt-LT"/>
        </w:rPr>
        <w:t>6 straipsnio 1 ar 3 dalių nurodytą nusikalstamą veiką sąvokas.</w:t>
      </w:r>
    </w:p>
    <w:p w14:paraId="2C109CEB" w14:textId="625A090D" w:rsidR="00B1792E" w:rsidRDefault="0079387D" w:rsidP="00337AA0">
      <w:pPr>
        <w:pStyle w:val="tajtip"/>
        <w:shd w:val="clear" w:color="auto" w:fill="FFFFFF"/>
        <w:ind w:firstLine="567"/>
        <w:contextualSpacing/>
        <w:jc w:val="both"/>
        <w:rPr>
          <w:rFonts w:asciiTheme="minorHAnsi" w:hAnsiTheme="minorHAnsi" w:cstheme="minorHAnsi"/>
          <w:lang w:val="lt-LT"/>
        </w:rPr>
      </w:pPr>
      <w:r>
        <w:rPr>
          <w:rFonts w:asciiTheme="minorHAnsi" w:hAnsiTheme="minorHAnsi" w:cstheme="minorHAnsi"/>
          <w:lang w:val="lt-LT"/>
        </w:rPr>
        <w:t>Atsižvelgiant į nurodyt</w:t>
      </w:r>
      <w:r w:rsidR="002F351F">
        <w:rPr>
          <w:rFonts w:asciiTheme="minorHAnsi" w:hAnsiTheme="minorHAnsi" w:cstheme="minorHAnsi"/>
          <w:lang w:val="lt-LT"/>
        </w:rPr>
        <w:t xml:space="preserve">ą </w:t>
      </w:r>
      <w:r>
        <w:rPr>
          <w:rFonts w:asciiTheme="minorHAnsi" w:hAnsiTheme="minorHAnsi" w:cstheme="minorHAnsi"/>
          <w:lang w:val="lt-LT"/>
        </w:rPr>
        <w:t xml:space="preserve">rekomenduojame </w:t>
      </w:r>
      <w:r w:rsidR="002F351F">
        <w:rPr>
          <w:rFonts w:asciiTheme="minorHAnsi" w:hAnsiTheme="minorHAnsi" w:cstheme="minorHAnsi"/>
          <w:lang w:val="lt-LT"/>
        </w:rPr>
        <w:t xml:space="preserve">peržiūrėti ir patikslinti </w:t>
      </w:r>
      <w:r w:rsidR="00CB761C">
        <w:rPr>
          <w:rFonts w:asciiTheme="minorHAnsi" w:hAnsiTheme="minorHAnsi" w:cstheme="minorHAnsi"/>
          <w:lang w:val="lt-LT"/>
        </w:rPr>
        <w:t>Specialiųjų Pirkimo</w:t>
      </w:r>
      <w:r w:rsidR="000F68A3">
        <w:rPr>
          <w:rFonts w:asciiTheme="minorHAnsi" w:hAnsiTheme="minorHAnsi" w:cstheme="minorHAnsi"/>
          <w:lang w:val="lt-LT"/>
        </w:rPr>
        <w:t xml:space="preserve"> </w:t>
      </w:r>
      <w:r>
        <w:rPr>
          <w:rFonts w:asciiTheme="minorHAnsi" w:hAnsiTheme="minorHAnsi" w:cstheme="minorHAnsi"/>
          <w:lang w:val="lt-LT"/>
        </w:rPr>
        <w:t xml:space="preserve">sąlygų </w:t>
      </w:r>
      <w:r w:rsidRPr="0079387D">
        <w:rPr>
          <w:rFonts w:asciiTheme="minorHAnsi" w:hAnsiTheme="minorHAnsi" w:cstheme="minorHAnsi"/>
          <w:lang w:val="lt-LT"/>
        </w:rPr>
        <w:t>3</w:t>
      </w:r>
      <w:r w:rsidR="000F68A3">
        <w:rPr>
          <w:rFonts w:asciiTheme="minorHAnsi" w:hAnsiTheme="minorHAnsi" w:cstheme="minorHAnsi"/>
          <w:lang w:val="lt-LT"/>
        </w:rPr>
        <w:t xml:space="preserve"> priedo </w:t>
      </w:r>
      <w:r w:rsidR="00C805C9">
        <w:rPr>
          <w:rFonts w:asciiTheme="minorHAnsi" w:hAnsiTheme="minorHAnsi" w:cstheme="minorHAnsi"/>
          <w:lang w:val="lt-LT"/>
        </w:rPr>
        <w:t xml:space="preserve">„Tiekėjų pašalinimo pagrindai“ </w:t>
      </w:r>
      <w:r>
        <w:rPr>
          <w:rFonts w:asciiTheme="minorHAnsi" w:hAnsiTheme="minorHAnsi" w:cstheme="minorHAnsi"/>
          <w:lang w:val="lt-LT"/>
        </w:rPr>
        <w:t>lentel</w:t>
      </w:r>
      <w:r w:rsidR="00266ED6">
        <w:rPr>
          <w:rFonts w:asciiTheme="minorHAnsi" w:hAnsiTheme="minorHAnsi" w:cstheme="minorHAnsi"/>
          <w:lang w:val="lt-LT"/>
        </w:rPr>
        <w:t xml:space="preserve">ės </w:t>
      </w:r>
      <w:r w:rsidR="00266ED6" w:rsidRPr="00266ED6">
        <w:rPr>
          <w:rFonts w:asciiTheme="minorHAnsi" w:hAnsiTheme="minorHAnsi" w:cstheme="minorHAnsi"/>
          <w:lang w:val="lt-LT"/>
        </w:rPr>
        <w:t xml:space="preserve">1 </w:t>
      </w:r>
      <w:r w:rsidR="00266ED6">
        <w:rPr>
          <w:rFonts w:asciiTheme="minorHAnsi" w:hAnsiTheme="minorHAnsi" w:cstheme="minorHAnsi"/>
          <w:lang w:val="lt-LT"/>
        </w:rPr>
        <w:t>ir 2 punktuose nurodytų tiekėjų pašalinimo pagrindų formuluotes</w:t>
      </w:r>
      <w:r>
        <w:rPr>
          <w:rFonts w:asciiTheme="minorHAnsi" w:hAnsiTheme="minorHAnsi" w:cstheme="minorHAnsi"/>
          <w:lang w:val="lt-LT"/>
        </w:rPr>
        <w:t xml:space="preserve">, </w:t>
      </w:r>
      <w:r w:rsidR="002F351F">
        <w:rPr>
          <w:rFonts w:asciiTheme="minorHAnsi" w:hAnsiTheme="minorHAnsi" w:cstheme="minorHAnsi"/>
          <w:lang w:val="lt-LT"/>
        </w:rPr>
        <w:t xml:space="preserve">vadovaujantis </w:t>
      </w:r>
      <w:r>
        <w:rPr>
          <w:rFonts w:asciiTheme="minorHAnsi" w:hAnsiTheme="minorHAnsi" w:cstheme="minorHAnsi"/>
          <w:lang w:val="lt-LT"/>
        </w:rPr>
        <w:t xml:space="preserve">nuo </w:t>
      </w:r>
      <w:r w:rsidRPr="0079387D">
        <w:rPr>
          <w:rFonts w:asciiTheme="minorHAnsi" w:hAnsiTheme="minorHAnsi" w:cstheme="minorHAnsi"/>
          <w:lang w:val="lt-LT"/>
        </w:rPr>
        <w:t>2</w:t>
      </w:r>
      <w:r>
        <w:rPr>
          <w:rFonts w:asciiTheme="minorHAnsi" w:hAnsiTheme="minorHAnsi" w:cstheme="minorHAnsi"/>
          <w:lang w:val="lt-LT"/>
        </w:rPr>
        <w:t>024-01-01 įsigalioj</w:t>
      </w:r>
      <w:r w:rsidR="002F351F">
        <w:rPr>
          <w:rFonts w:asciiTheme="minorHAnsi" w:hAnsiTheme="minorHAnsi" w:cstheme="minorHAnsi"/>
          <w:lang w:val="lt-LT"/>
        </w:rPr>
        <w:t>usiais</w:t>
      </w:r>
      <w:r>
        <w:rPr>
          <w:rFonts w:asciiTheme="minorHAnsi" w:hAnsiTheme="minorHAnsi" w:cstheme="minorHAnsi"/>
          <w:lang w:val="lt-LT"/>
        </w:rPr>
        <w:t xml:space="preserve"> Įstatymo pasikeitimai</w:t>
      </w:r>
      <w:r w:rsidR="002F351F">
        <w:rPr>
          <w:rFonts w:asciiTheme="minorHAnsi" w:hAnsiTheme="minorHAnsi" w:cstheme="minorHAnsi"/>
          <w:lang w:val="lt-LT"/>
        </w:rPr>
        <w:t>s</w:t>
      </w:r>
      <w:r>
        <w:rPr>
          <w:rFonts w:asciiTheme="minorHAnsi" w:hAnsiTheme="minorHAnsi" w:cstheme="minorHAnsi"/>
          <w:lang w:val="lt-LT"/>
        </w:rPr>
        <w:t xml:space="preserve">. </w:t>
      </w:r>
    </w:p>
    <w:p w14:paraId="3384F77B" w14:textId="7F2D53EE" w:rsidR="0079387D" w:rsidRDefault="0079387D" w:rsidP="00337AA0">
      <w:pPr>
        <w:pStyle w:val="tajtip"/>
        <w:shd w:val="clear" w:color="auto" w:fill="FFFFFF"/>
        <w:ind w:firstLine="567"/>
        <w:contextualSpacing/>
        <w:jc w:val="both"/>
        <w:rPr>
          <w:rFonts w:asciiTheme="minorHAnsi" w:hAnsiTheme="minorHAnsi" w:cstheme="minorHAnsi"/>
          <w:lang w:val="lt-LT"/>
        </w:rPr>
      </w:pPr>
      <w:r>
        <w:rPr>
          <w:rFonts w:asciiTheme="minorHAnsi" w:hAnsiTheme="minorHAnsi" w:cstheme="minorHAnsi"/>
          <w:lang w:val="lt-LT"/>
        </w:rPr>
        <w:t xml:space="preserve">Atnaujinant </w:t>
      </w:r>
      <w:r w:rsidR="00534451">
        <w:rPr>
          <w:rFonts w:asciiTheme="minorHAnsi" w:hAnsiTheme="minorHAnsi" w:cstheme="minorHAnsi"/>
          <w:lang w:val="lt-LT"/>
        </w:rPr>
        <w:t xml:space="preserve">Tiekėjų pašalinimo pagrindų lentelę, rekomenduojame vadovautis Tarnybos parengta </w:t>
      </w:r>
      <w:hyperlink r:id="rId7" w:history="1">
        <w:r w:rsidR="00534451" w:rsidRPr="00534451">
          <w:rPr>
            <w:rStyle w:val="Hyperlink"/>
            <w:rFonts w:asciiTheme="minorHAnsi" w:hAnsiTheme="minorHAnsi" w:cstheme="minorHAnsi"/>
            <w:lang w:val="lt-LT"/>
          </w:rPr>
          <w:t>Pavyzdine pašalinimo pagrindų lentele</w:t>
        </w:r>
      </w:hyperlink>
      <w:r w:rsidR="00534451">
        <w:rPr>
          <w:rFonts w:asciiTheme="minorHAnsi" w:hAnsiTheme="minorHAnsi" w:cstheme="minorHAnsi"/>
          <w:lang w:val="lt-LT"/>
        </w:rPr>
        <w:t>.</w:t>
      </w:r>
    </w:p>
    <w:p w14:paraId="4FBD164E" w14:textId="1D294F93" w:rsidR="00322562" w:rsidRPr="00322562" w:rsidRDefault="00322562" w:rsidP="00322562">
      <w:pPr>
        <w:pStyle w:val="tajtip"/>
        <w:numPr>
          <w:ilvl w:val="0"/>
          <w:numId w:val="3"/>
        </w:numPr>
        <w:shd w:val="clear" w:color="auto" w:fill="FFFFFF"/>
        <w:contextualSpacing/>
        <w:rPr>
          <w:rFonts w:asciiTheme="minorHAnsi" w:hAnsiTheme="minorHAnsi" w:cstheme="minorHAnsi"/>
          <w:b/>
          <w:bCs/>
          <w:lang w:val="lt-LT"/>
        </w:rPr>
      </w:pPr>
      <w:r w:rsidRPr="00322562">
        <w:rPr>
          <w:rFonts w:asciiTheme="minorHAnsi" w:hAnsiTheme="minorHAnsi" w:cstheme="minorHAnsi"/>
          <w:b/>
          <w:bCs/>
          <w:lang w:val="lt-LT"/>
        </w:rPr>
        <w:t>Dėl Pirkimo techninės specifikacijos</w:t>
      </w:r>
    </w:p>
    <w:p w14:paraId="33D5B2CF" w14:textId="77777777" w:rsidR="0020294A" w:rsidRPr="0020294A" w:rsidRDefault="0020294A" w:rsidP="00DA1E41">
      <w:pPr>
        <w:pStyle w:val="tajtip"/>
        <w:shd w:val="clear" w:color="auto" w:fill="FFFFFF"/>
        <w:ind w:firstLine="540"/>
        <w:contextualSpacing/>
        <w:rPr>
          <w:rFonts w:asciiTheme="minorHAnsi" w:hAnsiTheme="minorHAnsi" w:cstheme="minorHAnsi"/>
          <w:lang w:val="lt-LT"/>
        </w:rPr>
      </w:pPr>
      <w:r w:rsidRPr="0020294A">
        <w:rPr>
          <w:rFonts w:asciiTheme="minorHAnsi" w:hAnsiTheme="minorHAnsi" w:cstheme="minorHAnsi"/>
          <w:lang w:val="lt-LT"/>
        </w:rPr>
        <w:t>Tarnyba prašė Perkančiosios organizacijos nurodyti bent kelis gamintojus ir konkrečius šių gamintojų įrangos modelius, kurie pilnai atitinka techninės specifikacijos reikalavimų visumą (prie kiekvieno techninio reikalavimo atitinkamai nurodant konkrečios tiekėjo siūlomos įrangos parametrus), kartu pateikiant įrodymus, kad būtų galimybė patikrinti nurodytų modelių atitiktį  techninės specifikacijos reikalavimams ir techniniams  kokybės kriterijams.</w:t>
      </w:r>
    </w:p>
    <w:p w14:paraId="088889D1" w14:textId="2677BAA2" w:rsidR="002A07FE" w:rsidRDefault="0020294A" w:rsidP="00DA1E41">
      <w:pPr>
        <w:pStyle w:val="tajtip"/>
        <w:shd w:val="clear" w:color="auto" w:fill="FFFFFF"/>
        <w:ind w:firstLine="540"/>
        <w:contextualSpacing/>
        <w:rPr>
          <w:rFonts w:asciiTheme="minorHAnsi" w:hAnsiTheme="minorHAnsi" w:cstheme="minorHAnsi"/>
          <w:lang w:val="lt-LT"/>
        </w:rPr>
      </w:pPr>
      <w:r w:rsidRPr="00DA1E41">
        <w:rPr>
          <w:rFonts w:asciiTheme="minorHAnsi" w:hAnsiTheme="minorHAnsi" w:cstheme="minorHAnsi"/>
          <w:lang w:val="lt-LT"/>
        </w:rPr>
        <w:t xml:space="preserve">Perkančioji organizacija pateikė Tarnybai lentelę su trijų gamintojų modeliais: </w:t>
      </w:r>
      <w:r w:rsidR="007A7E76" w:rsidRPr="00DA1E41">
        <w:rPr>
          <w:rFonts w:asciiTheme="minorHAnsi" w:hAnsiTheme="minorHAnsi" w:cstheme="minorHAnsi"/>
          <w:b/>
          <w:bCs/>
          <w:lang w:val="lt-LT"/>
        </w:rPr>
        <w:t xml:space="preserve">Canon </w:t>
      </w:r>
      <w:proofErr w:type="spellStart"/>
      <w:r w:rsidR="007A7E76" w:rsidRPr="00DA1E41">
        <w:rPr>
          <w:rFonts w:asciiTheme="minorHAnsi" w:hAnsiTheme="minorHAnsi" w:cstheme="minorHAnsi"/>
          <w:b/>
          <w:bCs/>
          <w:lang w:val="lt-LT"/>
        </w:rPr>
        <w:t>Aplio</w:t>
      </w:r>
      <w:proofErr w:type="spellEnd"/>
      <w:r w:rsidR="007A7E76" w:rsidRPr="00DA1E41">
        <w:rPr>
          <w:rFonts w:asciiTheme="minorHAnsi" w:hAnsiTheme="minorHAnsi" w:cstheme="minorHAnsi"/>
          <w:b/>
          <w:bCs/>
          <w:lang w:val="lt-LT"/>
        </w:rPr>
        <w:t xml:space="preserve"> I800, </w:t>
      </w:r>
      <w:proofErr w:type="spellStart"/>
      <w:r w:rsidR="007A7E76" w:rsidRPr="00DA1E41">
        <w:rPr>
          <w:rFonts w:asciiTheme="minorHAnsi" w:hAnsiTheme="minorHAnsi" w:cstheme="minorHAnsi"/>
          <w:b/>
          <w:bCs/>
          <w:lang w:val="lt-LT"/>
        </w:rPr>
        <w:t>Mindray</w:t>
      </w:r>
      <w:proofErr w:type="spellEnd"/>
      <w:r w:rsidR="007A7E76" w:rsidRPr="00DA1E41">
        <w:rPr>
          <w:rFonts w:asciiTheme="minorHAnsi" w:hAnsiTheme="minorHAnsi" w:cstheme="minorHAnsi"/>
          <w:b/>
          <w:bCs/>
          <w:lang w:val="lt-LT"/>
        </w:rPr>
        <w:t xml:space="preserve"> </w:t>
      </w:r>
      <w:proofErr w:type="spellStart"/>
      <w:r w:rsidR="007A7E76" w:rsidRPr="00DA1E41">
        <w:rPr>
          <w:rFonts w:asciiTheme="minorHAnsi" w:hAnsiTheme="minorHAnsi" w:cstheme="minorHAnsi"/>
          <w:b/>
          <w:bCs/>
          <w:lang w:val="lt-LT"/>
        </w:rPr>
        <w:t>Resona</w:t>
      </w:r>
      <w:proofErr w:type="spellEnd"/>
      <w:r w:rsidR="007A7E76" w:rsidRPr="00DA1E41">
        <w:rPr>
          <w:rFonts w:asciiTheme="minorHAnsi" w:hAnsiTheme="minorHAnsi" w:cstheme="minorHAnsi"/>
          <w:b/>
          <w:bCs/>
          <w:lang w:val="lt-LT"/>
        </w:rPr>
        <w:t xml:space="preserve"> I9, Siemens </w:t>
      </w:r>
      <w:proofErr w:type="spellStart"/>
      <w:r w:rsidR="007A7E76" w:rsidRPr="00DA1E41">
        <w:rPr>
          <w:rFonts w:asciiTheme="minorHAnsi" w:hAnsiTheme="minorHAnsi" w:cstheme="minorHAnsi"/>
          <w:b/>
          <w:bCs/>
          <w:lang w:val="lt-LT"/>
        </w:rPr>
        <w:t>Healthineers</w:t>
      </w:r>
      <w:proofErr w:type="spellEnd"/>
      <w:r w:rsidR="007A7E76" w:rsidRPr="00DA1E41">
        <w:rPr>
          <w:rFonts w:asciiTheme="minorHAnsi" w:hAnsiTheme="minorHAnsi" w:cstheme="minorHAnsi"/>
          <w:b/>
          <w:bCs/>
          <w:lang w:val="lt-LT"/>
        </w:rPr>
        <w:t xml:space="preserve"> ACUSON </w:t>
      </w:r>
      <w:proofErr w:type="spellStart"/>
      <w:r w:rsidR="007A7E76" w:rsidRPr="00DA1E41">
        <w:rPr>
          <w:rFonts w:asciiTheme="minorHAnsi" w:hAnsiTheme="minorHAnsi" w:cstheme="minorHAnsi"/>
          <w:b/>
          <w:bCs/>
          <w:lang w:val="lt-LT"/>
        </w:rPr>
        <w:t>Sequoia</w:t>
      </w:r>
      <w:proofErr w:type="spellEnd"/>
      <w:r w:rsidR="007A7E76" w:rsidRPr="00DA1E41">
        <w:rPr>
          <w:rFonts w:asciiTheme="minorHAnsi" w:hAnsiTheme="minorHAnsi" w:cstheme="minorHAnsi"/>
          <w:lang w:val="lt-LT"/>
        </w:rPr>
        <w:t xml:space="preserve"> </w:t>
      </w:r>
      <w:r w:rsidR="00E564D6" w:rsidRPr="00DA1E41">
        <w:rPr>
          <w:rFonts w:asciiTheme="minorHAnsi" w:hAnsiTheme="minorHAnsi" w:cstheme="minorHAnsi"/>
          <w:lang w:val="lt-LT"/>
        </w:rPr>
        <w:t>(</w:t>
      </w:r>
      <w:r w:rsidR="001D0CBA">
        <w:rPr>
          <w:rFonts w:asciiTheme="minorHAnsi" w:hAnsiTheme="minorHAnsi" w:cstheme="minorHAnsi"/>
          <w:lang w:val="lt-LT"/>
        </w:rPr>
        <w:t xml:space="preserve">modeliai yra </w:t>
      </w:r>
      <w:r w:rsidR="001D0CBA" w:rsidRPr="00DA1E41">
        <w:rPr>
          <w:rFonts w:asciiTheme="minorHAnsi" w:hAnsiTheme="minorHAnsi" w:cstheme="minorHAnsi"/>
          <w:lang w:val="lt-LT"/>
        </w:rPr>
        <w:t>priskiriami</w:t>
      </w:r>
      <w:r w:rsidR="001D0CBA">
        <w:rPr>
          <w:rFonts w:asciiTheme="minorHAnsi" w:hAnsiTheme="minorHAnsi" w:cstheme="minorHAnsi"/>
          <w:lang w:val="lt-LT"/>
        </w:rPr>
        <w:t xml:space="preserve"> </w:t>
      </w:r>
      <w:r w:rsidR="00E564D6" w:rsidRPr="00DA1E41">
        <w:rPr>
          <w:rFonts w:asciiTheme="minorHAnsi" w:hAnsiTheme="minorHAnsi" w:cstheme="minorHAnsi"/>
          <w:lang w:val="lt-LT"/>
        </w:rPr>
        <w:t xml:space="preserve">ekspertinei arba </w:t>
      </w:r>
      <w:proofErr w:type="spellStart"/>
      <w:r w:rsidR="00E564D6" w:rsidRPr="00DA1E41">
        <w:rPr>
          <w:rFonts w:asciiTheme="minorHAnsi" w:hAnsiTheme="minorHAnsi" w:cstheme="minorHAnsi"/>
          <w:lang w:val="lt-LT"/>
        </w:rPr>
        <w:t>premium</w:t>
      </w:r>
      <w:proofErr w:type="spellEnd"/>
      <w:r w:rsidR="00E564D6" w:rsidRPr="00DA1E41">
        <w:rPr>
          <w:rFonts w:asciiTheme="minorHAnsi" w:hAnsiTheme="minorHAnsi" w:cstheme="minorHAnsi"/>
          <w:lang w:val="lt-LT"/>
        </w:rPr>
        <w:t xml:space="preserve"> pažangumo kategorijai</w:t>
      </w:r>
      <w:r w:rsidR="001D0CBA">
        <w:rPr>
          <w:rFonts w:asciiTheme="minorHAnsi" w:hAnsiTheme="minorHAnsi" w:cstheme="minorHAnsi"/>
          <w:lang w:val="lt-LT"/>
        </w:rPr>
        <w:t>)</w:t>
      </w:r>
      <w:r w:rsidR="007A7E76" w:rsidRPr="00DA1E41">
        <w:rPr>
          <w:rFonts w:asciiTheme="minorHAnsi" w:hAnsiTheme="minorHAnsi" w:cstheme="minorHAnsi"/>
          <w:lang w:val="lt-LT"/>
        </w:rPr>
        <w:t xml:space="preserve">. </w:t>
      </w:r>
      <w:r w:rsidR="00221750" w:rsidRPr="00DA1E41">
        <w:rPr>
          <w:rFonts w:asciiTheme="minorHAnsi" w:hAnsiTheme="minorHAnsi" w:cstheme="minorHAnsi"/>
          <w:lang w:val="lt-LT"/>
        </w:rPr>
        <w:t xml:space="preserve">Įvertinus Perkančiosios organizacijos pateiktus nurodytų modelių gamintojų pirminius dokumentus nustatyta, jog </w:t>
      </w:r>
      <w:r w:rsidR="001D0CBA">
        <w:rPr>
          <w:rFonts w:asciiTheme="minorHAnsi" w:hAnsiTheme="minorHAnsi" w:cstheme="minorHAnsi"/>
          <w:lang w:val="lt-LT"/>
        </w:rPr>
        <w:t xml:space="preserve">iš </w:t>
      </w:r>
      <w:r w:rsidR="00221750" w:rsidRPr="00DA1E41">
        <w:rPr>
          <w:rFonts w:asciiTheme="minorHAnsi" w:hAnsiTheme="minorHAnsi" w:cstheme="minorHAnsi"/>
          <w:lang w:val="lt-LT"/>
        </w:rPr>
        <w:t>pateiktų duomenų ne</w:t>
      </w:r>
      <w:r w:rsidR="001D0CBA">
        <w:rPr>
          <w:rFonts w:asciiTheme="minorHAnsi" w:hAnsiTheme="minorHAnsi" w:cstheme="minorHAnsi"/>
          <w:lang w:val="lt-LT"/>
        </w:rPr>
        <w:t xml:space="preserve">galima įsitikinti </w:t>
      </w:r>
      <w:r w:rsidR="002A07FE" w:rsidRPr="00DA1E41">
        <w:rPr>
          <w:rFonts w:asciiTheme="minorHAnsi" w:hAnsiTheme="minorHAnsi" w:cstheme="minorHAnsi"/>
          <w:lang w:val="lt-LT"/>
        </w:rPr>
        <w:t xml:space="preserve"> jog</w:t>
      </w:r>
      <w:r w:rsidR="007C11DF" w:rsidRPr="00DA1E41">
        <w:rPr>
          <w:rFonts w:asciiTheme="minorHAnsi" w:hAnsiTheme="minorHAnsi" w:cstheme="minorHAnsi"/>
          <w:lang w:val="lt-LT"/>
        </w:rPr>
        <w:t>:</w:t>
      </w:r>
      <w:r w:rsidR="002A07FE" w:rsidRPr="00DA1E41">
        <w:rPr>
          <w:rFonts w:asciiTheme="minorHAnsi" w:hAnsiTheme="minorHAnsi" w:cstheme="minorHAnsi"/>
          <w:lang w:val="lt-LT"/>
        </w:rPr>
        <w:t xml:space="preserve"> </w:t>
      </w:r>
      <w:r w:rsidR="007C11DF" w:rsidRPr="00DA1E41">
        <w:rPr>
          <w:rFonts w:asciiTheme="minorHAnsi" w:hAnsiTheme="minorHAnsi" w:cstheme="minorHAnsi"/>
          <w:lang w:val="lt-LT"/>
        </w:rPr>
        <w:t xml:space="preserve">i) </w:t>
      </w:r>
      <w:r w:rsidR="002A07FE" w:rsidRPr="00AA0FE8">
        <w:rPr>
          <w:rFonts w:asciiTheme="minorHAnsi" w:hAnsiTheme="minorHAnsi" w:cstheme="minorHAnsi"/>
          <w:b/>
          <w:bCs/>
          <w:lang w:val="lt-LT"/>
        </w:rPr>
        <w:t xml:space="preserve">Canon </w:t>
      </w:r>
      <w:proofErr w:type="spellStart"/>
      <w:r w:rsidR="002A07FE" w:rsidRPr="00AA0FE8">
        <w:rPr>
          <w:rFonts w:asciiTheme="minorHAnsi" w:hAnsiTheme="minorHAnsi" w:cstheme="minorHAnsi"/>
          <w:b/>
          <w:bCs/>
          <w:lang w:val="lt-LT"/>
        </w:rPr>
        <w:t>Aplio</w:t>
      </w:r>
      <w:proofErr w:type="spellEnd"/>
      <w:r w:rsidR="002A07FE" w:rsidRPr="00AA0FE8">
        <w:rPr>
          <w:rFonts w:asciiTheme="minorHAnsi" w:hAnsiTheme="minorHAnsi" w:cstheme="minorHAnsi"/>
          <w:b/>
          <w:bCs/>
          <w:lang w:val="lt-LT"/>
        </w:rPr>
        <w:t xml:space="preserve"> I800 modelis</w:t>
      </w:r>
      <w:r w:rsidR="002A07FE" w:rsidRPr="00DA1E41">
        <w:rPr>
          <w:rFonts w:asciiTheme="minorHAnsi" w:hAnsiTheme="minorHAnsi" w:cstheme="minorHAnsi"/>
          <w:lang w:val="lt-LT"/>
        </w:rPr>
        <w:t xml:space="preserve"> atitinka </w:t>
      </w:r>
      <w:r w:rsidR="001D0CBA">
        <w:rPr>
          <w:rFonts w:asciiTheme="minorHAnsi" w:hAnsiTheme="minorHAnsi" w:cstheme="minorHAnsi"/>
          <w:lang w:val="lt-LT"/>
        </w:rPr>
        <w:t>t</w:t>
      </w:r>
      <w:r w:rsidR="002A07FE" w:rsidRPr="00DA1E41">
        <w:rPr>
          <w:rFonts w:asciiTheme="minorHAnsi" w:hAnsiTheme="minorHAnsi" w:cstheme="minorHAnsi"/>
          <w:lang w:val="lt-LT"/>
        </w:rPr>
        <w:t xml:space="preserve">echninės specifikacijos 3.1, 8.2.3., </w:t>
      </w:r>
      <w:r w:rsidR="007C11DF" w:rsidRPr="00DA1E41">
        <w:rPr>
          <w:rFonts w:asciiTheme="minorHAnsi" w:hAnsiTheme="minorHAnsi" w:cstheme="minorHAnsi"/>
          <w:lang w:val="lt-LT"/>
        </w:rPr>
        <w:t>9.2</w:t>
      </w:r>
      <w:r w:rsidR="002A07FE" w:rsidRPr="00DA1E41">
        <w:rPr>
          <w:rFonts w:asciiTheme="minorHAnsi" w:hAnsiTheme="minorHAnsi" w:cstheme="minorHAnsi"/>
          <w:lang w:val="lt-LT"/>
        </w:rPr>
        <w:t xml:space="preserve"> </w:t>
      </w:r>
      <w:r w:rsidR="002914C1" w:rsidRPr="00DA1E41">
        <w:rPr>
          <w:rFonts w:asciiTheme="minorHAnsi" w:hAnsiTheme="minorHAnsi" w:cstheme="minorHAnsi"/>
          <w:lang w:val="lt-LT"/>
        </w:rPr>
        <w:t xml:space="preserve">(dalyje dėl </w:t>
      </w:r>
      <w:r w:rsidR="004063A8" w:rsidRPr="00DA1E41">
        <w:rPr>
          <w:rFonts w:asciiTheme="minorHAnsi" w:hAnsiTheme="minorHAnsi" w:cstheme="minorHAnsi"/>
          <w:lang w:val="lt-LT"/>
        </w:rPr>
        <w:t xml:space="preserve">AVI formato) </w:t>
      </w:r>
      <w:r w:rsidR="002A07FE" w:rsidRPr="00DA1E41">
        <w:rPr>
          <w:rFonts w:asciiTheme="minorHAnsi" w:hAnsiTheme="minorHAnsi" w:cstheme="minorHAnsi"/>
          <w:lang w:val="lt-LT"/>
        </w:rPr>
        <w:t>p</w:t>
      </w:r>
      <w:r w:rsidR="007C11DF" w:rsidRPr="00DA1E41">
        <w:rPr>
          <w:rFonts w:asciiTheme="minorHAnsi" w:hAnsiTheme="minorHAnsi" w:cstheme="minorHAnsi"/>
          <w:lang w:val="lt-LT"/>
        </w:rPr>
        <w:t xml:space="preserve">unktus; ii) </w:t>
      </w:r>
      <w:proofErr w:type="spellStart"/>
      <w:r w:rsidR="007C11DF" w:rsidRPr="00AA0FE8">
        <w:rPr>
          <w:rFonts w:asciiTheme="minorHAnsi" w:hAnsiTheme="minorHAnsi" w:cstheme="minorHAnsi"/>
          <w:b/>
          <w:bCs/>
          <w:lang w:val="lt-LT"/>
        </w:rPr>
        <w:t>Mindray</w:t>
      </w:r>
      <w:proofErr w:type="spellEnd"/>
      <w:r w:rsidR="007C11DF" w:rsidRPr="00AA0FE8">
        <w:rPr>
          <w:rFonts w:asciiTheme="minorHAnsi" w:hAnsiTheme="minorHAnsi" w:cstheme="minorHAnsi"/>
          <w:b/>
          <w:bCs/>
          <w:lang w:val="lt-LT"/>
        </w:rPr>
        <w:t xml:space="preserve"> </w:t>
      </w:r>
      <w:proofErr w:type="spellStart"/>
      <w:r w:rsidR="007C11DF" w:rsidRPr="00AA0FE8">
        <w:rPr>
          <w:rFonts w:asciiTheme="minorHAnsi" w:hAnsiTheme="minorHAnsi" w:cstheme="minorHAnsi"/>
          <w:b/>
          <w:bCs/>
          <w:lang w:val="lt-LT"/>
        </w:rPr>
        <w:t>Resona</w:t>
      </w:r>
      <w:proofErr w:type="spellEnd"/>
      <w:r w:rsidR="007C11DF" w:rsidRPr="00AA0FE8">
        <w:rPr>
          <w:rFonts w:asciiTheme="minorHAnsi" w:hAnsiTheme="minorHAnsi" w:cstheme="minorHAnsi"/>
          <w:b/>
          <w:bCs/>
          <w:lang w:val="lt-LT"/>
        </w:rPr>
        <w:t xml:space="preserve"> I9</w:t>
      </w:r>
      <w:r w:rsidR="007C11DF" w:rsidRPr="00DA1E41">
        <w:rPr>
          <w:rFonts w:asciiTheme="minorHAnsi" w:hAnsiTheme="minorHAnsi" w:cstheme="minorHAnsi"/>
          <w:lang w:val="lt-LT"/>
        </w:rPr>
        <w:t xml:space="preserve"> atitinka </w:t>
      </w:r>
      <w:r w:rsidR="001D0CBA">
        <w:rPr>
          <w:rFonts w:asciiTheme="minorHAnsi" w:hAnsiTheme="minorHAnsi" w:cstheme="minorHAnsi"/>
          <w:lang w:val="lt-LT"/>
        </w:rPr>
        <w:t>t</w:t>
      </w:r>
      <w:r w:rsidR="007C11DF" w:rsidRPr="00DA1E41">
        <w:rPr>
          <w:rFonts w:asciiTheme="minorHAnsi" w:hAnsiTheme="minorHAnsi" w:cstheme="minorHAnsi"/>
          <w:lang w:val="lt-LT"/>
        </w:rPr>
        <w:t xml:space="preserve">echninės specifikacijos </w:t>
      </w:r>
      <w:r w:rsidR="009E7D72" w:rsidRPr="00DA1E41">
        <w:rPr>
          <w:rFonts w:asciiTheme="minorHAnsi" w:hAnsiTheme="minorHAnsi" w:cstheme="minorHAnsi"/>
          <w:lang w:val="lt-LT"/>
        </w:rPr>
        <w:t xml:space="preserve">8.2.3. papunktį; iii) </w:t>
      </w:r>
      <w:r w:rsidR="009E7D72" w:rsidRPr="00AA0FE8">
        <w:rPr>
          <w:rFonts w:asciiTheme="minorHAnsi" w:hAnsiTheme="minorHAnsi" w:cstheme="minorHAnsi"/>
          <w:b/>
          <w:bCs/>
          <w:lang w:val="lt-LT"/>
        </w:rPr>
        <w:t xml:space="preserve">Siemens </w:t>
      </w:r>
      <w:proofErr w:type="spellStart"/>
      <w:r w:rsidR="009E7D72" w:rsidRPr="00AA0FE8">
        <w:rPr>
          <w:rFonts w:asciiTheme="minorHAnsi" w:hAnsiTheme="minorHAnsi" w:cstheme="minorHAnsi"/>
          <w:b/>
          <w:bCs/>
          <w:lang w:val="lt-LT"/>
        </w:rPr>
        <w:t>Healthineers</w:t>
      </w:r>
      <w:proofErr w:type="spellEnd"/>
      <w:r w:rsidR="009E7D72" w:rsidRPr="00AA0FE8">
        <w:rPr>
          <w:rFonts w:asciiTheme="minorHAnsi" w:hAnsiTheme="minorHAnsi" w:cstheme="minorHAnsi"/>
          <w:b/>
          <w:bCs/>
          <w:lang w:val="lt-LT"/>
        </w:rPr>
        <w:t xml:space="preserve"> ACUSON </w:t>
      </w:r>
      <w:proofErr w:type="spellStart"/>
      <w:r w:rsidR="009E7D72" w:rsidRPr="00AA0FE8">
        <w:rPr>
          <w:rFonts w:asciiTheme="minorHAnsi" w:hAnsiTheme="minorHAnsi" w:cstheme="minorHAnsi"/>
          <w:b/>
          <w:bCs/>
          <w:lang w:val="lt-LT"/>
        </w:rPr>
        <w:t>Sequoia</w:t>
      </w:r>
      <w:proofErr w:type="spellEnd"/>
      <w:r w:rsidR="009E7D72" w:rsidRPr="00AA0FE8">
        <w:rPr>
          <w:rFonts w:asciiTheme="minorHAnsi" w:hAnsiTheme="minorHAnsi" w:cstheme="minorHAnsi"/>
          <w:b/>
          <w:bCs/>
          <w:lang w:val="lt-LT"/>
        </w:rPr>
        <w:t xml:space="preserve"> </w:t>
      </w:r>
      <w:r w:rsidR="009E7D72" w:rsidRPr="00DA1E41">
        <w:rPr>
          <w:rFonts w:asciiTheme="minorHAnsi" w:hAnsiTheme="minorHAnsi" w:cstheme="minorHAnsi"/>
          <w:lang w:val="lt-LT"/>
        </w:rPr>
        <w:t xml:space="preserve">atitinka </w:t>
      </w:r>
      <w:r w:rsidR="001D0CBA">
        <w:rPr>
          <w:rFonts w:asciiTheme="minorHAnsi" w:hAnsiTheme="minorHAnsi" w:cstheme="minorHAnsi"/>
          <w:lang w:val="lt-LT"/>
        </w:rPr>
        <w:t>t</w:t>
      </w:r>
      <w:r w:rsidR="009E7D72" w:rsidRPr="00DA1E41">
        <w:rPr>
          <w:rFonts w:asciiTheme="minorHAnsi" w:hAnsiTheme="minorHAnsi" w:cstheme="minorHAnsi"/>
          <w:lang w:val="lt-LT"/>
        </w:rPr>
        <w:t xml:space="preserve">echninės specifikacijos 3.1., 4.1, 11 </w:t>
      </w:r>
      <w:r w:rsidR="00636EE5" w:rsidRPr="00DA1E41">
        <w:rPr>
          <w:rFonts w:asciiTheme="minorHAnsi" w:hAnsiTheme="minorHAnsi" w:cstheme="minorHAnsi"/>
          <w:lang w:val="lt-LT"/>
        </w:rPr>
        <w:t xml:space="preserve">(dalyje dėl HDMI) </w:t>
      </w:r>
      <w:r w:rsidR="009E7D72" w:rsidRPr="00DA1E41">
        <w:rPr>
          <w:rFonts w:asciiTheme="minorHAnsi" w:hAnsiTheme="minorHAnsi" w:cstheme="minorHAnsi"/>
          <w:lang w:val="lt-LT"/>
        </w:rPr>
        <w:t>punktus.</w:t>
      </w:r>
    </w:p>
    <w:p w14:paraId="73FB93B4" w14:textId="40CCA8C7" w:rsidR="002D4D99" w:rsidRDefault="002D4D99" w:rsidP="00DA1E41">
      <w:pPr>
        <w:pStyle w:val="tajtip"/>
        <w:shd w:val="clear" w:color="auto" w:fill="FFFFFF"/>
        <w:ind w:firstLine="540"/>
        <w:contextualSpacing/>
        <w:rPr>
          <w:rFonts w:asciiTheme="minorHAnsi" w:hAnsiTheme="minorHAnsi" w:cstheme="minorHAnsi"/>
          <w:lang w:val="lt-LT"/>
        </w:rPr>
      </w:pPr>
      <w:r>
        <w:rPr>
          <w:rFonts w:asciiTheme="minorHAnsi" w:hAnsiTheme="minorHAnsi" w:cstheme="minorHAnsi"/>
          <w:lang w:val="lt-LT"/>
        </w:rPr>
        <w:t xml:space="preserve">Tarnybos prašymu, </w:t>
      </w:r>
      <w:r w:rsidR="00DA1E41">
        <w:rPr>
          <w:rFonts w:asciiTheme="minorHAnsi" w:hAnsiTheme="minorHAnsi" w:cstheme="minorHAnsi"/>
          <w:lang w:val="lt-LT"/>
        </w:rPr>
        <w:t>P</w:t>
      </w:r>
      <w:r>
        <w:rPr>
          <w:rFonts w:asciiTheme="minorHAnsi" w:hAnsiTheme="minorHAnsi" w:cstheme="minorHAnsi"/>
          <w:lang w:val="lt-LT"/>
        </w:rPr>
        <w:t xml:space="preserve">erkančioji organizacija </w:t>
      </w:r>
      <w:r w:rsidR="00CC29FF">
        <w:rPr>
          <w:rFonts w:asciiTheme="minorHAnsi" w:hAnsiTheme="minorHAnsi" w:cstheme="minorHAnsi"/>
          <w:lang w:val="lt-LT"/>
        </w:rPr>
        <w:t xml:space="preserve">papildomai </w:t>
      </w:r>
      <w:r>
        <w:rPr>
          <w:rFonts w:asciiTheme="minorHAnsi" w:hAnsiTheme="minorHAnsi" w:cstheme="minorHAnsi"/>
          <w:lang w:val="lt-LT"/>
        </w:rPr>
        <w:t xml:space="preserve">pateikė </w:t>
      </w:r>
      <w:r w:rsidR="00CC29FF">
        <w:rPr>
          <w:rFonts w:asciiTheme="minorHAnsi" w:hAnsiTheme="minorHAnsi" w:cstheme="minorHAnsi"/>
          <w:lang w:val="lt-LT"/>
        </w:rPr>
        <w:t xml:space="preserve">atliktos rinkos konsultacijos </w:t>
      </w:r>
      <w:r w:rsidR="00B84EDC">
        <w:rPr>
          <w:rFonts w:asciiTheme="minorHAnsi" w:hAnsiTheme="minorHAnsi" w:cstheme="minorHAnsi"/>
          <w:lang w:val="lt-LT"/>
        </w:rPr>
        <w:t>(skelbta 2024</w:t>
      </w:r>
      <w:r w:rsidR="00615CC5">
        <w:rPr>
          <w:rFonts w:asciiTheme="minorHAnsi" w:hAnsiTheme="minorHAnsi" w:cstheme="minorHAnsi"/>
          <w:lang w:val="lt-LT"/>
        </w:rPr>
        <w:t xml:space="preserve">-03-29, </w:t>
      </w:r>
      <w:r w:rsidR="00B84EDC">
        <w:rPr>
          <w:rFonts w:asciiTheme="minorHAnsi" w:hAnsiTheme="minorHAnsi" w:cstheme="minorHAnsi"/>
          <w:lang w:val="lt-LT"/>
        </w:rPr>
        <w:t>Nr.</w:t>
      </w:r>
      <w:r w:rsidR="00615CC5">
        <w:rPr>
          <w:rFonts w:asciiTheme="minorHAnsi" w:hAnsiTheme="minorHAnsi" w:cstheme="minorHAnsi"/>
          <w:lang w:val="lt-LT"/>
        </w:rPr>
        <w:t xml:space="preserve"> </w:t>
      </w:r>
      <w:r w:rsidR="00615CC5" w:rsidRPr="00615CC5">
        <w:rPr>
          <w:rFonts w:asciiTheme="minorHAnsi" w:hAnsiTheme="minorHAnsi" w:cstheme="minorHAnsi"/>
          <w:lang w:val="lt-LT"/>
        </w:rPr>
        <w:t>715385</w:t>
      </w:r>
      <w:r w:rsidR="00B84EDC">
        <w:rPr>
          <w:rFonts w:asciiTheme="minorHAnsi" w:hAnsiTheme="minorHAnsi" w:cstheme="minorHAnsi"/>
          <w:lang w:val="lt-LT"/>
        </w:rPr>
        <w:t xml:space="preserve">) </w:t>
      </w:r>
      <w:r w:rsidR="000377BF">
        <w:rPr>
          <w:rFonts w:asciiTheme="minorHAnsi" w:hAnsiTheme="minorHAnsi" w:cstheme="minorHAnsi"/>
          <w:lang w:val="lt-LT"/>
        </w:rPr>
        <w:t xml:space="preserve">duomenis, </w:t>
      </w:r>
      <w:r w:rsidR="00B0740F">
        <w:rPr>
          <w:rFonts w:asciiTheme="minorHAnsi" w:hAnsiTheme="minorHAnsi" w:cstheme="minorHAnsi"/>
          <w:lang w:val="lt-LT"/>
        </w:rPr>
        <w:t>kurie Tarnybos vertinimu</w:t>
      </w:r>
      <w:r w:rsidR="00363AE9">
        <w:rPr>
          <w:rFonts w:asciiTheme="minorHAnsi" w:hAnsiTheme="minorHAnsi" w:cstheme="minorHAnsi"/>
          <w:lang w:val="lt-LT"/>
        </w:rPr>
        <w:t>, galimai pagrindžia tik vieno</w:t>
      </w:r>
      <w:r w:rsidR="008C0F33">
        <w:rPr>
          <w:rFonts w:asciiTheme="minorHAnsi" w:hAnsiTheme="minorHAnsi" w:cstheme="minorHAnsi"/>
          <w:lang w:val="lt-LT"/>
        </w:rPr>
        <w:t>,</w:t>
      </w:r>
      <w:r w:rsidR="00363AE9">
        <w:rPr>
          <w:rFonts w:asciiTheme="minorHAnsi" w:hAnsiTheme="minorHAnsi" w:cstheme="minorHAnsi"/>
          <w:lang w:val="lt-LT"/>
        </w:rPr>
        <w:t xml:space="preserve"> </w:t>
      </w:r>
      <w:r w:rsidR="00515ED5">
        <w:rPr>
          <w:rFonts w:asciiTheme="minorHAnsi" w:hAnsiTheme="minorHAnsi" w:cstheme="minorHAnsi"/>
          <w:lang w:val="lt-LT"/>
        </w:rPr>
        <w:t>ekonominei k</w:t>
      </w:r>
      <w:r w:rsidR="008C0F33">
        <w:rPr>
          <w:rFonts w:asciiTheme="minorHAnsi" w:hAnsiTheme="minorHAnsi" w:cstheme="minorHAnsi"/>
          <w:lang w:val="lt-LT"/>
        </w:rPr>
        <w:t>ategorijai priskirtino</w:t>
      </w:r>
      <w:r w:rsidR="008C0F33" w:rsidRPr="00615CC5">
        <w:rPr>
          <w:rFonts w:asciiTheme="minorHAnsi" w:hAnsiTheme="minorHAnsi" w:cstheme="minorHAnsi"/>
          <w:lang w:val="lt-LT"/>
        </w:rPr>
        <w:t xml:space="preserve">, </w:t>
      </w:r>
      <w:proofErr w:type="spellStart"/>
      <w:r w:rsidR="00074ECA" w:rsidRPr="00615CC5">
        <w:rPr>
          <w:rFonts w:asciiTheme="minorHAnsi" w:hAnsiTheme="minorHAnsi" w:cstheme="minorHAnsi"/>
          <w:b/>
          <w:bCs/>
          <w:lang w:val="lt-LT"/>
        </w:rPr>
        <w:t>Mindray</w:t>
      </w:r>
      <w:proofErr w:type="spellEnd"/>
      <w:r w:rsidR="00074ECA" w:rsidRPr="00615CC5">
        <w:rPr>
          <w:rFonts w:asciiTheme="minorHAnsi" w:hAnsiTheme="minorHAnsi" w:cstheme="minorHAnsi"/>
          <w:b/>
          <w:bCs/>
          <w:lang w:val="lt-LT"/>
        </w:rPr>
        <w:t xml:space="preserve"> </w:t>
      </w:r>
      <w:proofErr w:type="spellStart"/>
      <w:r w:rsidR="00074ECA" w:rsidRPr="00615CC5">
        <w:rPr>
          <w:rFonts w:asciiTheme="minorHAnsi" w:hAnsiTheme="minorHAnsi" w:cstheme="minorHAnsi"/>
          <w:b/>
          <w:bCs/>
          <w:lang w:val="lt-LT"/>
        </w:rPr>
        <w:t>Consona</w:t>
      </w:r>
      <w:proofErr w:type="spellEnd"/>
      <w:r w:rsidR="00074ECA" w:rsidRPr="00615CC5">
        <w:rPr>
          <w:rFonts w:asciiTheme="minorHAnsi" w:hAnsiTheme="minorHAnsi" w:cstheme="minorHAnsi"/>
          <w:b/>
          <w:bCs/>
          <w:lang w:val="lt-LT"/>
        </w:rPr>
        <w:t xml:space="preserve"> N7</w:t>
      </w:r>
      <w:r w:rsidR="00132405" w:rsidRPr="00615CC5">
        <w:rPr>
          <w:rFonts w:asciiTheme="minorHAnsi" w:hAnsiTheme="minorHAnsi" w:cstheme="minorHAnsi"/>
          <w:b/>
          <w:bCs/>
          <w:lang w:val="lt-LT"/>
        </w:rPr>
        <w:t xml:space="preserve"> </w:t>
      </w:r>
      <w:r w:rsidR="00132405">
        <w:rPr>
          <w:rFonts w:asciiTheme="minorHAnsi" w:hAnsiTheme="minorHAnsi" w:cstheme="minorHAnsi"/>
          <w:lang w:val="lt-LT"/>
        </w:rPr>
        <w:t xml:space="preserve">modelio atitiktį </w:t>
      </w:r>
      <w:r w:rsidR="001D0CBA">
        <w:rPr>
          <w:rFonts w:asciiTheme="minorHAnsi" w:hAnsiTheme="minorHAnsi" w:cstheme="minorHAnsi"/>
          <w:lang w:val="lt-LT"/>
        </w:rPr>
        <w:t>t</w:t>
      </w:r>
      <w:r w:rsidR="00132405">
        <w:rPr>
          <w:rFonts w:asciiTheme="minorHAnsi" w:hAnsiTheme="minorHAnsi" w:cstheme="minorHAnsi"/>
          <w:lang w:val="lt-LT"/>
        </w:rPr>
        <w:t xml:space="preserve">echninės specifikacijos reikalavimų visumai. </w:t>
      </w:r>
      <w:r w:rsidR="001D0CBA">
        <w:rPr>
          <w:rFonts w:asciiTheme="minorHAnsi" w:hAnsiTheme="minorHAnsi" w:cstheme="minorHAnsi"/>
          <w:lang w:val="lt-LT"/>
        </w:rPr>
        <w:t xml:space="preserve">Pažymėtina, kad Perkančioji organizacija nepateikė </w:t>
      </w:r>
      <w:r w:rsidR="007F5C11">
        <w:rPr>
          <w:rFonts w:asciiTheme="minorHAnsi" w:hAnsiTheme="minorHAnsi" w:cstheme="minorHAnsi"/>
          <w:lang w:val="lt-LT"/>
        </w:rPr>
        <w:t xml:space="preserve">įrodymų, kurie pagrįstų, jog </w:t>
      </w:r>
      <w:r w:rsidR="001D0CBA">
        <w:rPr>
          <w:rFonts w:asciiTheme="minorHAnsi" w:hAnsiTheme="minorHAnsi" w:cstheme="minorHAnsi"/>
          <w:lang w:val="lt-LT"/>
        </w:rPr>
        <w:t>t</w:t>
      </w:r>
      <w:r w:rsidR="007F5C11">
        <w:rPr>
          <w:rFonts w:asciiTheme="minorHAnsi" w:hAnsiTheme="minorHAnsi" w:cstheme="minorHAnsi"/>
          <w:lang w:val="lt-LT"/>
        </w:rPr>
        <w:t>echninės specifikacijos reikalavimų visumą atitinka daugiau nei vien</w:t>
      </w:r>
      <w:r w:rsidR="00770EAB">
        <w:rPr>
          <w:rFonts w:asciiTheme="minorHAnsi" w:hAnsiTheme="minorHAnsi" w:cstheme="minorHAnsi"/>
          <w:lang w:val="lt-LT"/>
        </w:rPr>
        <w:t>o konkretaus gamintojo įranga.</w:t>
      </w:r>
    </w:p>
    <w:p w14:paraId="2D61A39A" w14:textId="77777777" w:rsidR="00BC4E27" w:rsidRDefault="00BC4E27" w:rsidP="00DA1E41">
      <w:pPr>
        <w:pStyle w:val="tajtip"/>
        <w:shd w:val="clear" w:color="auto" w:fill="FFFFFF"/>
        <w:ind w:firstLine="540"/>
        <w:contextualSpacing/>
        <w:rPr>
          <w:rFonts w:asciiTheme="minorHAnsi" w:hAnsiTheme="minorHAnsi" w:cstheme="minorHAnsi"/>
          <w:lang w:val="lt-LT"/>
        </w:rPr>
      </w:pPr>
    </w:p>
    <w:p w14:paraId="1DFC0080" w14:textId="77777777" w:rsidR="00BC4E27" w:rsidRDefault="00BC4E27" w:rsidP="00DA1E41">
      <w:pPr>
        <w:pStyle w:val="tajtip"/>
        <w:shd w:val="clear" w:color="auto" w:fill="FFFFFF"/>
        <w:ind w:firstLine="540"/>
        <w:contextualSpacing/>
        <w:rPr>
          <w:rFonts w:asciiTheme="minorHAnsi" w:hAnsiTheme="minorHAnsi" w:cstheme="minorHAnsi"/>
          <w:lang w:val="lt-LT"/>
        </w:rPr>
      </w:pPr>
    </w:p>
    <w:p w14:paraId="3C5D27AF" w14:textId="30207317" w:rsidR="00EE50D4" w:rsidRDefault="00EE50D4" w:rsidP="00EE50D4">
      <w:pPr>
        <w:pStyle w:val="tajtip"/>
        <w:numPr>
          <w:ilvl w:val="0"/>
          <w:numId w:val="3"/>
        </w:numPr>
        <w:shd w:val="clear" w:color="auto" w:fill="FFFFFF"/>
        <w:contextualSpacing/>
        <w:rPr>
          <w:rFonts w:asciiTheme="minorHAnsi" w:hAnsiTheme="minorHAnsi" w:cstheme="minorHAnsi"/>
          <w:b/>
          <w:bCs/>
          <w:lang w:val="lt-LT"/>
        </w:rPr>
      </w:pPr>
      <w:r w:rsidRPr="00EE50D4">
        <w:rPr>
          <w:rFonts w:asciiTheme="minorHAnsi" w:hAnsiTheme="minorHAnsi" w:cstheme="minorHAnsi"/>
          <w:b/>
          <w:bCs/>
          <w:lang w:val="lt-LT"/>
        </w:rPr>
        <w:lastRenderedPageBreak/>
        <w:t>Dėl ekonominio naudingumo vertinimo kriterijų</w:t>
      </w:r>
    </w:p>
    <w:p w14:paraId="5BD71F11" w14:textId="0673A201" w:rsidR="009F3E62" w:rsidRPr="002D2E71" w:rsidRDefault="00026AC1" w:rsidP="006D7D76">
      <w:pPr>
        <w:pStyle w:val="tajtip"/>
        <w:shd w:val="clear" w:color="auto" w:fill="FFFFFF"/>
        <w:ind w:firstLine="540"/>
        <w:contextualSpacing/>
        <w:rPr>
          <w:rFonts w:asciiTheme="minorHAnsi" w:hAnsiTheme="minorHAnsi" w:cstheme="minorHAnsi"/>
          <w:b/>
          <w:bCs/>
          <w:lang w:val="lt-LT"/>
        </w:rPr>
      </w:pPr>
      <w:r>
        <w:rPr>
          <w:rFonts w:asciiTheme="minorHAnsi" w:hAnsiTheme="minorHAnsi" w:cstheme="minorHAnsi"/>
          <w:lang w:val="lt-LT"/>
        </w:rPr>
        <w:t xml:space="preserve">Specialiųjų Pirkimo sąlygų </w:t>
      </w:r>
      <w:r w:rsidR="00C76448" w:rsidRPr="00C76448">
        <w:rPr>
          <w:rFonts w:asciiTheme="minorHAnsi" w:hAnsiTheme="minorHAnsi" w:cstheme="minorHAnsi"/>
          <w:lang w:val="lt-LT"/>
        </w:rPr>
        <w:t xml:space="preserve">7 </w:t>
      </w:r>
      <w:r w:rsidR="00C76448">
        <w:rPr>
          <w:rFonts w:asciiTheme="minorHAnsi" w:hAnsiTheme="minorHAnsi" w:cstheme="minorHAnsi"/>
          <w:lang w:val="lt-LT"/>
        </w:rPr>
        <w:t xml:space="preserve">priede „Pasiūlymų vertinimo kriterijai ir sąlygos“ </w:t>
      </w:r>
      <w:r w:rsidR="00EE50D4" w:rsidRPr="00EE50D4">
        <w:rPr>
          <w:rFonts w:asciiTheme="minorHAnsi" w:hAnsiTheme="minorHAnsi" w:cstheme="minorHAnsi"/>
          <w:lang w:val="lt-LT"/>
        </w:rPr>
        <w:t>nurodyti kokybės kriterijai</w:t>
      </w:r>
      <w:r w:rsidR="002B00B9">
        <w:rPr>
          <w:rFonts w:asciiTheme="minorHAnsi" w:hAnsiTheme="minorHAnsi" w:cstheme="minorHAnsi"/>
          <w:lang w:val="lt-LT"/>
        </w:rPr>
        <w:t xml:space="preserve">, kuriems </w:t>
      </w:r>
      <w:r w:rsidR="001F53F8" w:rsidRPr="001F53F8">
        <w:rPr>
          <w:rFonts w:asciiTheme="minorHAnsi" w:hAnsiTheme="minorHAnsi" w:cstheme="minorHAnsi"/>
          <w:lang w:val="lt-LT"/>
        </w:rPr>
        <w:t>suteik</w:t>
      </w:r>
      <w:r w:rsidR="001F53F8">
        <w:rPr>
          <w:rFonts w:asciiTheme="minorHAnsi" w:hAnsiTheme="minorHAnsi" w:cstheme="minorHAnsi"/>
          <w:lang w:val="lt-LT"/>
        </w:rPr>
        <w:t xml:space="preserve">iamas 40 </w:t>
      </w:r>
      <w:r w:rsidR="001F53F8" w:rsidRPr="001F53F8">
        <w:rPr>
          <w:rFonts w:asciiTheme="minorHAnsi" w:hAnsiTheme="minorHAnsi" w:cstheme="minorHAnsi"/>
          <w:lang w:val="lt-LT"/>
        </w:rPr>
        <w:t>iš 100 lyginam</w:t>
      </w:r>
      <w:r w:rsidR="001F53F8">
        <w:rPr>
          <w:rFonts w:asciiTheme="minorHAnsi" w:hAnsiTheme="minorHAnsi" w:cstheme="minorHAnsi"/>
          <w:lang w:val="lt-LT"/>
        </w:rPr>
        <w:t xml:space="preserve">asis svoris </w:t>
      </w:r>
      <w:r w:rsidR="001F53F8" w:rsidRPr="001F53F8">
        <w:rPr>
          <w:rFonts w:asciiTheme="minorHAnsi" w:hAnsiTheme="minorHAnsi" w:cstheme="minorHAnsi"/>
          <w:lang w:val="lt-LT"/>
        </w:rPr>
        <w:t>ekonominio naudingumo įvertinime</w:t>
      </w:r>
      <w:r w:rsidR="001F53F8">
        <w:rPr>
          <w:rFonts w:asciiTheme="minorHAnsi" w:hAnsiTheme="minorHAnsi" w:cstheme="minorHAnsi"/>
          <w:lang w:val="lt-LT"/>
        </w:rPr>
        <w:t xml:space="preserve">. </w:t>
      </w:r>
      <w:r w:rsidR="009F3E62" w:rsidRPr="009F3E62">
        <w:rPr>
          <w:rFonts w:asciiTheme="minorHAnsi" w:hAnsiTheme="minorHAnsi" w:cstheme="minorHAnsi"/>
          <w:lang w:val="lt-LT"/>
        </w:rPr>
        <w:t>Tarnyba pažymi, kad Perkančioji organizacija, nusprendusi vykdyti pirkimą pagal ekonomiškai naudingiausio pasiūlymo vertinimo kriterijus, pirmiausia turi įvertinti, ar pasirinkti ekonomiškai naudingiausio pasiūlymo vertinimo kriterijai atspindi potencialią ekonominę naudą, ar bus pasiekti konkretūs pirkimo tikslai, o tokius sprendimus motyvuoti iki viešojo pirkimo pradžios, t. y. Perkančioji organizacija tur</w:t>
      </w:r>
      <w:r w:rsidR="001D0CBA">
        <w:rPr>
          <w:rFonts w:asciiTheme="minorHAnsi" w:hAnsiTheme="minorHAnsi" w:cstheme="minorHAnsi"/>
          <w:lang w:val="lt-LT"/>
        </w:rPr>
        <w:t>i</w:t>
      </w:r>
      <w:r w:rsidR="009F3E62" w:rsidRPr="009F3E62">
        <w:rPr>
          <w:rFonts w:asciiTheme="minorHAnsi" w:hAnsiTheme="minorHAnsi" w:cstheme="minorHAnsi"/>
          <w:lang w:val="lt-LT"/>
        </w:rPr>
        <w:t xml:space="preserve"> turėti pagrindžiančius dokumentus (pvz., pirkimo paraiškoje, Viešųjų pirkimų komisijos posėdžio protokole ar kituose dokumentuose), dėl kokių priežasčių pasirinkti vieni ar kiti ekonomiškai naudingiausio pasiūlymo vertinimo kriterijai, jų parametrai, kodėl jiems suteikti vieni ar kiti lyginamieji svoriai ir kokia jų įtaka perkamo objekto naudojimo efektyvumui bei potencialiai ekonominei naudai.</w:t>
      </w:r>
      <w:r w:rsidR="0021757F">
        <w:rPr>
          <w:rFonts w:asciiTheme="minorHAnsi" w:hAnsiTheme="minorHAnsi" w:cstheme="minorHAnsi"/>
          <w:lang w:val="lt-LT"/>
        </w:rPr>
        <w:t xml:space="preserve"> </w:t>
      </w:r>
      <w:r w:rsidR="002600E1" w:rsidRPr="002600E1">
        <w:rPr>
          <w:rFonts w:asciiTheme="minorHAnsi" w:hAnsiTheme="minorHAnsi" w:cstheme="minorHAnsi"/>
          <w:lang w:val="lt-LT"/>
        </w:rPr>
        <w:t xml:space="preserve">Tarnyba atkreipia Perkančiosios organizacijos dėmesį, jog kainos ir kokybės santykis parodo kiek Perkančiajai organizacijai yra svarbi kokybė (šiuo atveju pasirinkti techniniai, funkciniai parametrai), t. y. kiek Perkančioji organizacija pasirengusi sumokėti už kokybės </w:t>
      </w:r>
      <w:r w:rsidR="002600E1" w:rsidRPr="006D7D76">
        <w:rPr>
          <w:rFonts w:asciiTheme="minorHAnsi" w:hAnsiTheme="minorHAnsi" w:cstheme="minorHAnsi"/>
          <w:lang w:val="lt-LT"/>
        </w:rPr>
        <w:t xml:space="preserve">kriterijus ir </w:t>
      </w:r>
      <w:r w:rsidR="003A1135" w:rsidRPr="006D7D76">
        <w:rPr>
          <w:rFonts w:asciiTheme="minorHAnsi" w:hAnsiTheme="minorHAnsi" w:cstheme="minorHAnsi"/>
          <w:lang w:val="lt-LT"/>
        </w:rPr>
        <w:t xml:space="preserve">tai </w:t>
      </w:r>
      <w:r w:rsidR="002600E1" w:rsidRPr="006D7D76">
        <w:rPr>
          <w:rFonts w:asciiTheme="minorHAnsi" w:hAnsiTheme="minorHAnsi" w:cstheme="minorHAnsi"/>
          <w:lang w:val="lt-LT"/>
        </w:rPr>
        <w:t>paprastai tikrinama simuliacijos metodu</w:t>
      </w:r>
      <w:r w:rsidR="002600E1" w:rsidRPr="002600E1">
        <w:rPr>
          <w:rFonts w:asciiTheme="minorHAnsi" w:hAnsiTheme="minorHAnsi" w:cstheme="minorHAnsi"/>
          <w:lang w:val="lt-LT"/>
        </w:rPr>
        <w:t>.</w:t>
      </w:r>
      <w:r w:rsidR="006D7D76">
        <w:rPr>
          <w:rStyle w:val="FootnoteReference"/>
          <w:rFonts w:asciiTheme="minorHAnsi" w:hAnsiTheme="minorHAnsi" w:cstheme="minorHAnsi"/>
          <w:lang w:val="lt-LT"/>
        </w:rPr>
        <w:footnoteReference w:id="1"/>
      </w:r>
      <w:r w:rsidR="002600E1">
        <w:rPr>
          <w:rFonts w:asciiTheme="minorHAnsi" w:hAnsiTheme="minorHAnsi" w:cstheme="minorHAnsi"/>
          <w:lang w:val="lt-LT"/>
        </w:rPr>
        <w:t xml:space="preserve"> </w:t>
      </w:r>
      <w:r w:rsidR="00AA6932" w:rsidRPr="00AA6932">
        <w:rPr>
          <w:rFonts w:asciiTheme="minorHAnsi" w:hAnsiTheme="minorHAnsi" w:cstheme="minorHAnsi"/>
          <w:lang w:val="lt-LT"/>
        </w:rPr>
        <w:t xml:space="preserve">Pagal Perkančiosios organizacijos pasirinktus kokybės kriterijus bei jiems suteiktą svorį ekonominio naudingumo įvertinime, kitiems gamintojams ir jų siūlomiems modeliams šioje konkrečioje situacijoje nebūtų realios galimybės konkuruoti su </w:t>
      </w:r>
      <w:proofErr w:type="spellStart"/>
      <w:r w:rsidR="003452DD" w:rsidRPr="002D2E71">
        <w:rPr>
          <w:rFonts w:asciiTheme="minorHAnsi" w:hAnsiTheme="minorHAnsi" w:cstheme="minorHAnsi"/>
          <w:b/>
          <w:bCs/>
          <w:lang w:val="lt-LT"/>
        </w:rPr>
        <w:t>Mindray</w:t>
      </w:r>
      <w:proofErr w:type="spellEnd"/>
      <w:r w:rsidR="003452DD" w:rsidRPr="002D2E71">
        <w:rPr>
          <w:rFonts w:asciiTheme="minorHAnsi" w:hAnsiTheme="minorHAnsi" w:cstheme="minorHAnsi"/>
          <w:b/>
          <w:bCs/>
          <w:lang w:val="lt-LT"/>
        </w:rPr>
        <w:t xml:space="preserve"> </w:t>
      </w:r>
      <w:r w:rsidR="00BD5C80" w:rsidRPr="002D2E71">
        <w:rPr>
          <w:rFonts w:asciiTheme="minorHAnsi" w:hAnsiTheme="minorHAnsi" w:cstheme="minorHAnsi"/>
          <w:b/>
          <w:bCs/>
          <w:lang w:val="lt-LT"/>
        </w:rPr>
        <w:t>įranga</w:t>
      </w:r>
      <w:r w:rsidR="00AA6932" w:rsidRPr="002D2E71">
        <w:rPr>
          <w:rFonts w:asciiTheme="minorHAnsi" w:hAnsiTheme="minorHAnsi" w:cstheme="minorHAnsi"/>
          <w:b/>
          <w:bCs/>
          <w:lang w:val="lt-LT"/>
        </w:rPr>
        <w:t>.</w:t>
      </w:r>
    </w:p>
    <w:p w14:paraId="71948242" w14:textId="24CB7710" w:rsidR="0021757F" w:rsidRDefault="0021757F" w:rsidP="009B714F">
      <w:pPr>
        <w:pStyle w:val="tajtip"/>
        <w:shd w:val="clear" w:color="auto" w:fill="FFFFFF"/>
        <w:ind w:firstLine="540"/>
        <w:contextualSpacing/>
        <w:rPr>
          <w:rFonts w:asciiTheme="minorHAnsi" w:hAnsiTheme="minorHAnsi" w:cstheme="minorHAnsi"/>
          <w:lang w:val="lt-LT"/>
        </w:rPr>
      </w:pPr>
      <w:r w:rsidRPr="0021757F">
        <w:rPr>
          <w:rFonts w:asciiTheme="minorHAnsi" w:hAnsiTheme="minorHAnsi" w:cstheme="minorHAnsi"/>
          <w:lang w:val="lt-LT"/>
        </w:rPr>
        <w:t>Tarnyba rekomenduoja Perkančiajai organizacijai pakartotinai įsivertinti Pirkimo sąlygose nustatytų lyginamųjų svorių  pagrįstumą ir proporcingumą, nes Įstatymo 17 straipsnio 2 dalies 1 punktas įpareigoja Perkančiąsias organizacijas siekti, jog prekėms įsigyti skirtos lėšos būtų naudojamos racionaliai, o vykdant pirkimą turi būti užtikrinama tiekėjų konkurencija.</w:t>
      </w:r>
    </w:p>
    <w:p w14:paraId="15FE71D8" w14:textId="37448755" w:rsidR="00D74BE7" w:rsidRDefault="00876189" w:rsidP="00D74BE7">
      <w:pPr>
        <w:pStyle w:val="tajtip"/>
        <w:numPr>
          <w:ilvl w:val="0"/>
          <w:numId w:val="3"/>
        </w:numPr>
        <w:shd w:val="clear" w:color="auto" w:fill="FFFFFF"/>
        <w:contextualSpacing/>
        <w:rPr>
          <w:rFonts w:asciiTheme="minorHAnsi" w:hAnsiTheme="minorHAnsi" w:cstheme="minorHAnsi"/>
          <w:b/>
          <w:bCs/>
          <w:lang w:val="lt-LT"/>
        </w:rPr>
      </w:pPr>
      <w:r w:rsidRPr="00876189">
        <w:rPr>
          <w:rFonts w:asciiTheme="minorHAnsi" w:hAnsiTheme="minorHAnsi" w:cstheme="minorHAnsi"/>
          <w:b/>
          <w:bCs/>
          <w:lang w:val="lt-LT"/>
        </w:rPr>
        <w:t xml:space="preserve">Dėl skelbimo </w:t>
      </w:r>
      <w:proofErr w:type="spellStart"/>
      <w:r w:rsidRPr="00876189">
        <w:rPr>
          <w:rFonts w:asciiTheme="minorHAnsi" w:hAnsiTheme="minorHAnsi" w:cstheme="minorHAnsi"/>
          <w:b/>
          <w:bCs/>
          <w:lang w:val="lt-LT"/>
        </w:rPr>
        <w:t>eformos</w:t>
      </w:r>
      <w:proofErr w:type="spellEnd"/>
      <w:r w:rsidRPr="00876189">
        <w:rPr>
          <w:rFonts w:asciiTheme="minorHAnsi" w:hAnsiTheme="minorHAnsi" w:cstheme="minorHAnsi"/>
          <w:b/>
          <w:bCs/>
          <w:lang w:val="lt-LT"/>
        </w:rPr>
        <w:t xml:space="preserve"> pildymo</w:t>
      </w:r>
    </w:p>
    <w:p w14:paraId="3D296860" w14:textId="1A313FED" w:rsidR="00331331" w:rsidRDefault="00E146B6" w:rsidP="009B714F">
      <w:pPr>
        <w:pStyle w:val="tajtip"/>
        <w:shd w:val="clear" w:color="auto" w:fill="FFFFFF"/>
        <w:ind w:firstLine="540"/>
        <w:contextualSpacing/>
        <w:rPr>
          <w:rFonts w:asciiTheme="minorHAnsi" w:hAnsiTheme="minorHAnsi" w:cstheme="minorHAnsi"/>
          <w:lang w:val="lt-LT"/>
        </w:rPr>
      </w:pPr>
      <w:r>
        <w:rPr>
          <w:rFonts w:asciiTheme="minorHAnsi" w:hAnsiTheme="minorHAnsi" w:cstheme="minorHAnsi"/>
          <w:lang w:val="lt-LT"/>
        </w:rPr>
        <w:t xml:space="preserve">Skelbimo </w:t>
      </w:r>
      <w:r w:rsidRPr="00C32C9A">
        <w:rPr>
          <w:rFonts w:asciiTheme="minorHAnsi" w:hAnsiTheme="minorHAnsi" w:cstheme="minorHAnsi"/>
          <w:lang w:val="lt-LT"/>
        </w:rPr>
        <w:t xml:space="preserve">5.1.3. papunktyje nurodytas </w:t>
      </w:r>
      <w:r w:rsidR="00DB4734">
        <w:rPr>
          <w:rFonts w:asciiTheme="minorHAnsi" w:hAnsiTheme="minorHAnsi" w:cstheme="minorHAnsi"/>
          <w:lang w:val="lt-LT"/>
        </w:rPr>
        <w:t>n</w:t>
      </w:r>
      <w:r w:rsidR="00683B53" w:rsidRPr="00C32C9A">
        <w:rPr>
          <w:rFonts w:asciiTheme="minorHAnsi" w:hAnsiTheme="minorHAnsi" w:cstheme="minorHAnsi"/>
          <w:lang w:val="lt-LT"/>
        </w:rPr>
        <w:t>u</w:t>
      </w:r>
      <w:r w:rsidR="001D0CBA">
        <w:rPr>
          <w:rFonts w:asciiTheme="minorHAnsi" w:hAnsiTheme="minorHAnsi" w:cstheme="minorHAnsi"/>
          <w:lang w:val="lt-LT"/>
        </w:rPr>
        <w:t xml:space="preserve">statytas sutarties </w:t>
      </w:r>
      <w:r w:rsidR="00683B53" w:rsidRPr="00C32C9A">
        <w:rPr>
          <w:rFonts w:asciiTheme="minorHAnsi" w:hAnsiTheme="minorHAnsi" w:cstheme="minorHAnsi"/>
          <w:lang w:val="lt-LT"/>
        </w:rPr>
        <w:t xml:space="preserve"> galiojim</w:t>
      </w:r>
      <w:r w:rsidR="001D0CBA">
        <w:rPr>
          <w:rFonts w:asciiTheme="minorHAnsi" w:hAnsiTheme="minorHAnsi" w:cstheme="minorHAnsi"/>
          <w:lang w:val="lt-LT"/>
        </w:rPr>
        <w:t xml:space="preserve">o terminas </w:t>
      </w:r>
      <w:r w:rsidR="00C32C9A" w:rsidRPr="00C32C9A">
        <w:rPr>
          <w:rFonts w:asciiTheme="minorHAnsi" w:hAnsiTheme="minorHAnsi" w:cstheme="minorHAnsi"/>
          <w:lang w:val="lt-LT"/>
        </w:rPr>
        <w:t xml:space="preserve"> – 3 m</w:t>
      </w:r>
      <w:r w:rsidR="00C32C9A">
        <w:rPr>
          <w:rFonts w:asciiTheme="minorHAnsi" w:hAnsiTheme="minorHAnsi" w:cstheme="minorHAnsi"/>
          <w:lang w:val="lt-LT"/>
        </w:rPr>
        <w:t>ėnesiai</w:t>
      </w:r>
      <w:r w:rsidR="00C4584E">
        <w:rPr>
          <w:rFonts w:asciiTheme="minorHAnsi" w:hAnsiTheme="minorHAnsi" w:cstheme="minorHAnsi"/>
          <w:lang w:val="lt-LT"/>
        </w:rPr>
        <w:t xml:space="preserve">, nors tik prekių pristatymo terminas yra </w:t>
      </w:r>
      <w:r w:rsidR="00C4584E" w:rsidRPr="00C4584E">
        <w:rPr>
          <w:rFonts w:asciiTheme="minorHAnsi" w:hAnsiTheme="minorHAnsi" w:cstheme="minorHAnsi"/>
          <w:lang w:val="lt-LT"/>
        </w:rPr>
        <w:t xml:space="preserve">3 </w:t>
      </w:r>
      <w:r w:rsidR="00503DFE">
        <w:rPr>
          <w:rFonts w:asciiTheme="minorHAnsi" w:hAnsiTheme="minorHAnsi" w:cstheme="minorHAnsi"/>
          <w:lang w:val="lt-LT"/>
        </w:rPr>
        <w:t>mėnesiai</w:t>
      </w:r>
      <w:r w:rsidR="00C32C9A">
        <w:rPr>
          <w:rFonts w:asciiTheme="minorHAnsi" w:hAnsiTheme="minorHAnsi" w:cstheme="minorHAnsi"/>
          <w:lang w:val="lt-LT"/>
        </w:rPr>
        <w:t xml:space="preserve">. Šiame skelbimo </w:t>
      </w:r>
      <w:r w:rsidR="0002483B">
        <w:rPr>
          <w:rFonts w:asciiTheme="minorHAnsi" w:hAnsiTheme="minorHAnsi" w:cstheme="minorHAnsi"/>
          <w:lang w:val="lt-LT"/>
        </w:rPr>
        <w:t>punkte turi būti nurodyt</w:t>
      </w:r>
      <w:r w:rsidR="00C02B8A">
        <w:rPr>
          <w:rFonts w:asciiTheme="minorHAnsi" w:hAnsiTheme="minorHAnsi" w:cstheme="minorHAnsi"/>
          <w:lang w:val="lt-LT"/>
        </w:rPr>
        <w:t>as laikotar</w:t>
      </w:r>
      <w:r w:rsidR="00366ACB">
        <w:rPr>
          <w:rFonts w:asciiTheme="minorHAnsi" w:hAnsiTheme="minorHAnsi" w:cstheme="minorHAnsi"/>
          <w:lang w:val="lt-LT"/>
        </w:rPr>
        <w:t>pius nuo sutarties įsigaliojimo iki jos pabaigos</w:t>
      </w:r>
      <w:r w:rsidR="00021CC0">
        <w:rPr>
          <w:rFonts w:asciiTheme="minorHAnsi" w:hAnsiTheme="minorHAnsi" w:cstheme="minorHAnsi"/>
          <w:lang w:val="lt-LT"/>
        </w:rPr>
        <w:t xml:space="preserve"> (</w:t>
      </w:r>
      <w:r w:rsidR="00931D7A">
        <w:rPr>
          <w:rFonts w:asciiTheme="minorHAnsi" w:hAnsiTheme="minorHAnsi" w:cstheme="minorHAnsi"/>
          <w:lang w:val="lt-LT"/>
        </w:rPr>
        <w:t xml:space="preserve">galiojimo trukmė turi apimti </w:t>
      </w:r>
      <w:r w:rsidR="00340A63">
        <w:rPr>
          <w:rFonts w:asciiTheme="minorHAnsi" w:hAnsiTheme="minorHAnsi" w:cstheme="minorHAnsi"/>
          <w:lang w:val="lt-LT"/>
        </w:rPr>
        <w:t xml:space="preserve">visas pasirinkimo galimybes </w:t>
      </w:r>
      <w:r w:rsidR="00331331">
        <w:rPr>
          <w:rFonts w:asciiTheme="minorHAnsi" w:hAnsiTheme="minorHAnsi" w:cstheme="minorHAnsi"/>
          <w:lang w:val="lt-LT"/>
        </w:rPr>
        <w:t xml:space="preserve">ir atnaujinimą). </w:t>
      </w:r>
    </w:p>
    <w:p w14:paraId="62B0D2B7" w14:textId="77777777" w:rsidR="00426F26" w:rsidRDefault="00426F26" w:rsidP="009B714F">
      <w:pPr>
        <w:pStyle w:val="tajtip"/>
        <w:shd w:val="clear" w:color="auto" w:fill="FFFFFF"/>
        <w:ind w:firstLine="540"/>
        <w:contextualSpacing/>
        <w:rPr>
          <w:rFonts w:asciiTheme="minorHAnsi" w:hAnsiTheme="minorHAnsi" w:cstheme="minorHAnsi"/>
          <w:lang w:val="lt-LT"/>
        </w:rPr>
      </w:pPr>
    </w:p>
    <w:p w14:paraId="347983C2" w14:textId="33F3EAFD" w:rsidR="00302DA1" w:rsidRDefault="00EE50D4" w:rsidP="009B714F">
      <w:pPr>
        <w:pStyle w:val="tajtip"/>
        <w:shd w:val="clear" w:color="auto" w:fill="FFFFFF"/>
        <w:ind w:firstLine="540"/>
        <w:contextualSpacing/>
        <w:rPr>
          <w:rFonts w:asciiTheme="minorHAnsi" w:hAnsiTheme="minorHAnsi" w:cstheme="minorHAnsi"/>
          <w:lang w:val="lt-LT"/>
        </w:rPr>
      </w:pPr>
      <w:r w:rsidRPr="00EE50D4">
        <w:rPr>
          <w:rFonts w:asciiTheme="minorHAnsi" w:hAnsiTheme="minorHAnsi" w:cstheme="minorHAnsi"/>
          <w:lang w:val="lt-LT"/>
        </w:rPr>
        <w:t>Pažymėtina, kad Įstatymo 37 straipsnio 3 dalyje nurodyta, jog „Techninė specifikacija turi užtikrinti konkurenciją ir nediskriminuoti tiekėjų“, o pagal 55 straipsnio 5 dalį, pasirinkti pasiūlymų vertinimo kriterijai neturi Perkančiajai organizacijai suteikti neribotos pasirinkimo laisvės ir turi užtikrinti veiksmingą tiekėjų konkurenciją.</w:t>
      </w:r>
      <w:r w:rsidR="00DB4734">
        <w:rPr>
          <w:rFonts w:asciiTheme="minorHAnsi" w:hAnsiTheme="minorHAnsi" w:cstheme="minorHAnsi"/>
          <w:lang w:val="lt-LT"/>
        </w:rPr>
        <w:t xml:space="preserve"> </w:t>
      </w:r>
      <w:r w:rsidRPr="00EE50D4">
        <w:rPr>
          <w:rFonts w:asciiTheme="minorHAnsi" w:hAnsiTheme="minorHAnsi" w:cstheme="minorHAnsi"/>
          <w:lang w:val="lt-LT"/>
        </w:rPr>
        <w:t xml:space="preserve">Atkreiptinas dėmesys, kad Įstatyme yra įtvirtinta pareiga pirkimams skiriamas lėšas naudoti racionaliai, o vykdant pirkimą užtikrinti Įstatyme įtvirtintų principų laikymąsi. </w:t>
      </w:r>
    </w:p>
    <w:p w14:paraId="17C9101C" w14:textId="699A8477" w:rsidR="007E5C08" w:rsidRDefault="00EE50D4" w:rsidP="009B714F">
      <w:pPr>
        <w:pStyle w:val="tajtip"/>
        <w:shd w:val="clear" w:color="auto" w:fill="FFFFFF"/>
        <w:ind w:firstLine="540"/>
        <w:contextualSpacing/>
        <w:rPr>
          <w:rFonts w:asciiTheme="minorHAnsi" w:hAnsiTheme="minorHAnsi" w:cstheme="minorHAnsi"/>
          <w:lang w:val="lt-LT"/>
        </w:rPr>
      </w:pPr>
      <w:r w:rsidRPr="00095287">
        <w:rPr>
          <w:rFonts w:asciiTheme="minorHAnsi" w:hAnsiTheme="minorHAnsi" w:cstheme="minorHAnsi"/>
          <w:lang w:val="lt-LT"/>
        </w:rPr>
        <w:t xml:space="preserve">Nagrinėjamu atveju nesant įrodymų, jog Pirkimo </w:t>
      </w:r>
      <w:r w:rsidR="001D0CBA">
        <w:rPr>
          <w:rFonts w:asciiTheme="minorHAnsi" w:hAnsiTheme="minorHAnsi" w:cstheme="minorHAnsi"/>
          <w:lang w:val="lt-LT"/>
        </w:rPr>
        <w:t>t</w:t>
      </w:r>
      <w:r w:rsidRPr="00095287">
        <w:rPr>
          <w:rFonts w:asciiTheme="minorHAnsi" w:hAnsiTheme="minorHAnsi" w:cstheme="minorHAnsi"/>
          <w:lang w:val="lt-LT"/>
        </w:rPr>
        <w:t>echninės specifikacijos reikalavimų visumą atitinka daugiau nei vieno konkretaus gamintojo modelis, Tarnyba rekomenduoja šį Pirkimą nutraukti, prieš inicijuojant naujo viešojo pirkimo procedūras, tinkamai atlikti rinkos tyrimą, vertinant pagal įrangos kategoriją, orientacinę kainą lygiaverčius prietaisus, o techninę specifikaciją bei pasiūlymų vertinimo kriterijus patikslinti taip, kad ji</w:t>
      </w:r>
      <w:r w:rsidR="00892335">
        <w:rPr>
          <w:rFonts w:asciiTheme="minorHAnsi" w:hAnsiTheme="minorHAnsi" w:cstheme="minorHAnsi"/>
          <w:lang w:val="lt-LT"/>
        </w:rPr>
        <w:t>e</w:t>
      </w:r>
      <w:r w:rsidRPr="00095287">
        <w:rPr>
          <w:rFonts w:asciiTheme="minorHAnsi" w:hAnsiTheme="minorHAnsi" w:cstheme="minorHAnsi"/>
          <w:lang w:val="lt-LT"/>
        </w:rPr>
        <w:t xml:space="preserve"> neribotų tiekėjų konkurencijos bei užtikrintų pirkimo tikslo pasiekimą – pirkimui skirtos lėšos būtų naudojamos </w:t>
      </w:r>
      <w:r w:rsidRPr="00095287">
        <w:rPr>
          <w:rFonts w:asciiTheme="minorHAnsi" w:hAnsiTheme="minorHAnsi" w:cstheme="minorHAnsi"/>
          <w:lang w:val="lt-LT"/>
        </w:rPr>
        <w:lastRenderedPageBreak/>
        <w:t xml:space="preserve">racionaliai.  Rengiant naujo pirkimo dokumentus, rekomenduotina įsivertinti pasiūlymų vertinimo kriterijų lyginamuosius svorius, </w:t>
      </w:r>
      <w:r w:rsidR="0090634B">
        <w:rPr>
          <w:rFonts w:asciiTheme="minorHAnsi" w:hAnsiTheme="minorHAnsi" w:cstheme="minorHAnsi"/>
          <w:lang w:val="lt-LT"/>
        </w:rPr>
        <w:t xml:space="preserve">atlikti simuliacijas (teorinius skaičiavimus, kurie parodo kokybės kriterijų </w:t>
      </w:r>
      <w:r w:rsidR="00FE302A">
        <w:rPr>
          <w:rFonts w:asciiTheme="minorHAnsi" w:hAnsiTheme="minorHAnsi" w:cstheme="minorHAnsi"/>
          <w:lang w:val="lt-LT"/>
        </w:rPr>
        <w:t xml:space="preserve">svorių piniginę išraišką, t. y. „kainą“), </w:t>
      </w:r>
      <w:r w:rsidRPr="00095287">
        <w:rPr>
          <w:rFonts w:asciiTheme="minorHAnsi" w:hAnsiTheme="minorHAnsi" w:cstheme="minorHAnsi"/>
          <w:lang w:val="lt-LT"/>
        </w:rPr>
        <w:t>siekiant užtikrinti realią tiekėjų galimybę varžytis šiame Pirkime</w:t>
      </w:r>
      <w:r w:rsidR="00095287">
        <w:rPr>
          <w:rFonts w:asciiTheme="minorHAnsi" w:hAnsiTheme="minorHAnsi" w:cstheme="minorHAnsi"/>
          <w:lang w:val="lt-LT"/>
        </w:rPr>
        <w:t xml:space="preserve">, </w:t>
      </w:r>
      <w:r w:rsidR="00095287" w:rsidRPr="00503DFE">
        <w:rPr>
          <w:rFonts w:asciiTheme="minorHAnsi" w:hAnsiTheme="minorHAnsi" w:cstheme="minorHAnsi"/>
          <w:lang w:val="lt-LT"/>
        </w:rPr>
        <w:t xml:space="preserve">patikslinti </w:t>
      </w:r>
      <w:r w:rsidR="003E0FF0" w:rsidRPr="00503DFE">
        <w:rPr>
          <w:rFonts w:asciiTheme="minorHAnsi" w:hAnsiTheme="minorHAnsi" w:cstheme="minorHAnsi"/>
          <w:lang w:val="lt-LT"/>
        </w:rPr>
        <w:t>tiekėjų pašalinimo pagrindus, kaip nurodyt</w:t>
      </w:r>
      <w:r w:rsidR="00C4584E" w:rsidRPr="00503DFE">
        <w:rPr>
          <w:rFonts w:asciiTheme="minorHAnsi" w:hAnsiTheme="minorHAnsi" w:cstheme="minorHAnsi"/>
          <w:lang w:val="lt-LT"/>
        </w:rPr>
        <w:t>a šioje Rekomendacijoje</w:t>
      </w:r>
      <w:r w:rsidR="005E692D">
        <w:rPr>
          <w:rFonts w:asciiTheme="minorHAnsi" w:hAnsiTheme="minorHAnsi" w:cstheme="minorHAnsi"/>
          <w:lang w:val="lt-LT"/>
        </w:rPr>
        <w:t xml:space="preserve"> bei nurodyti Pirkimo dokumentuose sprendimo, neskaidyti </w:t>
      </w:r>
      <w:r w:rsidR="007E5C08">
        <w:rPr>
          <w:rFonts w:asciiTheme="minorHAnsi" w:hAnsiTheme="minorHAnsi" w:cstheme="minorHAnsi"/>
          <w:lang w:val="lt-LT"/>
        </w:rPr>
        <w:t xml:space="preserve">Pirkimo į dalis </w:t>
      </w:r>
      <w:r w:rsidR="00D21654">
        <w:rPr>
          <w:rFonts w:asciiTheme="minorHAnsi" w:hAnsiTheme="minorHAnsi" w:cstheme="minorHAnsi"/>
          <w:lang w:val="lt-LT"/>
        </w:rPr>
        <w:t xml:space="preserve">pagrindimą, kaip to reikalauja Įstatymo </w:t>
      </w:r>
      <w:r w:rsidR="00D21654" w:rsidRPr="00D21654">
        <w:rPr>
          <w:rFonts w:asciiTheme="minorHAnsi" w:hAnsiTheme="minorHAnsi" w:cstheme="minorHAnsi"/>
          <w:lang w:val="lt-LT"/>
        </w:rPr>
        <w:t>28</w:t>
      </w:r>
      <w:r w:rsidR="00D21654">
        <w:rPr>
          <w:rFonts w:asciiTheme="minorHAnsi" w:hAnsiTheme="minorHAnsi" w:cstheme="minorHAnsi"/>
          <w:lang w:val="lt-LT"/>
        </w:rPr>
        <w:t xml:space="preserve"> straipsnio 2 dalis, </w:t>
      </w:r>
      <w:r w:rsidR="002A0627">
        <w:rPr>
          <w:rFonts w:asciiTheme="minorHAnsi" w:hAnsiTheme="minorHAnsi" w:cstheme="minorHAnsi"/>
          <w:lang w:val="lt-LT"/>
        </w:rPr>
        <w:t>35 straipsnio 2 dalies 9 punktas</w:t>
      </w:r>
      <w:r w:rsidR="00C4584E" w:rsidRPr="00503DFE">
        <w:rPr>
          <w:rFonts w:asciiTheme="minorHAnsi" w:hAnsiTheme="minorHAnsi" w:cstheme="minorHAnsi"/>
          <w:lang w:val="lt-LT"/>
        </w:rPr>
        <w:t>.</w:t>
      </w:r>
    </w:p>
    <w:p w14:paraId="6693C263" w14:textId="13A78C6D" w:rsidR="002F40CC" w:rsidRDefault="002F40CC" w:rsidP="009B714F">
      <w:pPr>
        <w:pStyle w:val="tajtip"/>
        <w:shd w:val="clear" w:color="auto" w:fill="FFFFFF"/>
        <w:ind w:firstLine="540"/>
        <w:contextualSpacing/>
        <w:rPr>
          <w:rFonts w:asciiTheme="minorHAnsi" w:hAnsiTheme="minorHAnsi" w:cstheme="minorHAnsi"/>
          <w:lang w:val="lt-LT"/>
        </w:rPr>
      </w:pPr>
      <w:r w:rsidRPr="002F40CC">
        <w:rPr>
          <w:rFonts w:asciiTheme="minorHAnsi" w:hAnsiTheme="minorHAnsi" w:cstheme="minorHAnsi"/>
          <w:lang w:val="lt-LT"/>
        </w:rPr>
        <w:t>Pažymėtina, kad visais atvejais sprendimą dėl tolimesnio Pirkimo procedūr</w:t>
      </w:r>
      <w:r w:rsidR="001D0CBA">
        <w:rPr>
          <w:rFonts w:asciiTheme="minorHAnsi" w:hAnsiTheme="minorHAnsi" w:cstheme="minorHAnsi"/>
          <w:lang w:val="lt-LT"/>
        </w:rPr>
        <w:t>os</w:t>
      </w:r>
      <w:r w:rsidRPr="002F40CC">
        <w:rPr>
          <w:rFonts w:asciiTheme="minorHAnsi" w:hAnsiTheme="minorHAnsi" w:cstheme="minorHAnsi"/>
          <w:lang w:val="lt-LT"/>
        </w:rPr>
        <w:t xml:space="preserve"> vykdymo ar nutraukimo priima pati Perkančioji organizacija, nes Tarnybos pateikta Rekomendacija nėra privalomojo pobūdžio įpareigojimas, tačiau Perkančiajai organizacijai, neatsižvelgus į Rekomendaciją, yra sprendžiamas klausimas dėl Pirkimo perdavimo išsamiam vertinimui. Atkreiptinas dėmesys, kad Įstatymo 36 straipsnio 6 dalyje nustatyta, kad „&lt;...&gt; Tarptautinių pirkimų atveju negali būti daromi tokie esminiai pirkimo sąlygų pakeitimai, dėl kurių būtų buvę galima leisti dalyvauti kitiems kandidatams, negu iš pradžių atrinktiesiems, arba pirkimo procedūra būtų pritraukusi daugiau dalyvių.“</w:t>
      </w:r>
    </w:p>
    <w:p w14:paraId="6596FE93" w14:textId="6DCA5734" w:rsidR="00503DFE" w:rsidRDefault="00EE50D4" w:rsidP="00C74907">
      <w:pPr>
        <w:pStyle w:val="tajtip"/>
        <w:shd w:val="clear" w:color="auto" w:fill="FFFFFF"/>
        <w:ind w:firstLine="360"/>
        <w:contextualSpacing/>
        <w:rPr>
          <w:rFonts w:asciiTheme="minorHAnsi" w:hAnsiTheme="minorHAnsi" w:cstheme="minorHAnsi"/>
          <w:lang w:val="lt-LT"/>
        </w:rPr>
      </w:pPr>
      <w:r w:rsidRPr="00503DFE">
        <w:rPr>
          <w:rFonts w:asciiTheme="minorHAnsi" w:hAnsiTheme="minorHAnsi" w:cstheme="minorHAnsi"/>
          <w:lang w:val="lt-LT"/>
        </w:rPr>
        <w:t xml:space="preserve"> </w:t>
      </w:r>
    </w:p>
    <w:p w14:paraId="296EE54F" w14:textId="77777777" w:rsidR="00503DFE" w:rsidRPr="00503DFE" w:rsidRDefault="00503DFE" w:rsidP="00503DFE">
      <w:pPr>
        <w:pStyle w:val="tajtip"/>
        <w:shd w:val="clear" w:color="auto" w:fill="FFFFFF"/>
        <w:ind w:firstLine="360"/>
        <w:contextualSpacing/>
        <w:rPr>
          <w:rFonts w:asciiTheme="minorHAnsi" w:hAnsiTheme="minorHAnsi" w:cstheme="minorHAnsi"/>
          <w:lang w:val="lt-LT"/>
        </w:rPr>
      </w:pPr>
    </w:p>
    <w:sectPr w:rsidR="00503DFE" w:rsidRPr="00503DFE">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F48F724" w14:textId="77777777" w:rsidR="00F53F0C" w:rsidRDefault="00F53F0C" w:rsidP="00054927">
      <w:pPr>
        <w:spacing w:after="0" w:line="240" w:lineRule="auto"/>
      </w:pPr>
      <w:r>
        <w:separator/>
      </w:r>
    </w:p>
  </w:endnote>
  <w:endnote w:type="continuationSeparator" w:id="0">
    <w:p w14:paraId="6E3657B4" w14:textId="77777777" w:rsidR="00F53F0C" w:rsidRDefault="00F53F0C" w:rsidP="0005492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DE982BC" w14:textId="77777777" w:rsidR="00F53F0C" w:rsidRDefault="00F53F0C" w:rsidP="00054927">
      <w:pPr>
        <w:spacing w:after="0" w:line="240" w:lineRule="auto"/>
      </w:pPr>
      <w:r>
        <w:separator/>
      </w:r>
    </w:p>
  </w:footnote>
  <w:footnote w:type="continuationSeparator" w:id="0">
    <w:p w14:paraId="3039A45C" w14:textId="77777777" w:rsidR="00F53F0C" w:rsidRDefault="00F53F0C" w:rsidP="00054927">
      <w:pPr>
        <w:spacing w:after="0" w:line="240" w:lineRule="auto"/>
      </w:pPr>
      <w:r>
        <w:continuationSeparator/>
      </w:r>
    </w:p>
  </w:footnote>
  <w:footnote w:id="1">
    <w:p w14:paraId="50A06D62" w14:textId="7107B6E0" w:rsidR="005461BF" w:rsidRDefault="006D7D76" w:rsidP="00A250C2">
      <w:pPr>
        <w:pStyle w:val="FootnoteText"/>
      </w:pPr>
      <w:r>
        <w:rPr>
          <w:rStyle w:val="FootnoteReference"/>
        </w:rPr>
        <w:footnoteRef/>
      </w:r>
      <w:r>
        <w:t xml:space="preserve"> </w:t>
      </w:r>
      <w:hyperlink r:id="rId1" w:history="1">
        <w:r w:rsidR="004954AA" w:rsidRPr="00A52F3D">
          <w:rPr>
            <w:rStyle w:val="Hyperlink"/>
          </w:rPr>
          <w:t>https://vpt.lrv.lt/uploads/vpt/documents/files/mp/ENPV_gaires.pdf</w:t>
        </w:r>
      </w:hyperlink>
    </w:p>
    <w:p w14:paraId="1E921BD1" w14:textId="7484E5FF" w:rsidR="005461BF" w:rsidRDefault="00BC4E27" w:rsidP="00A250C2">
      <w:pPr>
        <w:pStyle w:val="FootnoteText"/>
      </w:pPr>
      <w:hyperlink r:id="rId2" w:history="1">
        <w:r w:rsidR="005461BF" w:rsidRPr="002D2BDE">
          <w:rPr>
            <w:rStyle w:val="Hyperlink"/>
          </w:rPr>
          <w:t>https://vpt.lrv.lt/uploads/vpt/documents/files/mp/env_aprasymai.pdf</w:t>
        </w:r>
      </w:hyperlink>
    </w:p>
    <w:p w14:paraId="754E0FBB" w14:textId="77777777" w:rsidR="00137B37" w:rsidRPr="004954AA" w:rsidRDefault="00137B37">
      <w:pPr>
        <w:pStyle w:val="FootnoteText"/>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AD25CF3"/>
    <w:multiLevelType w:val="multilevel"/>
    <w:tmpl w:val="3D7E74AA"/>
    <w:lvl w:ilvl="0">
      <w:start w:val="1"/>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1" w15:restartNumberingAfterBreak="0">
    <w:nsid w:val="4B6E0601"/>
    <w:multiLevelType w:val="hybridMultilevel"/>
    <w:tmpl w:val="D288574C"/>
    <w:lvl w:ilvl="0" w:tplc="569AA41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5FDF3F00"/>
    <w:multiLevelType w:val="hybridMultilevel"/>
    <w:tmpl w:val="A7003D4C"/>
    <w:lvl w:ilvl="0" w:tplc="3CD89D00">
      <w:start w:val="1"/>
      <w:numFmt w:val="decimal"/>
      <w:lvlText w:val="%1)"/>
      <w:lvlJc w:val="left"/>
      <w:pPr>
        <w:ind w:left="360"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 w15:restartNumberingAfterBreak="0">
    <w:nsid w:val="74801128"/>
    <w:multiLevelType w:val="hybridMultilevel"/>
    <w:tmpl w:val="DDA6AB40"/>
    <w:lvl w:ilvl="0" w:tplc="165047C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736587056">
    <w:abstractNumId w:val="1"/>
  </w:num>
  <w:num w:numId="2" w16cid:durableId="144709971">
    <w:abstractNumId w:val="0"/>
  </w:num>
  <w:num w:numId="3" w16cid:durableId="1794403475">
    <w:abstractNumId w:val="2"/>
  </w:num>
  <w:num w:numId="4" w16cid:durableId="141015040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92115"/>
    <w:rsid w:val="00003A0B"/>
    <w:rsid w:val="00003B87"/>
    <w:rsid w:val="00005C17"/>
    <w:rsid w:val="000118E2"/>
    <w:rsid w:val="0001645D"/>
    <w:rsid w:val="00021CC0"/>
    <w:rsid w:val="0002483B"/>
    <w:rsid w:val="0002555A"/>
    <w:rsid w:val="000261A8"/>
    <w:rsid w:val="00026AC1"/>
    <w:rsid w:val="00027236"/>
    <w:rsid w:val="00031A27"/>
    <w:rsid w:val="000377BF"/>
    <w:rsid w:val="00054927"/>
    <w:rsid w:val="00074ECA"/>
    <w:rsid w:val="00075BF9"/>
    <w:rsid w:val="00093BF4"/>
    <w:rsid w:val="00095287"/>
    <w:rsid w:val="000A6A80"/>
    <w:rsid w:val="000C2C7D"/>
    <w:rsid w:val="000C5BE3"/>
    <w:rsid w:val="000E69E0"/>
    <w:rsid w:val="000F68A3"/>
    <w:rsid w:val="000F7E13"/>
    <w:rsid w:val="00117516"/>
    <w:rsid w:val="001263B8"/>
    <w:rsid w:val="00132405"/>
    <w:rsid w:val="0013375D"/>
    <w:rsid w:val="00134B4B"/>
    <w:rsid w:val="00137B37"/>
    <w:rsid w:val="00151755"/>
    <w:rsid w:val="00161283"/>
    <w:rsid w:val="001718AF"/>
    <w:rsid w:val="001A7BBE"/>
    <w:rsid w:val="001C47F5"/>
    <w:rsid w:val="001C4AD6"/>
    <w:rsid w:val="001D0CBA"/>
    <w:rsid w:val="001D3C60"/>
    <w:rsid w:val="001E2265"/>
    <w:rsid w:val="001E2330"/>
    <w:rsid w:val="001E2B27"/>
    <w:rsid w:val="001F096F"/>
    <w:rsid w:val="001F53F8"/>
    <w:rsid w:val="0020294A"/>
    <w:rsid w:val="00207B42"/>
    <w:rsid w:val="00214541"/>
    <w:rsid w:val="0021757F"/>
    <w:rsid w:val="00221750"/>
    <w:rsid w:val="00232E0F"/>
    <w:rsid w:val="002472F4"/>
    <w:rsid w:val="002600E1"/>
    <w:rsid w:val="0026173C"/>
    <w:rsid w:val="002635D4"/>
    <w:rsid w:val="00266ED6"/>
    <w:rsid w:val="0028646C"/>
    <w:rsid w:val="002914C1"/>
    <w:rsid w:val="002A0627"/>
    <w:rsid w:val="002A07FE"/>
    <w:rsid w:val="002B00B9"/>
    <w:rsid w:val="002C15C8"/>
    <w:rsid w:val="002C6814"/>
    <w:rsid w:val="002C6F6F"/>
    <w:rsid w:val="002C73BA"/>
    <w:rsid w:val="002D1F8A"/>
    <w:rsid w:val="002D2E71"/>
    <w:rsid w:val="002D4D99"/>
    <w:rsid w:val="002D71C4"/>
    <w:rsid w:val="002E1948"/>
    <w:rsid w:val="002E3F8A"/>
    <w:rsid w:val="002F0A22"/>
    <w:rsid w:val="002F351F"/>
    <w:rsid w:val="002F40CC"/>
    <w:rsid w:val="00302DA1"/>
    <w:rsid w:val="00304EC5"/>
    <w:rsid w:val="00322562"/>
    <w:rsid w:val="0032725C"/>
    <w:rsid w:val="00331331"/>
    <w:rsid w:val="00337A1D"/>
    <w:rsid w:val="00337AA0"/>
    <w:rsid w:val="00340A63"/>
    <w:rsid w:val="003446E8"/>
    <w:rsid w:val="003452DD"/>
    <w:rsid w:val="00363AE9"/>
    <w:rsid w:val="00366ACB"/>
    <w:rsid w:val="00371B50"/>
    <w:rsid w:val="0037513A"/>
    <w:rsid w:val="00394735"/>
    <w:rsid w:val="003A1135"/>
    <w:rsid w:val="003C3D26"/>
    <w:rsid w:val="003C4D9A"/>
    <w:rsid w:val="003D3F92"/>
    <w:rsid w:val="003D72A0"/>
    <w:rsid w:val="003E0FF0"/>
    <w:rsid w:val="003E343B"/>
    <w:rsid w:val="004063A8"/>
    <w:rsid w:val="00426F26"/>
    <w:rsid w:val="00433B5E"/>
    <w:rsid w:val="0043463F"/>
    <w:rsid w:val="0045069F"/>
    <w:rsid w:val="00452EC7"/>
    <w:rsid w:val="00455250"/>
    <w:rsid w:val="0046034C"/>
    <w:rsid w:val="00461481"/>
    <w:rsid w:val="004661C1"/>
    <w:rsid w:val="0047247E"/>
    <w:rsid w:val="00480006"/>
    <w:rsid w:val="004953AB"/>
    <w:rsid w:val="004954AA"/>
    <w:rsid w:val="004A433A"/>
    <w:rsid w:val="004B18DB"/>
    <w:rsid w:val="004B4205"/>
    <w:rsid w:val="004C2493"/>
    <w:rsid w:val="004E3616"/>
    <w:rsid w:val="004F7BC6"/>
    <w:rsid w:val="005002FC"/>
    <w:rsid w:val="005007EA"/>
    <w:rsid w:val="00501E36"/>
    <w:rsid w:val="005022E4"/>
    <w:rsid w:val="005027F1"/>
    <w:rsid w:val="00503DFE"/>
    <w:rsid w:val="00515ED5"/>
    <w:rsid w:val="00534451"/>
    <w:rsid w:val="00535E7B"/>
    <w:rsid w:val="005406E3"/>
    <w:rsid w:val="005449A0"/>
    <w:rsid w:val="005461BF"/>
    <w:rsid w:val="00550D68"/>
    <w:rsid w:val="0055672D"/>
    <w:rsid w:val="00561AB3"/>
    <w:rsid w:val="005838B3"/>
    <w:rsid w:val="005867D1"/>
    <w:rsid w:val="0059448F"/>
    <w:rsid w:val="005951D9"/>
    <w:rsid w:val="005A1E3B"/>
    <w:rsid w:val="005A230F"/>
    <w:rsid w:val="005A6497"/>
    <w:rsid w:val="005E692D"/>
    <w:rsid w:val="00610E10"/>
    <w:rsid w:val="00613296"/>
    <w:rsid w:val="00615CC5"/>
    <w:rsid w:val="00615EE6"/>
    <w:rsid w:val="00626825"/>
    <w:rsid w:val="00627D85"/>
    <w:rsid w:val="00631FCC"/>
    <w:rsid w:val="00636EE5"/>
    <w:rsid w:val="00655CB3"/>
    <w:rsid w:val="006641B1"/>
    <w:rsid w:val="0067673C"/>
    <w:rsid w:val="00683B53"/>
    <w:rsid w:val="0068425F"/>
    <w:rsid w:val="00692115"/>
    <w:rsid w:val="00696C02"/>
    <w:rsid w:val="006A2821"/>
    <w:rsid w:val="006A605C"/>
    <w:rsid w:val="006D05DE"/>
    <w:rsid w:val="006D38F0"/>
    <w:rsid w:val="006D488E"/>
    <w:rsid w:val="006D7D76"/>
    <w:rsid w:val="006F2E80"/>
    <w:rsid w:val="006F3D68"/>
    <w:rsid w:val="006F53D4"/>
    <w:rsid w:val="007124AE"/>
    <w:rsid w:val="0071485A"/>
    <w:rsid w:val="00716684"/>
    <w:rsid w:val="0073238F"/>
    <w:rsid w:val="00732ED4"/>
    <w:rsid w:val="007331E6"/>
    <w:rsid w:val="0075102B"/>
    <w:rsid w:val="00752009"/>
    <w:rsid w:val="00766B5E"/>
    <w:rsid w:val="00770EAB"/>
    <w:rsid w:val="00776514"/>
    <w:rsid w:val="0077711D"/>
    <w:rsid w:val="00791D6A"/>
    <w:rsid w:val="00793047"/>
    <w:rsid w:val="0079387D"/>
    <w:rsid w:val="00794B15"/>
    <w:rsid w:val="00797B8E"/>
    <w:rsid w:val="007A6E2A"/>
    <w:rsid w:val="007A7E76"/>
    <w:rsid w:val="007B45FE"/>
    <w:rsid w:val="007C11DF"/>
    <w:rsid w:val="007D1C09"/>
    <w:rsid w:val="007D6908"/>
    <w:rsid w:val="007E3042"/>
    <w:rsid w:val="007E5C08"/>
    <w:rsid w:val="007F2454"/>
    <w:rsid w:val="007F2735"/>
    <w:rsid w:val="007F5C11"/>
    <w:rsid w:val="007F7264"/>
    <w:rsid w:val="00811F43"/>
    <w:rsid w:val="0081511A"/>
    <w:rsid w:val="0082196F"/>
    <w:rsid w:val="008668D9"/>
    <w:rsid w:val="00876189"/>
    <w:rsid w:val="008765BE"/>
    <w:rsid w:val="008819CD"/>
    <w:rsid w:val="008872A3"/>
    <w:rsid w:val="00892335"/>
    <w:rsid w:val="008A336C"/>
    <w:rsid w:val="008C0F33"/>
    <w:rsid w:val="008D4614"/>
    <w:rsid w:val="008E1FC6"/>
    <w:rsid w:val="00900897"/>
    <w:rsid w:val="0090634B"/>
    <w:rsid w:val="009123FC"/>
    <w:rsid w:val="00914793"/>
    <w:rsid w:val="00920D60"/>
    <w:rsid w:val="0093034B"/>
    <w:rsid w:val="00931D7A"/>
    <w:rsid w:val="00934F3D"/>
    <w:rsid w:val="00943AE6"/>
    <w:rsid w:val="0094453A"/>
    <w:rsid w:val="00946373"/>
    <w:rsid w:val="00950921"/>
    <w:rsid w:val="00955180"/>
    <w:rsid w:val="00963928"/>
    <w:rsid w:val="00971043"/>
    <w:rsid w:val="00972A9B"/>
    <w:rsid w:val="00990699"/>
    <w:rsid w:val="00991906"/>
    <w:rsid w:val="00996E37"/>
    <w:rsid w:val="009B105F"/>
    <w:rsid w:val="009B1A86"/>
    <w:rsid w:val="009B67C8"/>
    <w:rsid w:val="009B714F"/>
    <w:rsid w:val="009C5040"/>
    <w:rsid w:val="009C6614"/>
    <w:rsid w:val="009D1FC4"/>
    <w:rsid w:val="009E4C33"/>
    <w:rsid w:val="009E7D72"/>
    <w:rsid w:val="009F3D88"/>
    <w:rsid w:val="009F3E62"/>
    <w:rsid w:val="00A250C2"/>
    <w:rsid w:val="00A35208"/>
    <w:rsid w:val="00A5070B"/>
    <w:rsid w:val="00A94836"/>
    <w:rsid w:val="00A9644D"/>
    <w:rsid w:val="00AA0FE8"/>
    <w:rsid w:val="00AA3221"/>
    <w:rsid w:val="00AA33DE"/>
    <w:rsid w:val="00AA6932"/>
    <w:rsid w:val="00AD3CE6"/>
    <w:rsid w:val="00AE0093"/>
    <w:rsid w:val="00AF0F55"/>
    <w:rsid w:val="00AF78B8"/>
    <w:rsid w:val="00B00BE9"/>
    <w:rsid w:val="00B0740F"/>
    <w:rsid w:val="00B12672"/>
    <w:rsid w:val="00B1792E"/>
    <w:rsid w:val="00B23126"/>
    <w:rsid w:val="00B33432"/>
    <w:rsid w:val="00B352C3"/>
    <w:rsid w:val="00B36AAC"/>
    <w:rsid w:val="00B421F8"/>
    <w:rsid w:val="00B5324C"/>
    <w:rsid w:val="00B66478"/>
    <w:rsid w:val="00B7010A"/>
    <w:rsid w:val="00B731C2"/>
    <w:rsid w:val="00B81D61"/>
    <w:rsid w:val="00B84EDC"/>
    <w:rsid w:val="00B87101"/>
    <w:rsid w:val="00B92B06"/>
    <w:rsid w:val="00BC4E27"/>
    <w:rsid w:val="00BC7978"/>
    <w:rsid w:val="00BD07BB"/>
    <w:rsid w:val="00BD5C80"/>
    <w:rsid w:val="00BD7643"/>
    <w:rsid w:val="00BE699B"/>
    <w:rsid w:val="00C02B8A"/>
    <w:rsid w:val="00C12213"/>
    <w:rsid w:val="00C12356"/>
    <w:rsid w:val="00C25752"/>
    <w:rsid w:val="00C31052"/>
    <w:rsid w:val="00C32C9A"/>
    <w:rsid w:val="00C4584E"/>
    <w:rsid w:val="00C461E6"/>
    <w:rsid w:val="00C46244"/>
    <w:rsid w:val="00C46564"/>
    <w:rsid w:val="00C578EC"/>
    <w:rsid w:val="00C640D6"/>
    <w:rsid w:val="00C641BF"/>
    <w:rsid w:val="00C74907"/>
    <w:rsid w:val="00C76448"/>
    <w:rsid w:val="00C805C9"/>
    <w:rsid w:val="00C8396B"/>
    <w:rsid w:val="00CA1776"/>
    <w:rsid w:val="00CA5CBE"/>
    <w:rsid w:val="00CA617B"/>
    <w:rsid w:val="00CB1C74"/>
    <w:rsid w:val="00CB3B5F"/>
    <w:rsid w:val="00CB501F"/>
    <w:rsid w:val="00CB761C"/>
    <w:rsid w:val="00CC21C2"/>
    <w:rsid w:val="00CC29FF"/>
    <w:rsid w:val="00CD1029"/>
    <w:rsid w:val="00CD6E08"/>
    <w:rsid w:val="00CF03AA"/>
    <w:rsid w:val="00CF7876"/>
    <w:rsid w:val="00D0127D"/>
    <w:rsid w:val="00D01428"/>
    <w:rsid w:val="00D04067"/>
    <w:rsid w:val="00D0449F"/>
    <w:rsid w:val="00D11201"/>
    <w:rsid w:val="00D146B4"/>
    <w:rsid w:val="00D15007"/>
    <w:rsid w:val="00D21654"/>
    <w:rsid w:val="00D25E94"/>
    <w:rsid w:val="00D33257"/>
    <w:rsid w:val="00D52A72"/>
    <w:rsid w:val="00D542C8"/>
    <w:rsid w:val="00D61EB0"/>
    <w:rsid w:val="00D74BE7"/>
    <w:rsid w:val="00D8500B"/>
    <w:rsid w:val="00D97AC3"/>
    <w:rsid w:val="00DA1E41"/>
    <w:rsid w:val="00DA28F8"/>
    <w:rsid w:val="00DA3BD2"/>
    <w:rsid w:val="00DA66EE"/>
    <w:rsid w:val="00DB03D1"/>
    <w:rsid w:val="00DB3F39"/>
    <w:rsid w:val="00DB4734"/>
    <w:rsid w:val="00DB7F7C"/>
    <w:rsid w:val="00DE670F"/>
    <w:rsid w:val="00E1388F"/>
    <w:rsid w:val="00E146B6"/>
    <w:rsid w:val="00E1771D"/>
    <w:rsid w:val="00E2368B"/>
    <w:rsid w:val="00E30A2F"/>
    <w:rsid w:val="00E53A92"/>
    <w:rsid w:val="00E543D2"/>
    <w:rsid w:val="00E54D2E"/>
    <w:rsid w:val="00E564D6"/>
    <w:rsid w:val="00E93548"/>
    <w:rsid w:val="00E96F2A"/>
    <w:rsid w:val="00EA0D92"/>
    <w:rsid w:val="00EC23A9"/>
    <w:rsid w:val="00EC41EA"/>
    <w:rsid w:val="00ED1B5D"/>
    <w:rsid w:val="00ED2701"/>
    <w:rsid w:val="00ED378B"/>
    <w:rsid w:val="00ED4924"/>
    <w:rsid w:val="00ED66EF"/>
    <w:rsid w:val="00EE35AF"/>
    <w:rsid w:val="00EE50D4"/>
    <w:rsid w:val="00EF032A"/>
    <w:rsid w:val="00EF4C58"/>
    <w:rsid w:val="00EF5131"/>
    <w:rsid w:val="00F00D42"/>
    <w:rsid w:val="00F06193"/>
    <w:rsid w:val="00F07F1A"/>
    <w:rsid w:val="00F13030"/>
    <w:rsid w:val="00F2056E"/>
    <w:rsid w:val="00F53F0C"/>
    <w:rsid w:val="00F63C1F"/>
    <w:rsid w:val="00F75671"/>
    <w:rsid w:val="00F76ECF"/>
    <w:rsid w:val="00F83801"/>
    <w:rsid w:val="00F90B15"/>
    <w:rsid w:val="00F92713"/>
    <w:rsid w:val="00FA5989"/>
    <w:rsid w:val="00FC0D6E"/>
    <w:rsid w:val="00FD3AB7"/>
    <w:rsid w:val="00FD4EFA"/>
    <w:rsid w:val="00FE20F2"/>
    <w:rsid w:val="00FE302A"/>
    <w:rsid w:val="00FE4C29"/>
    <w:rsid w:val="00FE52F1"/>
    <w:rsid w:val="00FF24B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29C9C1"/>
  <w15:chartTrackingRefBased/>
  <w15:docId w15:val="{E4255AD3-2257-4FB3-B047-269D786439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8646C"/>
    <w:rPr>
      <w:lang w:val="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jtip">
    <w:name w:val="tajtip"/>
    <w:basedOn w:val="Normal"/>
    <w:rsid w:val="008872A3"/>
    <w:pPr>
      <w:spacing w:before="100" w:beforeAutospacing="1" w:after="100" w:afterAutospacing="1" w:line="240" w:lineRule="auto"/>
    </w:pPr>
    <w:rPr>
      <w:rFonts w:ascii="Times New Roman" w:eastAsia="Times New Roman" w:hAnsi="Times New Roman" w:cs="Times New Roman"/>
      <w:sz w:val="24"/>
      <w:szCs w:val="24"/>
      <w:lang w:val="en-US"/>
    </w:rPr>
  </w:style>
  <w:style w:type="paragraph" w:styleId="FootnoteText">
    <w:name w:val="footnote text"/>
    <w:basedOn w:val="Normal"/>
    <w:link w:val="FootnoteTextChar"/>
    <w:uiPriority w:val="99"/>
    <w:unhideWhenUsed/>
    <w:rsid w:val="00054927"/>
    <w:pPr>
      <w:spacing w:after="0" w:line="240" w:lineRule="auto"/>
    </w:pPr>
    <w:rPr>
      <w:sz w:val="20"/>
      <w:szCs w:val="20"/>
    </w:rPr>
  </w:style>
  <w:style w:type="character" w:customStyle="1" w:styleId="FootnoteTextChar">
    <w:name w:val="Footnote Text Char"/>
    <w:basedOn w:val="DefaultParagraphFont"/>
    <w:link w:val="FootnoteText"/>
    <w:uiPriority w:val="99"/>
    <w:rsid w:val="00054927"/>
    <w:rPr>
      <w:sz w:val="20"/>
      <w:szCs w:val="20"/>
      <w:lang w:val="lt-LT"/>
    </w:rPr>
  </w:style>
  <w:style w:type="character" w:styleId="FootnoteReference">
    <w:name w:val="footnote reference"/>
    <w:basedOn w:val="DefaultParagraphFont"/>
    <w:uiPriority w:val="99"/>
    <w:semiHidden/>
    <w:unhideWhenUsed/>
    <w:rsid w:val="00054927"/>
    <w:rPr>
      <w:vertAlign w:val="superscript"/>
    </w:rPr>
  </w:style>
  <w:style w:type="paragraph" w:styleId="Revision">
    <w:name w:val="Revision"/>
    <w:hidden/>
    <w:uiPriority w:val="99"/>
    <w:semiHidden/>
    <w:rsid w:val="004C2493"/>
    <w:pPr>
      <w:spacing w:after="0" w:line="240" w:lineRule="auto"/>
    </w:pPr>
    <w:rPr>
      <w:lang w:val="lt-LT"/>
    </w:rPr>
  </w:style>
  <w:style w:type="character" w:styleId="CommentReference">
    <w:name w:val="annotation reference"/>
    <w:basedOn w:val="DefaultParagraphFont"/>
    <w:uiPriority w:val="99"/>
    <w:semiHidden/>
    <w:unhideWhenUsed/>
    <w:rsid w:val="00F92713"/>
    <w:rPr>
      <w:sz w:val="16"/>
      <w:szCs w:val="16"/>
    </w:rPr>
  </w:style>
  <w:style w:type="paragraph" w:styleId="CommentText">
    <w:name w:val="annotation text"/>
    <w:basedOn w:val="Normal"/>
    <w:link w:val="CommentTextChar"/>
    <w:uiPriority w:val="99"/>
    <w:unhideWhenUsed/>
    <w:rsid w:val="00F92713"/>
    <w:pPr>
      <w:spacing w:line="240" w:lineRule="auto"/>
    </w:pPr>
    <w:rPr>
      <w:sz w:val="20"/>
      <w:szCs w:val="20"/>
    </w:rPr>
  </w:style>
  <w:style w:type="character" w:customStyle="1" w:styleId="CommentTextChar">
    <w:name w:val="Comment Text Char"/>
    <w:basedOn w:val="DefaultParagraphFont"/>
    <w:link w:val="CommentText"/>
    <w:uiPriority w:val="99"/>
    <w:rsid w:val="00F92713"/>
    <w:rPr>
      <w:sz w:val="20"/>
      <w:szCs w:val="20"/>
      <w:lang w:val="lt-LT"/>
    </w:rPr>
  </w:style>
  <w:style w:type="paragraph" w:styleId="CommentSubject">
    <w:name w:val="annotation subject"/>
    <w:basedOn w:val="CommentText"/>
    <w:next w:val="CommentText"/>
    <w:link w:val="CommentSubjectChar"/>
    <w:uiPriority w:val="99"/>
    <w:semiHidden/>
    <w:unhideWhenUsed/>
    <w:rsid w:val="00F92713"/>
    <w:rPr>
      <w:b/>
      <w:bCs/>
    </w:rPr>
  </w:style>
  <w:style w:type="character" w:customStyle="1" w:styleId="CommentSubjectChar">
    <w:name w:val="Comment Subject Char"/>
    <w:basedOn w:val="CommentTextChar"/>
    <w:link w:val="CommentSubject"/>
    <w:uiPriority w:val="99"/>
    <w:semiHidden/>
    <w:rsid w:val="00F92713"/>
    <w:rPr>
      <w:b/>
      <w:bCs/>
      <w:sz w:val="20"/>
      <w:szCs w:val="20"/>
      <w:lang w:val="lt-LT"/>
    </w:rPr>
  </w:style>
  <w:style w:type="paragraph" w:customStyle="1" w:styleId="pf0">
    <w:name w:val="pf0"/>
    <w:basedOn w:val="Normal"/>
    <w:rsid w:val="0055672D"/>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cf01">
    <w:name w:val="cf01"/>
    <w:basedOn w:val="DefaultParagraphFont"/>
    <w:rsid w:val="0055672D"/>
    <w:rPr>
      <w:rFonts w:ascii="Segoe UI" w:hAnsi="Segoe UI" w:cs="Segoe UI" w:hint="default"/>
      <w:sz w:val="18"/>
      <w:szCs w:val="18"/>
    </w:rPr>
  </w:style>
  <w:style w:type="character" w:styleId="Hyperlink">
    <w:name w:val="Hyperlink"/>
    <w:basedOn w:val="DefaultParagraphFont"/>
    <w:uiPriority w:val="99"/>
    <w:unhideWhenUsed/>
    <w:rsid w:val="00E1771D"/>
    <w:rPr>
      <w:color w:val="0563C1" w:themeColor="hyperlink"/>
      <w:u w:val="single"/>
    </w:rPr>
  </w:style>
  <w:style w:type="character" w:styleId="UnresolvedMention">
    <w:name w:val="Unresolved Mention"/>
    <w:basedOn w:val="DefaultParagraphFont"/>
    <w:uiPriority w:val="99"/>
    <w:semiHidden/>
    <w:unhideWhenUsed/>
    <w:rsid w:val="00E1771D"/>
    <w:rPr>
      <w:color w:val="605E5C"/>
      <w:shd w:val="clear" w:color="auto" w:fill="E1DFDD"/>
    </w:rPr>
  </w:style>
  <w:style w:type="character" w:styleId="FollowedHyperlink">
    <w:name w:val="FollowedHyperlink"/>
    <w:basedOn w:val="DefaultParagraphFont"/>
    <w:uiPriority w:val="99"/>
    <w:semiHidden/>
    <w:unhideWhenUsed/>
    <w:rsid w:val="00E1771D"/>
    <w:rPr>
      <w:color w:val="954F72" w:themeColor="followedHyperlink"/>
      <w:u w:val="single"/>
    </w:rPr>
  </w:style>
  <w:style w:type="paragraph" w:styleId="ListParagraph">
    <w:name w:val="List Paragraph"/>
    <w:basedOn w:val="Normal"/>
    <w:uiPriority w:val="34"/>
    <w:qFormat/>
    <w:rsid w:val="00AF0F5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08525993">
      <w:bodyDiv w:val="1"/>
      <w:marLeft w:val="0"/>
      <w:marRight w:val="0"/>
      <w:marTop w:val="0"/>
      <w:marBottom w:val="0"/>
      <w:divBdr>
        <w:top w:val="none" w:sz="0" w:space="0" w:color="auto"/>
        <w:left w:val="none" w:sz="0" w:space="0" w:color="auto"/>
        <w:bottom w:val="none" w:sz="0" w:space="0" w:color="auto"/>
        <w:right w:val="none" w:sz="0" w:space="0" w:color="auto"/>
      </w:divBdr>
    </w:div>
    <w:div w:id="887494841">
      <w:bodyDiv w:val="1"/>
      <w:marLeft w:val="0"/>
      <w:marRight w:val="0"/>
      <w:marTop w:val="0"/>
      <w:marBottom w:val="0"/>
      <w:divBdr>
        <w:top w:val="none" w:sz="0" w:space="0" w:color="auto"/>
        <w:left w:val="none" w:sz="0" w:space="0" w:color="auto"/>
        <w:bottom w:val="none" w:sz="0" w:space="0" w:color="auto"/>
        <w:right w:val="none" w:sz="0" w:space="0" w:color="auto"/>
      </w:divBdr>
      <w:divsChild>
        <w:div w:id="1411807682">
          <w:marLeft w:val="0"/>
          <w:marRight w:val="0"/>
          <w:marTop w:val="0"/>
          <w:marBottom w:val="0"/>
          <w:divBdr>
            <w:top w:val="none" w:sz="0" w:space="0" w:color="auto"/>
            <w:left w:val="none" w:sz="0" w:space="0" w:color="auto"/>
            <w:bottom w:val="none" w:sz="0" w:space="0" w:color="auto"/>
            <w:right w:val="none" w:sz="0" w:space="0" w:color="auto"/>
          </w:divBdr>
        </w:div>
      </w:divsChild>
    </w:div>
    <w:div w:id="1199246967">
      <w:bodyDiv w:val="1"/>
      <w:marLeft w:val="0"/>
      <w:marRight w:val="0"/>
      <w:marTop w:val="0"/>
      <w:marBottom w:val="0"/>
      <w:divBdr>
        <w:top w:val="none" w:sz="0" w:space="0" w:color="auto"/>
        <w:left w:val="none" w:sz="0" w:space="0" w:color="auto"/>
        <w:bottom w:val="none" w:sz="0" w:space="0" w:color="auto"/>
        <w:right w:val="none" w:sz="0" w:space="0" w:color="auto"/>
      </w:divBdr>
      <w:divsChild>
        <w:div w:id="248001718">
          <w:marLeft w:val="0"/>
          <w:marRight w:val="0"/>
          <w:marTop w:val="0"/>
          <w:marBottom w:val="0"/>
          <w:divBdr>
            <w:top w:val="none" w:sz="0" w:space="0" w:color="auto"/>
            <w:left w:val="none" w:sz="0" w:space="0" w:color="auto"/>
            <w:bottom w:val="none" w:sz="0" w:space="0" w:color="auto"/>
            <w:right w:val="none" w:sz="0" w:space="0" w:color="auto"/>
          </w:divBdr>
        </w:div>
      </w:divsChild>
    </w:div>
    <w:div w:id="1448894378">
      <w:bodyDiv w:val="1"/>
      <w:marLeft w:val="0"/>
      <w:marRight w:val="0"/>
      <w:marTop w:val="0"/>
      <w:marBottom w:val="0"/>
      <w:divBdr>
        <w:top w:val="none" w:sz="0" w:space="0" w:color="auto"/>
        <w:left w:val="none" w:sz="0" w:space="0" w:color="auto"/>
        <w:bottom w:val="none" w:sz="0" w:space="0" w:color="auto"/>
        <w:right w:val="none" w:sz="0" w:space="0" w:color="auto"/>
      </w:divBdr>
    </w:div>
    <w:div w:id="1512255205">
      <w:bodyDiv w:val="1"/>
      <w:marLeft w:val="0"/>
      <w:marRight w:val="0"/>
      <w:marTop w:val="0"/>
      <w:marBottom w:val="0"/>
      <w:divBdr>
        <w:top w:val="none" w:sz="0" w:space="0" w:color="auto"/>
        <w:left w:val="none" w:sz="0" w:space="0" w:color="auto"/>
        <w:bottom w:val="none" w:sz="0" w:space="0" w:color="auto"/>
        <w:right w:val="none" w:sz="0" w:space="0" w:color="auto"/>
      </w:divBdr>
      <w:divsChild>
        <w:div w:id="1599754169">
          <w:marLeft w:val="0"/>
          <w:marRight w:val="0"/>
          <w:marTop w:val="0"/>
          <w:marBottom w:val="0"/>
          <w:divBdr>
            <w:top w:val="none" w:sz="0" w:space="0" w:color="auto"/>
            <w:left w:val="none" w:sz="0" w:space="0" w:color="auto"/>
            <w:bottom w:val="none" w:sz="0" w:space="0" w:color="auto"/>
            <w:right w:val="none" w:sz="0" w:space="0" w:color="auto"/>
          </w:divBdr>
          <w:divsChild>
            <w:div w:id="28335356">
              <w:marLeft w:val="0"/>
              <w:marRight w:val="0"/>
              <w:marTop w:val="0"/>
              <w:marBottom w:val="0"/>
              <w:divBdr>
                <w:top w:val="none" w:sz="0" w:space="0" w:color="auto"/>
                <w:left w:val="none" w:sz="0" w:space="0" w:color="auto"/>
                <w:bottom w:val="none" w:sz="0" w:space="0" w:color="auto"/>
                <w:right w:val="none" w:sz="0" w:space="0" w:color="auto"/>
              </w:divBdr>
            </w:div>
          </w:divsChild>
        </w:div>
        <w:div w:id="10966557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vpt.lrv.lt/lt/metodine-pagalba/pavyzdiniai-dokumentai-3/pasalinimo-pagrindu-lentele/"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footnotes.xml.rels><?xml version="1.0" encoding="UTF-8" standalone="yes"?>
<Relationships xmlns="http://schemas.openxmlformats.org/package/2006/relationships"><Relationship Id="rId2" Type="http://schemas.openxmlformats.org/officeDocument/2006/relationships/hyperlink" Target="https://vpt.lrv.lt/uploads/vpt/documents/files/mp/env_aprasymai.pdf" TargetMode="External"/><Relationship Id="rId1" Type="http://schemas.openxmlformats.org/officeDocument/2006/relationships/hyperlink" Target="https://vpt.lrv.lt/uploads/vpt/documents/files/mp/ENPV_gaires.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76</TotalTime>
  <Pages>3</Pages>
  <Words>1185</Words>
  <Characters>6760</Characters>
  <Application>Microsoft Office Word</Application>
  <DocSecurity>0</DocSecurity>
  <Lines>56</Lines>
  <Paragraphs>15</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VPT</Company>
  <LinksUpToDate>false</LinksUpToDate>
  <CharactersWithSpaces>7930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Živilė Gasiulienė</dc:creator>
  <cp:keywords/>
  <dc:description/>
  <cp:lastModifiedBy>Živilė Gasiulienė</cp:lastModifiedBy>
  <cp:revision>7</cp:revision>
  <dcterms:created xsi:type="dcterms:W3CDTF">2024-05-08T09:54:00Z</dcterms:created>
  <dcterms:modified xsi:type="dcterms:W3CDTF">2024-05-08T10:03:00Z</dcterms:modified>
</cp:coreProperties>
</file>