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238D" w14:textId="77777777" w:rsidR="00005CEA" w:rsidRPr="005E002E" w:rsidRDefault="00005CEA" w:rsidP="005E002E">
      <w:pPr>
        <w:tabs>
          <w:tab w:val="left" w:pos="993"/>
        </w:tabs>
        <w:spacing w:after="0" w:line="276" w:lineRule="auto"/>
        <w:ind w:firstLine="709"/>
        <w:rPr>
          <w:rFonts w:eastAsia="Calibri" w:cstheme="minorHAnsi"/>
          <w:kern w:val="0"/>
          <w:sz w:val="24"/>
          <w:szCs w:val="24"/>
          <w:lang w:val="lt-LT"/>
          <w14:ligatures w14:val="none"/>
        </w:rPr>
      </w:pPr>
      <w:r w:rsidRPr="005E002E">
        <w:rPr>
          <w:rFonts w:eastAsia="Calibri" w:cstheme="minorHAnsi"/>
          <w:kern w:val="0"/>
          <w:sz w:val="24"/>
          <w:szCs w:val="24"/>
          <w:lang w:val="lt"/>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391BB25" w14:textId="3CE6BE41" w:rsidR="00005CEA" w:rsidRPr="005E002E" w:rsidRDefault="00005CEA" w:rsidP="005E002E">
      <w:pPr>
        <w:shd w:val="clear" w:color="auto" w:fill="FFFFFF"/>
        <w:spacing w:after="0" w:line="276" w:lineRule="auto"/>
        <w:ind w:firstLine="709"/>
        <w:rPr>
          <w:rFonts w:cstheme="minorHAnsi"/>
          <w:kern w:val="0"/>
          <w:sz w:val="24"/>
          <w:szCs w:val="24"/>
          <w:lang w:val="lt-LT"/>
          <w14:ligatures w14:val="none"/>
        </w:rPr>
      </w:pPr>
      <w:r w:rsidRPr="005E002E">
        <w:rPr>
          <w:rFonts w:eastAsia="Calibri" w:cstheme="minorHAnsi"/>
          <w:kern w:val="0"/>
          <w:sz w:val="24"/>
          <w:szCs w:val="24"/>
          <w:lang w:val="lt"/>
          <w14:ligatures w14:val="none"/>
        </w:rPr>
        <w:t xml:space="preserve">Vadovaujantis Tarnybai Įstatyme nustatyta pažeidimų prevencijos funkcija, šiuo metu atliekama </w:t>
      </w:r>
      <w:r w:rsidRPr="008C4844">
        <w:rPr>
          <w:rFonts w:eastAsia="Calibri" w:cstheme="minorHAnsi"/>
          <w:b/>
          <w:bCs/>
          <w:kern w:val="0"/>
          <w:sz w:val="24"/>
          <w:szCs w:val="24"/>
          <w:lang w:val="lt"/>
          <w14:ligatures w14:val="none"/>
        </w:rPr>
        <w:t>Kelmės rajono savivaldybės administracijos</w:t>
      </w:r>
      <w:r w:rsidRPr="005E002E">
        <w:rPr>
          <w:rFonts w:eastAsia="Calibri" w:cstheme="minorHAnsi"/>
          <w:kern w:val="0"/>
          <w:sz w:val="24"/>
          <w:szCs w:val="24"/>
          <w:lang w:val="lt"/>
          <w14:ligatures w14:val="none"/>
        </w:rPr>
        <w:t xml:space="preserve"> (toliau – Perkančioji organizacija) vykdomo pirkimo</w:t>
      </w:r>
      <w:r w:rsidR="002420DD" w:rsidRPr="005E002E">
        <w:rPr>
          <w:rFonts w:eastAsia="Times New Roman" w:cstheme="minorHAnsi"/>
          <w:b/>
          <w:bCs/>
          <w:kern w:val="0"/>
          <w:sz w:val="24"/>
          <w:szCs w:val="24"/>
          <w:lang w:val="lt-LT"/>
          <w14:ligatures w14:val="none"/>
        </w:rPr>
        <w:t xml:space="preserve"> Nr. 712581</w:t>
      </w:r>
      <w:r w:rsidR="002420DD" w:rsidRPr="005E002E">
        <w:rPr>
          <w:rFonts w:eastAsia="Calibri" w:cstheme="minorHAnsi"/>
          <w:kern w:val="0"/>
          <w:sz w:val="24"/>
          <w:szCs w:val="24"/>
          <w:lang w:val="lt"/>
          <w14:ligatures w14:val="none"/>
        </w:rPr>
        <w:t xml:space="preserve"> </w:t>
      </w:r>
      <w:r w:rsidR="002420DD" w:rsidRPr="005E002E">
        <w:rPr>
          <w:rFonts w:ascii="Calibri" w:eastAsia="Times New Roman" w:hAnsi="Calibri" w:cs="Calibri"/>
          <w:b/>
          <w:bCs/>
          <w:kern w:val="0"/>
          <w:sz w:val="24"/>
          <w:szCs w:val="24"/>
          <w14:ligatures w14:val="none"/>
        </w:rPr>
        <w:t>„</w:t>
      </w:r>
      <w:r w:rsidR="002420DD" w:rsidRPr="005E002E">
        <w:rPr>
          <w:b/>
          <w:bCs/>
          <w:sz w:val="24"/>
          <w:szCs w:val="24"/>
        </w:rPr>
        <w:t xml:space="preserve"> KELIO 11-076 „VAIGUVOS K. 13-AS KELIAS“ KAPITALINIS REMONTAS IR AUTOMOBILIŲ STOVĖJIMO AIKŠTELĖS PRIE CIVILINIŲ KAPINIŲ ĮRENGIMAS</w:t>
      </w:r>
      <w:r w:rsidR="002420DD" w:rsidRPr="005E002E">
        <w:rPr>
          <w:rFonts w:ascii="Calibri" w:eastAsia="Times New Roman" w:hAnsi="Calibri" w:cs="Calibri"/>
          <w:b/>
          <w:bCs/>
          <w:kern w:val="0"/>
          <w:sz w:val="24"/>
          <w:szCs w:val="24"/>
          <w14:ligatures w14:val="none"/>
        </w:rPr>
        <w:t xml:space="preserve">“ </w:t>
      </w:r>
      <w:r w:rsidR="002420DD" w:rsidRPr="005E002E">
        <w:rPr>
          <w:rFonts w:eastAsia="Calibri" w:cstheme="minorHAnsi"/>
          <w:kern w:val="0"/>
          <w:sz w:val="24"/>
          <w:szCs w:val="24"/>
          <w:lang w:val="lt"/>
          <w14:ligatures w14:val="none"/>
        </w:rPr>
        <w:t xml:space="preserve"> </w:t>
      </w:r>
      <w:r w:rsidRPr="005E002E">
        <w:rPr>
          <w:rFonts w:eastAsia="Calibri" w:cstheme="minorHAnsi"/>
          <w:kern w:val="0"/>
          <w:sz w:val="24"/>
          <w:szCs w:val="24"/>
          <w:lang w:val="lt"/>
          <w14:ligatures w14:val="none"/>
        </w:rPr>
        <w:t xml:space="preserve"> (toliau – 1 Pirkimas) </w:t>
      </w:r>
      <w:r w:rsidRPr="005E002E">
        <w:rPr>
          <w:rFonts w:eastAsia="Times New Roman" w:cstheme="minorHAnsi"/>
          <w:kern w:val="0"/>
          <w:sz w:val="24"/>
          <w:szCs w:val="24"/>
          <w:lang w:val="lt-LT"/>
          <w14:ligatures w14:val="none"/>
        </w:rPr>
        <w:t>ir pirkimo</w:t>
      </w:r>
      <w:r w:rsidRPr="005E002E">
        <w:rPr>
          <w:rFonts w:eastAsia="Times New Roman" w:cstheme="minorHAnsi"/>
          <w:b/>
          <w:bCs/>
          <w:kern w:val="0"/>
          <w:sz w:val="24"/>
          <w:szCs w:val="24"/>
          <w:lang w:val="lt-LT"/>
          <w14:ligatures w14:val="none"/>
        </w:rPr>
        <w:t xml:space="preserve"> </w:t>
      </w:r>
      <w:r w:rsidR="002420DD" w:rsidRPr="005E002E">
        <w:rPr>
          <w:rFonts w:eastAsia="Calibri" w:cstheme="minorHAnsi"/>
          <w:b/>
          <w:bCs/>
          <w:kern w:val="0"/>
          <w:sz w:val="24"/>
          <w:szCs w:val="24"/>
          <w:lang w:val="lt"/>
          <w14:ligatures w14:val="none"/>
        </w:rPr>
        <w:t xml:space="preserve">Nr. 712843 </w:t>
      </w:r>
      <w:r w:rsidR="002420DD" w:rsidRPr="005E002E">
        <w:rPr>
          <w:b/>
          <w:bCs/>
          <w:sz w:val="24"/>
          <w:szCs w:val="24"/>
          <w:lang w:val="lt-LT"/>
        </w:rPr>
        <w:t>„</w:t>
      </w:r>
      <w:r w:rsidR="002420DD" w:rsidRPr="005E002E">
        <w:rPr>
          <w:b/>
          <w:bCs/>
          <w:sz w:val="24"/>
          <w:szCs w:val="24"/>
        </w:rPr>
        <w:t>KELIO KE-63 „KELMĖS M. PAUPIO G.“ KAPITALINIS REMONTAS (I ETAPAS)</w:t>
      </w:r>
      <w:r w:rsidR="002420DD" w:rsidRPr="005E002E">
        <w:rPr>
          <w:b/>
          <w:bCs/>
          <w:sz w:val="24"/>
          <w:szCs w:val="24"/>
          <w:lang w:val="lt-LT"/>
        </w:rPr>
        <w:t>“</w:t>
      </w:r>
      <w:r w:rsidR="002420DD" w:rsidRPr="005E002E">
        <w:rPr>
          <w:rFonts w:eastAsia="Calibri" w:cstheme="minorHAnsi"/>
          <w:kern w:val="0"/>
          <w:sz w:val="24"/>
          <w:szCs w:val="24"/>
          <w:lang w:val="lt"/>
          <w14:ligatures w14:val="none"/>
        </w:rPr>
        <w:t xml:space="preserve"> </w:t>
      </w:r>
      <w:r w:rsidRPr="005E002E">
        <w:rPr>
          <w:rFonts w:eastAsia="Calibri" w:cstheme="minorHAnsi"/>
          <w:kern w:val="0"/>
          <w:sz w:val="24"/>
          <w:szCs w:val="24"/>
          <w:lang w:val="lt"/>
          <w14:ligatures w14:val="none"/>
        </w:rPr>
        <w:t>(toliau – 2 Pirkimas)</w:t>
      </w:r>
      <w:r w:rsidRPr="005E002E">
        <w:rPr>
          <w:rFonts w:cstheme="minorHAnsi"/>
          <w:kern w:val="0"/>
          <w:sz w:val="24"/>
          <w:szCs w:val="24"/>
          <w:lang w:val="lt-LT"/>
          <w14:ligatures w14:val="none"/>
        </w:rPr>
        <w:t>  (toliau tekste abu kartu – Pirkimai) dokumentų atitikties Įstatymui ir su jo įgyvendinimu susijusiems teisės aktams peržiūr</w:t>
      </w:r>
      <w:r w:rsidR="002B211E" w:rsidRPr="005E002E">
        <w:rPr>
          <w:rFonts w:cstheme="minorHAnsi"/>
          <w:kern w:val="0"/>
          <w:sz w:val="24"/>
          <w:szCs w:val="24"/>
          <w:lang w:val="lt-LT"/>
          <w14:ligatures w14:val="none"/>
        </w:rPr>
        <w:t>a</w:t>
      </w:r>
      <w:r w:rsidRPr="005E002E">
        <w:rPr>
          <w:rFonts w:cstheme="minorHAnsi"/>
          <w:kern w:val="0"/>
          <w:sz w:val="24"/>
          <w:szCs w:val="24"/>
          <w:lang w:val="lt-LT"/>
          <w14:ligatures w14:val="none"/>
        </w:rPr>
        <w:t xml:space="preserve"> (peržiūra prevenciniais tikslais atliekama tam tikra apimtimi). </w:t>
      </w:r>
    </w:p>
    <w:p w14:paraId="38C57014" w14:textId="77777777" w:rsidR="00005CEA" w:rsidRPr="005E002E" w:rsidRDefault="00005CEA" w:rsidP="005E002E">
      <w:pPr>
        <w:spacing w:line="276" w:lineRule="auto"/>
        <w:rPr>
          <w:rFonts w:cstheme="minorHAnsi"/>
          <w:kern w:val="0"/>
          <w:sz w:val="24"/>
          <w:szCs w:val="24"/>
          <w:lang w:val="lt-LT"/>
          <w14:ligatures w14:val="none"/>
        </w:rPr>
      </w:pPr>
      <w:r w:rsidRPr="005E002E">
        <w:rPr>
          <w:rFonts w:cstheme="minorHAnsi"/>
          <w:kern w:val="0"/>
          <w:sz w:val="24"/>
          <w:szCs w:val="24"/>
          <w:lang w:val="lt-LT"/>
          <w14:ligatures w14:val="none"/>
        </w:rPr>
        <w:t xml:space="preserve">            Tarnyba, prevencine tvarka peržiūrėjusi Pirkimų dokumentus, teikia pastabas ir rekomendacijas (toliau – Rekomendacija) dėl Pirkimų dokumentų nuostatų.</w:t>
      </w:r>
    </w:p>
    <w:p w14:paraId="5805A8DB" w14:textId="609C74E2" w:rsidR="00C87E6C" w:rsidRPr="005E002E" w:rsidRDefault="009D72CB" w:rsidP="005E002E">
      <w:pPr>
        <w:spacing w:line="276" w:lineRule="auto"/>
        <w:rPr>
          <w:b/>
          <w:bCs/>
          <w:sz w:val="24"/>
          <w:szCs w:val="24"/>
        </w:rPr>
      </w:pPr>
      <w:r w:rsidRPr="005E002E">
        <w:rPr>
          <w:b/>
          <w:bCs/>
          <w:sz w:val="24"/>
          <w:szCs w:val="24"/>
        </w:rPr>
        <w:t xml:space="preserve">1. Dėl </w:t>
      </w:r>
      <w:r w:rsidR="00C704D6" w:rsidRPr="005E002E">
        <w:rPr>
          <w:b/>
          <w:bCs/>
          <w:sz w:val="24"/>
          <w:szCs w:val="24"/>
        </w:rPr>
        <w:t>abiejų Pirkimų dokumentuose nustatytų reikalavimų</w:t>
      </w:r>
    </w:p>
    <w:p w14:paraId="07FAA739" w14:textId="082494A1" w:rsidR="00024067" w:rsidRPr="005E002E" w:rsidRDefault="00F5229E" w:rsidP="005E002E">
      <w:pPr>
        <w:spacing w:line="276" w:lineRule="auto"/>
        <w:ind w:firstLine="567"/>
        <w:rPr>
          <w:rFonts w:cstheme="minorHAnsi"/>
          <w:sz w:val="24"/>
          <w:szCs w:val="24"/>
        </w:rPr>
      </w:pPr>
      <w:r w:rsidRPr="0051170C">
        <w:rPr>
          <w:rFonts w:eastAsia="Times New Roman" w:cstheme="minorHAnsi"/>
          <w:b/>
          <w:bCs/>
          <w:sz w:val="24"/>
          <w:szCs w:val="24"/>
          <w:lang w:val="lt"/>
        </w:rPr>
        <w:t>1.</w:t>
      </w:r>
      <w:r w:rsidR="00C704D6" w:rsidRPr="0051170C">
        <w:rPr>
          <w:rFonts w:eastAsia="Times New Roman" w:cstheme="minorHAnsi"/>
          <w:b/>
          <w:bCs/>
          <w:sz w:val="24"/>
          <w:szCs w:val="24"/>
          <w:lang w:val="lt"/>
        </w:rPr>
        <w:t>1.</w:t>
      </w:r>
      <w:r w:rsidR="00C704D6" w:rsidRPr="005E002E">
        <w:rPr>
          <w:rFonts w:eastAsia="Times New Roman" w:cstheme="minorHAnsi"/>
          <w:sz w:val="24"/>
          <w:szCs w:val="24"/>
          <w:lang w:val="lt"/>
        </w:rPr>
        <w:t xml:space="preserve"> </w:t>
      </w:r>
      <w:r w:rsidRPr="005E002E">
        <w:rPr>
          <w:rFonts w:eastAsia="Times New Roman" w:cstheme="minorHAnsi"/>
          <w:sz w:val="24"/>
          <w:szCs w:val="24"/>
          <w:lang w:val="lt"/>
        </w:rPr>
        <w:t xml:space="preserve"> </w:t>
      </w:r>
      <w:r w:rsidR="009C146D" w:rsidRPr="005E002E">
        <w:rPr>
          <w:rFonts w:eastAsia="Times New Roman" w:cstheme="minorHAnsi"/>
          <w:sz w:val="24"/>
          <w:szCs w:val="24"/>
          <w:lang w:val="lt"/>
        </w:rPr>
        <w:t>Įstatymo 35 straipsnio 4 dalyje nurodyta, kad „&lt;...&gt; Pirkimo dokumentai turi būti tikslūs, aiškūs, be dviprasmybių, kad tiekėjai galėtų pateikti pasiūlymus, o perkančioji organizacija – nupirkti tai, ko reikia“.</w:t>
      </w:r>
      <w:r w:rsidR="009C146D" w:rsidRPr="005E002E">
        <w:rPr>
          <w:rFonts w:eastAsia="Times New Roman" w:cstheme="minorHAnsi"/>
          <w:i/>
          <w:iCs/>
          <w:sz w:val="24"/>
          <w:szCs w:val="24"/>
          <w:lang w:val="lt"/>
        </w:rPr>
        <w:t xml:space="preserve"> </w:t>
      </w:r>
      <w:r w:rsidR="009C146D" w:rsidRPr="005E002E">
        <w:rPr>
          <w:rFonts w:eastAsia="Calibri" w:cstheme="minorHAnsi"/>
          <w:sz w:val="24"/>
          <w:szCs w:val="24"/>
        </w:rPr>
        <w:t xml:space="preserve">Nagrinėjamu atveju </w:t>
      </w:r>
      <w:r w:rsidR="006A2CD3" w:rsidRPr="005E002E">
        <w:rPr>
          <w:rFonts w:cstheme="minorHAnsi"/>
          <w:sz w:val="24"/>
          <w:szCs w:val="24"/>
        </w:rPr>
        <w:t xml:space="preserve">Pirkimų </w:t>
      </w:r>
      <w:r w:rsidR="008B70D3" w:rsidRPr="005E002E">
        <w:rPr>
          <w:rFonts w:cstheme="minorHAnsi"/>
          <w:sz w:val="24"/>
          <w:szCs w:val="24"/>
        </w:rPr>
        <w:t xml:space="preserve">sąlygų 30.1 papunkčio lentelės </w:t>
      </w:r>
      <w:r w:rsidR="00653BEC" w:rsidRPr="005E002E">
        <w:rPr>
          <w:rFonts w:cstheme="minorHAnsi"/>
          <w:sz w:val="24"/>
          <w:szCs w:val="24"/>
        </w:rPr>
        <w:t xml:space="preserve">30.1.1. </w:t>
      </w:r>
      <w:r w:rsidR="00821CBA" w:rsidRPr="005E002E">
        <w:rPr>
          <w:rFonts w:cstheme="minorHAnsi"/>
          <w:sz w:val="24"/>
          <w:szCs w:val="24"/>
        </w:rPr>
        <w:t xml:space="preserve">eilutėje </w:t>
      </w:r>
      <w:r w:rsidR="00905C1D" w:rsidRPr="005E002E">
        <w:rPr>
          <w:rFonts w:cstheme="minorHAnsi"/>
          <w:sz w:val="24"/>
          <w:szCs w:val="24"/>
        </w:rPr>
        <w:t xml:space="preserve">nustatytas </w:t>
      </w:r>
      <w:r w:rsidR="0017314F" w:rsidRPr="005E002E">
        <w:rPr>
          <w:rFonts w:cstheme="minorHAnsi"/>
          <w:sz w:val="24"/>
          <w:szCs w:val="24"/>
        </w:rPr>
        <w:t>kvalifikacinis reikalavimas dėl tiekėjų teisė</w:t>
      </w:r>
      <w:r w:rsidR="00AF79B3" w:rsidRPr="005E002E">
        <w:rPr>
          <w:rFonts w:cstheme="minorHAnsi"/>
          <w:sz w:val="24"/>
          <w:szCs w:val="24"/>
        </w:rPr>
        <w:t>s</w:t>
      </w:r>
      <w:r w:rsidR="0017314F" w:rsidRPr="005E002E">
        <w:rPr>
          <w:rFonts w:cstheme="minorHAnsi"/>
          <w:sz w:val="24"/>
          <w:szCs w:val="24"/>
        </w:rPr>
        <w:t xml:space="preserve"> verstis</w:t>
      </w:r>
      <w:r w:rsidR="00285769" w:rsidRPr="005E002E">
        <w:rPr>
          <w:rFonts w:cstheme="minorHAnsi"/>
          <w:sz w:val="24"/>
          <w:szCs w:val="24"/>
        </w:rPr>
        <w:t xml:space="preserve"> </w:t>
      </w:r>
      <w:r w:rsidR="009C146D" w:rsidRPr="005E002E">
        <w:rPr>
          <w:rFonts w:cstheme="minorHAnsi"/>
          <w:sz w:val="24"/>
          <w:szCs w:val="24"/>
        </w:rPr>
        <w:t>atitinkama</w:t>
      </w:r>
      <w:r w:rsidR="0017314F" w:rsidRPr="005E002E">
        <w:rPr>
          <w:rFonts w:cstheme="minorHAnsi"/>
          <w:sz w:val="24"/>
          <w:szCs w:val="24"/>
        </w:rPr>
        <w:t xml:space="preserve"> </w:t>
      </w:r>
      <w:r w:rsidR="002F1CC2" w:rsidRPr="005E002E">
        <w:rPr>
          <w:rFonts w:cstheme="minorHAnsi"/>
          <w:sz w:val="24"/>
          <w:szCs w:val="24"/>
        </w:rPr>
        <w:t>veikla</w:t>
      </w:r>
      <w:r w:rsidR="004C171A" w:rsidRPr="005E002E">
        <w:rPr>
          <w:rFonts w:cstheme="minorHAnsi"/>
          <w:sz w:val="24"/>
          <w:szCs w:val="24"/>
        </w:rPr>
        <w:t xml:space="preserve"> ir </w:t>
      </w:r>
      <w:r w:rsidR="005C2639" w:rsidRPr="005E002E">
        <w:rPr>
          <w:rFonts w:cstheme="minorHAnsi"/>
          <w:sz w:val="24"/>
          <w:szCs w:val="24"/>
        </w:rPr>
        <w:t xml:space="preserve">ir </w:t>
      </w:r>
      <w:r w:rsidR="008D2B2D" w:rsidRPr="005E002E">
        <w:rPr>
          <w:rFonts w:cstheme="minorHAnsi"/>
          <w:sz w:val="24"/>
          <w:szCs w:val="24"/>
        </w:rPr>
        <w:t>nu</w:t>
      </w:r>
      <w:r w:rsidR="00C135D0">
        <w:rPr>
          <w:rFonts w:cstheme="minorHAnsi"/>
          <w:sz w:val="24"/>
          <w:szCs w:val="24"/>
        </w:rPr>
        <w:t>rodyta</w:t>
      </w:r>
      <w:r w:rsidR="008D2B2D" w:rsidRPr="005E002E">
        <w:rPr>
          <w:rFonts w:cstheme="minorHAnsi"/>
          <w:sz w:val="24"/>
          <w:szCs w:val="24"/>
        </w:rPr>
        <w:t xml:space="preserve">, </w:t>
      </w:r>
      <w:r w:rsidR="005C2639" w:rsidRPr="005E002E">
        <w:rPr>
          <w:rFonts w:cstheme="minorHAnsi"/>
          <w:sz w:val="24"/>
          <w:szCs w:val="24"/>
        </w:rPr>
        <w:t xml:space="preserve">kaip </w:t>
      </w:r>
      <w:r w:rsidR="008D2B2D" w:rsidRPr="005E002E">
        <w:rPr>
          <w:rFonts w:cstheme="minorHAnsi"/>
          <w:sz w:val="24"/>
          <w:szCs w:val="24"/>
        </w:rPr>
        <w:t>p</w:t>
      </w:r>
      <w:r w:rsidR="005C2639" w:rsidRPr="005E002E">
        <w:rPr>
          <w:rFonts w:cstheme="minorHAnsi"/>
          <w:sz w:val="24"/>
          <w:szCs w:val="24"/>
        </w:rPr>
        <w:t>erkančioji</w:t>
      </w:r>
      <w:r w:rsidR="00647AC2" w:rsidRPr="005E002E">
        <w:rPr>
          <w:rFonts w:cstheme="minorHAnsi"/>
          <w:sz w:val="24"/>
          <w:szCs w:val="24"/>
        </w:rPr>
        <w:t xml:space="preserve"> organizacija</w:t>
      </w:r>
      <w:r w:rsidR="005C2639" w:rsidRPr="005E002E">
        <w:rPr>
          <w:rFonts w:cstheme="minorHAnsi"/>
          <w:sz w:val="24"/>
          <w:szCs w:val="24"/>
        </w:rPr>
        <w:t xml:space="preserve"> įsitikins subtiekėjų </w:t>
      </w:r>
      <w:r w:rsidR="00647AC2" w:rsidRPr="005E002E">
        <w:rPr>
          <w:rFonts w:cstheme="minorHAnsi"/>
          <w:sz w:val="24"/>
          <w:szCs w:val="24"/>
        </w:rPr>
        <w:t>atitiktimi nusta</w:t>
      </w:r>
      <w:r w:rsidR="00905C32" w:rsidRPr="005E002E">
        <w:rPr>
          <w:rFonts w:cstheme="minorHAnsi"/>
          <w:sz w:val="24"/>
          <w:szCs w:val="24"/>
        </w:rPr>
        <w:t>t</w:t>
      </w:r>
      <w:r w:rsidR="00647AC2" w:rsidRPr="005E002E">
        <w:rPr>
          <w:rFonts w:cstheme="minorHAnsi"/>
          <w:sz w:val="24"/>
          <w:szCs w:val="24"/>
        </w:rPr>
        <w:t>ytam reikalavimui</w:t>
      </w:r>
      <w:r w:rsidR="00C135D0">
        <w:rPr>
          <w:rFonts w:cstheme="minorHAnsi"/>
          <w:sz w:val="24"/>
          <w:szCs w:val="24"/>
        </w:rPr>
        <w:t xml:space="preserve"> bei pateikta tokia informacija</w:t>
      </w:r>
      <w:r w:rsidR="0078607E">
        <w:rPr>
          <w:rFonts w:cstheme="minorHAnsi"/>
          <w:sz w:val="24"/>
          <w:szCs w:val="24"/>
        </w:rPr>
        <w:t>:</w:t>
      </w:r>
      <w:r w:rsidR="002F1CC2" w:rsidRPr="005E002E">
        <w:rPr>
          <w:rFonts w:cstheme="minorHAnsi"/>
          <w:sz w:val="24"/>
          <w:szCs w:val="24"/>
        </w:rPr>
        <w:t xml:space="preserve"> </w:t>
      </w:r>
      <w:r w:rsidR="000D4759" w:rsidRPr="005E002E">
        <w:rPr>
          <w:rFonts w:cstheme="minorHAnsi"/>
          <w:sz w:val="24"/>
          <w:szCs w:val="24"/>
        </w:rPr>
        <w:t>“</w:t>
      </w:r>
      <w:r w:rsidR="000D4759" w:rsidRPr="005E002E">
        <w:rPr>
          <w:rFonts w:cstheme="minorHAnsi"/>
          <w:b/>
          <w:bCs/>
          <w:sz w:val="24"/>
          <w:szCs w:val="24"/>
          <w:lang w:eastAsia="lt-LT"/>
        </w:rPr>
        <w:t>Pirkimo dokumentuose gali būti nustatoma</w:t>
      </w:r>
      <w:r w:rsidR="000D4759" w:rsidRPr="005E002E">
        <w:rPr>
          <w:rFonts w:cstheme="minorHAnsi"/>
          <w:sz w:val="24"/>
          <w:szCs w:val="24"/>
          <w:lang w:eastAsia="lt-LT"/>
        </w:rPr>
        <w:t xml:space="preserve">, kad tokių subtiekėjų, jeigu jie žinomi, kvalifikacija tikrinama pirkimo procedūrų metu, </w:t>
      </w:r>
      <w:r w:rsidR="000D4759" w:rsidRPr="005E002E">
        <w:rPr>
          <w:rFonts w:cstheme="minorHAnsi"/>
          <w:b/>
          <w:bCs/>
          <w:sz w:val="24"/>
          <w:szCs w:val="24"/>
          <w:lang w:eastAsia="lt-LT"/>
        </w:rPr>
        <w:t>arba, kad tiekėjas privalo įsipareigoti</w:t>
      </w:r>
      <w:r w:rsidR="000D4759" w:rsidRPr="005E002E">
        <w:rPr>
          <w:rFonts w:cstheme="minorHAnsi"/>
          <w:sz w:val="24"/>
          <w:szCs w:val="24"/>
          <w:lang w:eastAsia="lt-LT"/>
        </w:rPr>
        <w:t xml:space="preserve">, kad pirkimo sutartį vykdys tik tokią teisę turintys asmenys ir nurodo, kad pirkimo vykdytojui pareikalavus, tiekėjas turės pateikti dokumentus, įrodančius subtiekėjo teisę verstis atitinkama veikla, kuriai jis pasitelkiamas.” </w:t>
      </w:r>
      <w:r w:rsidR="00285769" w:rsidRPr="005E002E">
        <w:rPr>
          <w:rFonts w:cstheme="minorHAnsi"/>
          <w:sz w:val="24"/>
          <w:szCs w:val="24"/>
          <w:lang w:eastAsia="lt-LT"/>
        </w:rPr>
        <w:t xml:space="preserve"> </w:t>
      </w:r>
      <w:r w:rsidR="00267096" w:rsidRPr="005E002E">
        <w:rPr>
          <w:rFonts w:eastAsia="Times New Roman" w:cstheme="minorHAnsi"/>
          <w:sz w:val="24"/>
          <w:szCs w:val="24"/>
          <w:lang w:val="lt"/>
        </w:rPr>
        <w:t>Tarnyb</w:t>
      </w:r>
      <w:r w:rsidR="00C135D0">
        <w:rPr>
          <w:rFonts w:eastAsia="Times New Roman" w:cstheme="minorHAnsi"/>
          <w:sz w:val="24"/>
          <w:szCs w:val="24"/>
          <w:lang w:val="lt"/>
        </w:rPr>
        <w:t>os nuomone šį informacija yra perteklinė ir neaktuali, todėl rekomenduotina jos atsisakyti.</w:t>
      </w:r>
    </w:p>
    <w:p w14:paraId="5786BAD1" w14:textId="7B0487BD" w:rsidR="008F2CDF" w:rsidRPr="001244C2" w:rsidRDefault="0048169E" w:rsidP="001244C2">
      <w:pPr>
        <w:tabs>
          <w:tab w:val="left" w:pos="993"/>
        </w:tabs>
        <w:spacing w:after="0" w:line="276" w:lineRule="auto"/>
        <w:textAlignment w:val="baseline"/>
        <w:rPr>
          <w:rFonts w:eastAsia="Calibri" w:cstheme="minorHAnsi"/>
          <w:kern w:val="0"/>
          <w:sz w:val="24"/>
          <w:szCs w:val="24"/>
          <w:lang w:val="lt-LT"/>
          <w14:ligatures w14:val="none"/>
        </w:rPr>
      </w:pPr>
      <w:r w:rsidRPr="005E002E">
        <w:rPr>
          <w:sz w:val="24"/>
          <w:szCs w:val="24"/>
        </w:rPr>
        <w:t xml:space="preserve">           </w:t>
      </w:r>
      <w:r w:rsidR="007271C4" w:rsidRPr="0051170C">
        <w:rPr>
          <w:b/>
          <w:bCs/>
          <w:sz w:val="24"/>
          <w:szCs w:val="24"/>
        </w:rPr>
        <w:t>1.2</w:t>
      </w:r>
      <w:r w:rsidR="007271C4" w:rsidRPr="0051170C">
        <w:rPr>
          <w:rFonts w:cstheme="minorHAnsi"/>
          <w:b/>
          <w:bCs/>
          <w:sz w:val="24"/>
          <w:szCs w:val="24"/>
        </w:rPr>
        <w:t>.</w:t>
      </w:r>
      <w:r w:rsidR="007271C4" w:rsidRPr="005E002E">
        <w:rPr>
          <w:rFonts w:cstheme="minorHAnsi"/>
          <w:sz w:val="24"/>
          <w:szCs w:val="24"/>
        </w:rPr>
        <w:t xml:space="preserve"> </w:t>
      </w:r>
      <w:r w:rsidR="004373BD" w:rsidRPr="005E002E">
        <w:rPr>
          <w:rFonts w:eastAsia="Calibri" w:cstheme="minorHAnsi"/>
          <w:kern w:val="0"/>
          <w:sz w:val="24"/>
          <w:szCs w:val="24"/>
          <w:lang w:val="lt-LT"/>
          <w14:ligatures w14:val="none"/>
        </w:rPr>
        <w:t>Pirkim</w:t>
      </w:r>
      <w:r w:rsidRPr="005E002E">
        <w:rPr>
          <w:rFonts w:eastAsia="Calibri" w:cstheme="minorHAnsi"/>
          <w:kern w:val="0"/>
          <w:sz w:val="24"/>
          <w:szCs w:val="24"/>
          <w:lang w:val="lt-LT"/>
          <w14:ligatures w14:val="none"/>
        </w:rPr>
        <w:t>ų</w:t>
      </w:r>
      <w:r w:rsidR="004373BD" w:rsidRPr="005E002E">
        <w:rPr>
          <w:rFonts w:eastAsia="Calibri" w:cstheme="minorHAnsi"/>
          <w:kern w:val="0"/>
          <w:sz w:val="24"/>
          <w:szCs w:val="24"/>
          <w:lang w:val="lt-LT"/>
          <w14:ligatures w14:val="none"/>
        </w:rPr>
        <w:t xml:space="preserve"> sąlygų  XI skyriuje „Ekonomiškai naudingiausio pasiūlymo pagal kriterijų kainos ar sąnaudų ir kokybės santykį vertinimas“ </w:t>
      </w:r>
      <w:r w:rsidR="004373BD" w:rsidRPr="005E002E">
        <w:rPr>
          <w:rFonts w:cstheme="minorHAnsi"/>
          <w:kern w:val="0"/>
          <w:sz w:val="24"/>
          <w:szCs w:val="24"/>
          <w:lang w:val="lt-LT"/>
          <w14:ligatures w14:val="none"/>
        </w:rPr>
        <w:t>nurodyti ekonominio naudingumo vertinimo kriterijai ir jų įvertinimo tvarka,</w:t>
      </w:r>
      <w:r w:rsidR="004373BD" w:rsidRPr="005E002E">
        <w:rPr>
          <w:rFonts w:eastAsia="Calibri" w:cstheme="minorHAnsi"/>
          <w:kern w:val="0"/>
          <w:sz w:val="24"/>
          <w:szCs w:val="24"/>
          <w:lang w:val="lt-LT"/>
          <w14:ligatures w14:val="none"/>
        </w:rPr>
        <w:t xml:space="preserve"> kainos kriterijui (C) suteikiant lyginamąjį svorį 80, darbų atlikimo termino mėnesiais kriterijui (</w:t>
      </w:r>
      <w:r w:rsidR="004373BD" w:rsidRPr="005E002E">
        <w:rPr>
          <w:rFonts w:cstheme="minorHAnsi"/>
          <w:sz w:val="24"/>
          <w:szCs w:val="24"/>
          <w:lang w:val="lt-LT"/>
        </w:rPr>
        <w:t>T</w:t>
      </w:r>
      <w:r w:rsidR="004373BD" w:rsidRPr="005E002E">
        <w:rPr>
          <w:rFonts w:cstheme="minorHAnsi"/>
          <w:sz w:val="24"/>
          <w:szCs w:val="24"/>
          <w:vertAlign w:val="subscript"/>
          <w:lang w:val="lt-LT"/>
        </w:rPr>
        <w:t>1</w:t>
      </w:r>
      <w:r w:rsidR="004373BD" w:rsidRPr="005E002E">
        <w:rPr>
          <w:rFonts w:cstheme="minorHAnsi"/>
          <w:sz w:val="24"/>
          <w:szCs w:val="24"/>
          <w:lang w:val="lt-LT"/>
        </w:rPr>
        <w:t>)</w:t>
      </w:r>
      <w:r w:rsidR="004373BD" w:rsidRPr="005E002E">
        <w:rPr>
          <w:rFonts w:cstheme="minorHAnsi"/>
          <w:sz w:val="24"/>
          <w:szCs w:val="24"/>
          <w:vertAlign w:val="subscript"/>
          <w:lang w:val="lt-LT"/>
        </w:rPr>
        <w:t xml:space="preserve"> </w:t>
      </w:r>
      <w:r w:rsidR="004373BD" w:rsidRPr="005E002E">
        <w:rPr>
          <w:rFonts w:cstheme="minorHAnsi"/>
          <w:sz w:val="24"/>
          <w:szCs w:val="24"/>
          <w:lang w:val="lt-LT"/>
        </w:rPr>
        <w:t>suteikiant lyginamąjį</w:t>
      </w:r>
      <w:r w:rsidR="004373BD" w:rsidRPr="005E002E">
        <w:rPr>
          <w:rFonts w:cstheme="minorHAnsi"/>
          <w:sz w:val="24"/>
          <w:szCs w:val="24"/>
          <w:vertAlign w:val="subscript"/>
          <w:lang w:val="lt-LT"/>
        </w:rPr>
        <w:t xml:space="preserve"> </w:t>
      </w:r>
      <w:r w:rsidR="004373BD" w:rsidRPr="005E002E">
        <w:rPr>
          <w:rFonts w:eastAsia="Calibri" w:cstheme="minorHAnsi"/>
          <w:kern w:val="0"/>
          <w:sz w:val="24"/>
          <w:szCs w:val="24"/>
          <w:lang w:val="lt-LT"/>
          <w14:ligatures w14:val="none"/>
        </w:rPr>
        <w:t>svorį 15 ir papildoma statinio garantinio termino trukmei metais (</w:t>
      </w:r>
      <w:r w:rsidR="004373BD" w:rsidRPr="005E002E">
        <w:rPr>
          <w:rFonts w:cstheme="minorHAnsi"/>
          <w:sz w:val="24"/>
          <w:szCs w:val="24"/>
          <w:lang w:val="lt-LT"/>
        </w:rPr>
        <w:t>T</w:t>
      </w:r>
      <w:r w:rsidR="004373BD" w:rsidRPr="005E002E">
        <w:rPr>
          <w:rFonts w:cstheme="minorHAnsi"/>
          <w:sz w:val="24"/>
          <w:szCs w:val="24"/>
          <w:vertAlign w:val="subscript"/>
          <w:lang w:val="lt-LT"/>
        </w:rPr>
        <w:t>2</w:t>
      </w:r>
      <w:r w:rsidR="004373BD" w:rsidRPr="005E002E">
        <w:rPr>
          <w:rFonts w:cstheme="minorHAnsi"/>
          <w:sz w:val="24"/>
          <w:szCs w:val="24"/>
          <w:lang w:val="lt-LT"/>
        </w:rPr>
        <w:t>)</w:t>
      </w:r>
      <w:r w:rsidR="004373BD" w:rsidRPr="005E002E">
        <w:rPr>
          <w:rFonts w:cstheme="minorHAnsi"/>
          <w:sz w:val="24"/>
          <w:szCs w:val="24"/>
          <w:vertAlign w:val="subscript"/>
          <w:lang w:val="lt-LT"/>
        </w:rPr>
        <w:t xml:space="preserve"> </w:t>
      </w:r>
      <w:r w:rsidR="004373BD" w:rsidRPr="005E002E">
        <w:rPr>
          <w:rFonts w:cstheme="minorHAnsi"/>
          <w:sz w:val="24"/>
          <w:szCs w:val="24"/>
          <w:lang w:val="lt-LT"/>
        </w:rPr>
        <w:t>suteikiant lyginamąjį</w:t>
      </w:r>
      <w:r w:rsidR="004373BD" w:rsidRPr="005E002E">
        <w:rPr>
          <w:rFonts w:cstheme="minorHAnsi"/>
          <w:sz w:val="24"/>
          <w:szCs w:val="24"/>
          <w:vertAlign w:val="subscript"/>
          <w:lang w:val="lt-LT"/>
        </w:rPr>
        <w:t xml:space="preserve"> </w:t>
      </w:r>
      <w:r w:rsidR="004373BD" w:rsidRPr="005E002E">
        <w:rPr>
          <w:rFonts w:eastAsia="Calibri" w:cstheme="minorHAnsi"/>
          <w:kern w:val="0"/>
          <w:sz w:val="24"/>
          <w:szCs w:val="24"/>
          <w:lang w:val="lt-LT"/>
          <w14:ligatures w14:val="none"/>
        </w:rPr>
        <w:t xml:space="preserve">svorį 5. </w:t>
      </w:r>
      <w:r w:rsidR="00673D8A" w:rsidRPr="005E002E">
        <w:rPr>
          <w:rFonts w:cstheme="minorHAnsi"/>
          <w:sz w:val="24"/>
          <w:szCs w:val="24"/>
        </w:rPr>
        <w:t xml:space="preserve">Pirkimo sąlygų 83.6 papunktyje </w:t>
      </w:r>
      <w:r w:rsidR="00EB55E7" w:rsidRPr="005E002E">
        <w:rPr>
          <w:rFonts w:cstheme="minorHAnsi"/>
          <w:sz w:val="24"/>
          <w:szCs w:val="24"/>
        </w:rPr>
        <w:t>nurodyta, kad “</w:t>
      </w:r>
      <w:r w:rsidR="008F2CDF" w:rsidRPr="005E002E">
        <w:rPr>
          <w:rFonts w:eastAsia="Times New Roman" w:cstheme="minorHAnsi"/>
          <w:kern w:val="0"/>
          <w:sz w:val="24"/>
          <w:szCs w:val="24"/>
          <w:lang w:val="lt-LT"/>
          <w14:ligatures w14:val="none"/>
        </w:rPr>
        <w:t xml:space="preserve">Tiekėjai savo pasiūlymuose turi nurodyti </w:t>
      </w:r>
      <w:r w:rsidR="008F2CDF" w:rsidRPr="005E002E">
        <w:rPr>
          <w:rFonts w:eastAsia="Times New Roman" w:cstheme="minorHAnsi"/>
          <w:b/>
          <w:bCs/>
          <w:kern w:val="0"/>
          <w:sz w:val="24"/>
          <w:szCs w:val="24"/>
          <w:lang w:val="lt-LT"/>
          <w14:ligatures w14:val="none"/>
        </w:rPr>
        <w:t>papildomą statinio garantinio termino trukmę metais</w:t>
      </w:r>
      <w:r w:rsidR="008F2CDF" w:rsidRPr="005E002E">
        <w:rPr>
          <w:rFonts w:eastAsia="Times New Roman" w:cstheme="minorHAnsi"/>
          <w:kern w:val="0"/>
          <w:sz w:val="24"/>
          <w:szCs w:val="24"/>
          <w:lang w:val="lt-LT"/>
          <w14:ligatures w14:val="none"/>
        </w:rPr>
        <w:t>, (T</w:t>
      </w:r>
      <w:r w:rsidR="008F2CDF" w:rsidRPr="005E002E">
        <w:rPr>
          <w:rFonts w:eastAsia="Times New Roman" w:cstheme="minorHAnsi"/>
          <w:kern w:val="0"/>
          <w:sz w:val="24"/>
          <w:szCs w:val="24"/>
          <w:vertAlign w:val="subscript"/>
          <w:lang w:val="lt-LT"/>
          <w14:ligatures w14:val="none"/>
        </w:rPr>
        <w:t>2</w:t>
      </w:r>
      <w:r w:rsidR="008F2CDF" w:rsidRPr="005E002E">
        <w:rPr>
          <w:rFonts w:eastAsia="Times New Roman" w:cstheme="minorHAnsi"/>
          <w:kern w:val="0"/>
          <w:sz w:val="24"/>
          <w:szCs w:val="24"/>
          <w:lang w:val="lt-LT"/>
          <w14:ligatures w14:val="none"/>
        </w:rPr>
        <w:t xml:space="preserve">). Papildoma statinio garantinio termino trukmė metais – tiekėjo suteikiamas papildomas terminas, viršijantis minimalų teisės aktais nustatytą garantinį terminą (5 metai).“ </w:t>
      </w:r>
    </w:p>
    <w:p w14:paraId="6BB5F228" w14:textId="371F09F7" w:rsidR="00BA6494" w:rsidRPr="005E002E" w:rsidRDefault="0048169E" w:rsidP="005E002E">
      <w:pPr>
        <w:pStyle w:val="ListParagraph"/>
        <w:shd w:val="clear" w:color="auto" w:fill="FFFFFF"/>
        <w:tabs>
          <w:tab w:val="left" w:pos="0"/>
          <w:tab w:val="left" w:pos="567"/>
        </w:tabs>
        <w:overflowPunct w:val="0"/>
        <w:autoSpaceDN w:val="0"/>
        <w:spacing w:after="0" w:line="276" w:lineRule="auto"/>
        <w:ind w:left="0"/>
        <w:contextualSpacing w:val="0"/>
        <w:textAlignment w:val="baseline"/>
        <w:rPr>
          <w:rFonts w:eastAsia="Times New Roman" w:cstheme="minorHAnsi"/>
          <w:kern w:val="0"/>
          <w:sz w:val="24"/>
          <w:szCs w:val="24"/>
          <w:highlight w:val="yellow"/>
          <w:lang w:val="lt-LT" w:eastAsia="ar-SA"/>
          <w14:ligatures w14:val="none"/>
        </w:rPr>
      </w:pPr>
      <w:r w:rsidRPr="005E002E">
        <w:rPr>
          <w:rFonts w:eastAsia="Times New Roman" w:cstheme="minorHAnsi"/>
          <w:kern w:val="0"/>
          <w:sz w:val="24"/>
          <w:szCs w:val="24"/>
          <w:lang w:val="lt"/>
          <w14:ligatures w14:val="none"/>
        </w:rPr>
        <w:t xml:space="preserve">            </w:t>
      </w:r>
      <w:r w:rsidR="00BA6494" w:rsidRPr="005E002E">
        <w:rPr>
          <w:rFonts w:eastAsia="Times New Roman" w:cstheme="minorHAnsi"/>
          <w:kern w:val="0"/>
          <w:sz w:val="24"/>
          <w:szCs w:val="24"/>
          <w:lang w:val="lt"/>
          <w14:ligatures w14:val="none"/>
        </w:rPr>
        <w:t>Pažymėtina, kad tiekėjo įsipareigojimai dėl privalomojo garantinio termino yra nustatyti Civilinio kodekso 6.698 straipsnyje (5 metai, iš kurių tik treji pagal Statybos įstatymą privalomai užtikrinami banko garantija ar draudimo bendrovės laidavimu) ir perkelti į Sutarties projekto 10.3 papunktį</w:t>
      </w:r>
      <w:r w:rsidRPr="005E002E">
        <w:rPr>
          <w:rFonts w:eastAsia="Times New Roman" w:cstheme="minorHAnsi"/>
          <w:kern w:val="0"/>
          <w:sz w:val="24"/>
          <w:szCs w:val="24"/>
          <w:lang w:val="lt"/>
          <w14:ligatures w14:val="none"/>
        </w:rPr>
        <w:t>:</w:t>
      </w:r>
      <w:r w:rsidR="00BA6494" w:rsidRPr="005E002E">
        <w:rPr>
          <w:rFonts w:eastAsia="Times New Roman" w:cstheme="minorHAnsi"/>
          <w:kern w:val="0"/>
          <w:sz w:val="24"/>
          <w:szCs w:val="24"/>
          <w:lang w:val="lt"/>
          <w14:ligatures w14:val="none"/>
        </w:rPr>
        <w:t xml:space="preserve"> „</w:t>
      </w:r>
      <w:r w:rsidR="00BA6494" w:rsidRPr="005E002E">
        <w:rPr>
          <w:rFonts w:eastAsia="Times New Roman" w:cstheme="minorHAnsi"/>
          <w:kern w:val="0"/>
          <w:sz w:val="24"/>
          <w:szCs w:val="24"/>
          <w:lang w:val="lt-LT" w:eastAsia="ar-SA"/>
          <w14:ligatures w14:val="none"/>
        </w:rPr>
        <w:t xml:space="preserve">Rangovas per 5 d. d. (penkias) nuo darbų perdavimo statytojui (Užsakovui) </w:t>
      </w:r>
      <w:r w:rsidR="00BA6494" w:rsidRPr="005E002E">
        <w:rPr>
          <w:rFonts w:eastAsia="Times New Roman" w:cstheme="minorHAnsi"/>
          <w:kern w:val="0"/>
          <w:sz w:val="24"/>
          <w:szCs w:val="24"/>
          <w:lang w:val="lt-LT" w:eastAsia="ar-SA"/>
          <w14:ligatures w14:val="none"/>
        </w:rPr>
        <w:lastRenderedPageBreak/>
        <w:t xml:space="preserve">dienos, </w:t>
      </w:r>
      <w:r w:rsidR="00BA6494" w:rsidRPr="003F727F">
        <w:rPr>
          <w:rFonts w:eastAsia="Times New Roman" w:cstheme="minorHAnsi"/>
          <w:kern w:val="0"/>
          <w:sz w:val="24"/>
          <w:szCs w:val="24"/>
          <w:lang w:val="lt-LT" w:eastAsia="ar-SA"/>
          <w14:ligatures w14:val="none"/>
        </w:rPr>
        <w:t>turi pateikti dokumentą,</w:t>
      </w:r>
      <w:r w:rsidR="00BA6494" w:rsidRPr="005E002E">
        <w:rPr>
          <w:rFonts w:eastAsia="Times New Roman" w:cstheme="minorHAnsi"/>
          <w:b/>
          <w:bCs/>
          <w:kern w:val="0"/>
          <w:sz w:val="24"/>
          <w:szCs w:val="24"/>
          <w:lang w:val="lt-LT" w:eastAsia="ar-SA"/>
          <w14:ligatures w14:val="none"/>
        </w:rPr>
        <w:t xml:space="preserve"> </w:t>
      </w:r>
      <w:r w:rsidR="00BA6494" w:rsidRPr="005E002E">
        <w:rPr>
          <w:rFonts w:eastAsia="Times New Roman" w:cstheme="minorHAnsi"/>
          <w:kern w:val="0"/>
          <w:sz w:val="24"/>
          <w:szCs w:val="24"/>
          <w:lang w:val="lt-LT" w:eastAsia="ar-SA"/>
          <w14:ligatures w14:val="none"/>
        </w:rPr>
        <w:t>kuriuo užtikrinamas garantinio laikotarpio prievolių įvykdymas pagal pasirašytą Sutartį. Užtikrinimo suma statinio garantiniu 3 metų laikotarpiu turi būti ne mažesnė kaip 5 procentai statinio statybos kainos</w:t>
      </w:r>
      <w:r w:rsidRPr="005E002E">
        <w:rPr>
          <w:rFonts w:eastAsia="Times New Roman" w:cstheme="minorHAnsi"/>
          <w:kern w:val="0"/>
          <w:sz w:val="24"/>
          <w:szCs w:val="24"/>
          <w:lang w:val="lt-LT" w:eastAsia="ar-SA"/>
          <w14:ligatures w14:val="none"/>
        </w:rPr>
        <w:t>“</w:t>
      </w:r>
      <w:r w:rsidR="00BA6494" w:rsidRPr="005E002E">
        <w:rPr>
          <w:rFonts w:eastAsia="Times New Roman" w:cstheme="minorHAnsi"/>
          <w:kern w:val="0"/>
          <w:sz w:val="24"/>
          <w:szCs w:val="24"/>
          <w:lang w:val="lt-LT" w:eastAsia="ar-SA"/>
          <w14:ligatures w14:val="none"/>
        </w:rPr>
        <w:t>.</w:t>
      </w:r>
      <w:r w:rsidR="000D4A74" w:rsidRPr="005E002E">
        <w:rPr>
          <w:rFonts w:eastAsia="Times New Roman" w:cstheme="minorHAnsi"/>
          <w:kern w:val="0"/>
          <w:sz w:val="24"/>
          <w:szCs w:val="24"/>
          <w:lang w:val="lt-LT" w:eastAsia="ar-SA"/>
          <w14:ligatures w14:val="none"/>
        </w:rPr>
        <w:t xml:space="preserve"> Tačiau </w:t>
      </w:r>
      <w:r w:rsidR="001436E5" w:rsidRPr="005E002E">
        <w:rPr>
          <w:rFonts w:eastAsia="Times New Roman" w:cstheme="minorHAnsi"/>
          <w:kern w:val="0"/>
          <w:sz w:val="24"/>
          <w:szCs w:val="24"/>
          <w:lang w:val="lt-LT" w:eastAsia="ar-SA"/>
          <w14:ligatures w14:val="none"/>
        </w:rPr>
        <w:t xml:space="preserve">Sutarties projekte nėra </w:t>
      </w:r>
      <w:r w:rsidR="00C135D0">
        <w:rPr>
          <w:rFonts w:eastAsia="Times New Roman" w:cstheme="minorHAnsi"/>
          <w:kern w:val="0"/>
          <w:sz w:val="24"/>
          <w:szCs w:val="24"/>
          <w:lang w:val="lt-LT" w:eastAsia="ar-SA"/>
          <w14:ligatures w14:val="none"/>
        </w:rPr>
        <w:t xml:space="preserve">aiškiai </w:t>
      </w:r>
      <w:r w:rsidR="00112401" w:rsidRPr="005E002E">
        <w:rPr>
          <w:rFonts w:eastAsia="Times New Roman" w:cstheme="minorHAnsi"/>
          <w:kern w:val="0"/>
          <w:sz w:val="24"/>
          <w:szCs w:val="24"/>
          <w:lang w:val="lt-LT" w:eastAsia="ar-SA"/>
          <w14:ligatures w14:val="none"/>
        </w:rPr>
        <w:t>nu</w:t>
      </w:r>
      <w:r w:rsidR="00C135D0">
        <w:rPr>
          <w:rFonts w:eastAsia="Times New Roman" w:cstheme="minorHAnsi"/>
          <w:kern w:val="0"/>
          <w:sz w:val="24"/>
          <w:szCs w:val="24"/>
          <w:lang w:val="lt-LT" w:eastAsia="ar-SA"/>
          <w14:ligatures w14:val="none"/>
        </w:rPr>
        <w:t>statyta</w:t>
      </w:r>
      <w:r w:rsidR="00112401" w:rsidRPr="005E002E">
        <w:rPr>
          <w:rFonts w:eastAsia="Times New Roman" w:cstheme="minorHAnsi"/>
          <w:kern w:val="0"/>
          <w:sz w:val="24"/>
          <w:szCs w:val="24"/>
          <w:lang w:val="lt-LT" w:eastAsia="ar-SA"/>
          <w14:ligatures w14:val="none"/>
        </w:rPr>
        <w:t>, kokiomis priemonėmis tie</w:t>
      </w:r>
      <w:r w:rsidR="0056718D" w:rsidRPr="005E002E">
        <w:rPr>
          <w:rFonts w:eastAsia="Times New Roman" w:cstheme="minorHAnsi"/>
          <w:kern w:val="0"/>
          <w:sz w:val="24"/>
          <w:szCs w:val="24"/>
          <w:lang w:val="lt-LT" w:eastAsia="ar-SA"/>
          <w14:ligatures w14:val="none"/>
        </w:rPr>
        <w:t>k</w:t>
      </w:r>
      <w:r w:rsidR="00112401" w:rsidRPr="005E002E">
        <w:rPr>
          <w:rFonts w:eastAsia="Times New Roman" w:cstheme="minorHAnsi"/>
          <w:kern w:val="0"/>
          <w:sz w:val="24"/>
          <w:szCs w:val="24"/>
          <w:lang w:val="lt-LT" w:eastAsia="ar-SA"/>
          <w14:ligatures w14:val="none"/>
        </w:rPr>
        <w:t xml:space="preserve">ėjas užtikrins </w:t>
      </w:r>
      <w:r w:rsidR="00C135D0">
        <w:rPr>
          <w:rFonts w:eastAsia="Times New Roman" w:cstheme="minorHAnsi"/>
          <w:kern w:val="0"/>
          <w:sz w:val="24"/>
          <w:szCs w:val="24"/>
          <w:lang w:val="lt-LT" w:eastAsia="ar-SA"/>
          <w14:ligatures w14:val="none"/>
        </w:rPr>
        <w:t xml:space="preserve">deklaruotų </w:t>
      </w:r>
      <w:r w:rsidR="0056718D" w:rsidRPr="005E002E">
        <w:rPr>
          <w:rFonts w:eastAsia="Times New Roman" w:cstheme="minorHAnsi"/>
          <w:kern w:val="0"/>
          <w:sz w:val="24"/>
          <w:szCs w:val="24"/>
          <w:lang w:val="lt-LT" w:eastAsia="ar-SA"/>
          <w14:ligatures w14:val="none"/>
        </w:rPr>
        <w:t>įsipareigojimų</w:t>
      </w:r>
      <w:r w:rsidR="00C135D0">
        <w:rPr>
          <w:rFonts w:eastAsia="Times New Roman" w:cstheme="minorHAnsi"/>
          <w:kern w:val="0"/>
          <w:sz w:val="24"/>
          <w:szCs w:val="24"/>
          <w:lang w:val="lt-LT" w:eastAsia="ar-SA"/>
          <w14:ligatures w14:val="none"/>
        </w:rPr>
        <w:t>,</w:t>
      </w:r>
      <w:r w:rsidR="0056718D" w:rsidRPr="005E002E">
        <w:rPr>
          <w:rFonts w:eastAsia="Times New Roman" w:cstheme="minorHAnsi"/>
          <w:kern w:val="0"/>
          <w:sz w:val="24"/>
          <w:szCs w:val="24"/>
          <w:lang w:val="lt-LT" w:eastAsia="ar-SA"/>
          <w14:ligatures w14:val="none"/>
        </w:rPr>
        <w:t xml:space="preserve"> </w:t>
      </w:r>
      <w:r w:rsidR="00F715A9" w:rsidRPr="005E002E">
        <w:rPr>
          <w:rFonts w:eastAsia="Times New Roman" w:cstheme="minorHAnsi"/>
          <w:kern w:val="0"/>
          <w:sz w:val="24"/>
          <w:szCs w:val="24"/>
          <w:lang w:val="lt-LT" w:eastAsia="ar-SA"/>
          <w14:ligatures w14:val="none"/>
        </w:rPr>
        <w:t>susijusių su papild</w:t>
      </w:r>
      <w:r w:rsidR="002853A5" w:rsidRPr="005E002E">
        <w:rPr>
          <w:rFonts w:eastAsia="Times New Roman" w:cstheme="minorHAnsi"/>
          <w:kern w:val="0"/>
          <w:sz w:val="24"/>
          <w:szCs w:val="24"/>
          <w:lang w:val="lt-LT" w:eastAsia="ar-SA"/>
          <w14:ligatures w14:val="none"/>
        </w:rPr>
        <w:t>oma garantija</w:t>
      </w:r>
      <w:r w:rsidR="00C135D0">
        <w:rPr>
          <w:rFonts w:eastAsia="Times New Roman" w:cstheme="minorHAnsi"/>
          <w:kern w:val="0"/>
          <w:sz w:val="24"/>
          <w:szCs w:val="24"/>
          <w:lang w:val="lt-LT" w:eastAsia="ar-SA"/>
          <w14:ligatures w14:val="none"/>
        </w:rPr>
        <w:t>,</w:t>
      </w:r>
      <w:r w:rsidR="002853A5" w:rsidRPr="005E002E">
        <w:rPr>
          <w:rFonts w:eastAsia="Times New Roman" w:cstheme="minorHAnsi"/>
          <w:kern w:val="0"/>
          <w:sz w:val="24"/>
          <w:szCs w:val="24"/>
          <w:lang w:val="lt-LT" w:eastAsia="ar-SA"/>
          <w14:ligatures w14:val="none"/>
        </w:rPr>
        <w:t xml:space="preserve"> </w:t>
      </w:r>
      <w:r w:rsidR="0056718D" w:rsidRPr="005E002E">
        <w:rPr>
          <w:rFonts w:eastAsia="Times New Roman" w:cstheme="minorHAnsi"/>
          <w:kern w:val="0"/>
          <w:sz w:val="24"/>
          <w:szCs w:val="24"/>
          <w:lang w:val="lt-LT" w:eastAsia="ar-SA"/>
          <w14:ligatures w14:val="none"/>
        </w:rPr>
        <w:t>vykdymą</w:t>
      </w:r>
      <w:r w:rsidR="002853A5" w:rsidRPr="005E002E">
        <w:rPr>
          <w:rFonts w:eastAsia="Times New Roman" w:cstheme="minorHAnsi"/>
          <w:kern w:val="0"/>
          <w:sz w:val="24"/>
          <w:szCs w:val="24"/>
          <w:lang w:val="lt-LT" w:eastAsia="ar-SA"/>
          <w14:ligatures w14:val="none"/>
        </w:rPr>
        <w:t>.</w:t>
      </w:r>
    </w:p>
    <w:p w14:paraId="28892873" w14:textId="34D49C47" w:rsidR="00B33DE8" w:rsidRPr="005E002E" w:rsidRDefault="00B8537E" w:rsidP="005E002E">
      <w:pPr>
        <w:spacing w:after="0" w:line="276" w:lineRule="auto"/>
        <w:ind w:firstLine="709"/>
        <w:rPr>
          <w:rFonts w:cstheme="minorHAnsi"/>
          <w:kern w:val="0"/>
          <w:sz w:val="24"/>
          <w:szCs w:val="24"/>
          <w:lang w:val="lt-LT"/>
          <w14:ligatures w14:val="none"/>
        </w:rPr>
      </w:pPr>
      <w:r w:rsidRPr="005E002E">
        <w:rPr>
          <w:rFonts w:eastAsia="Times New Roman" w:cstheme="minorHAnsi"/>
          <w:kern w:val="0"/>
          <w:sz w:val="24"/>
          <w:szCs w:val="24"/>
          <w:lang w:val="lt"/>
          <w14:ligatures w14:val="none"/>
        </w:rPr>
        <w:t xml:space="preserve">Tarnyba primena, </w:t>
      </w:r>
      <w:r w:rsidR="005472E0" w:rsidRPr="005E002E">
        <w:rPr>
          <w:rFonts w:eastAsia="Times New Roman" w:cstheme="minorHAnsi"/>
          <w:kern w:val="0"/>
          <w:sz w:val="24"/>
          <w:szCs w:val="24"/>
          <w:lang w:val="lt"/>
          <w14:ligatures w14:val="none"/>
        </w:rPr>
        <w:t xml:space="preserve">kad </w:t>
      </w:r>
      <w:r w:rsidR="00B33DE8" w:rsidRPr="005E002E">
        <w:rPr>
          <w:rFonts w:eastAsia="Times New Roman" w:cstheme="minorHAnsi"/>
          <w:kern w:val="0"/>
          <w:sz w:val="24"/>
          <w:szCs w:val="24"/>
          <w:lang w:val="lt"/>
          <w14:ligatures w14:val="none"/>
        </w:rPr>
        <w:t xml:space="preserve">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w:t>
      </w:r>
      <w:r w:rsidR="00B33DE8" w:rsidRPr="005E002E">
        <w:rPr>
          <w:rFonts w:eastAsia="Times New Roman" w:cstheme="minorHAnsi"/>
          <w:b/>
          <w:bCs/>
          <w:kern w:val="0"/>
          <w:sz w:val="24"/>
          <w:szCs w:val="24"/>
          <w:lang w:val="lt"/>
          <w14:ligatures w14:val="none"/>
        </w:rPr>
        <w:t>toks jo pranašumas turi tiesiogiai atsispindėti ir sutartyje</w:t>
      </w:r>
      <w:r w:rsidR="00B33DE8" w:rsidRPr="005E002E">
        <w:rPr>
          <w:rFonts w:eastAsia="Times New Roman" w:cstheme="minorHAnsi"/>
          <w:kern w:val="0"/>
          <w:sz w:val="24"/>
          <w:szCs w:val="24"/>
          <w:lang w:val="lt"/>
          <w14:ligatures w14:val="none"/>
        </w:rPr>
        <w:t>. Atsižvelgiant į tai, Pirkimo sąlygose nustatyti ekonominio naudingumo kriterijai privalo būti perkelti į Sutarties projektą, numatyta aiški priežiūros (kontrolės) tvarka, periodiškumas, terminai, aiškiai nustatytos  sankcijos.</w:t>
      </w:r>
    </w:p>
    <w:p w14:paraId="4A06D6EC" w14:textId="0B73D54B" w:rsidR="00F670CF" w:rsidRPr="005E002E" w:rsidRDefault="00B33DE8" w:rsidP="005E002E">
      <w:pPr>
        <w:spacing w:after="0" w:line="276" w:lineRule="auto"/>
        <w:ind w:firstLine="709"/>
        <w:rPr>
          <w:rFonts w:eastAsia="Times New Roman" w:cstheme="minorHAnsi"/>
          <w:kern w:val="0"/>
          <w:sz w:val="24"/>
          <w:szCs w:val="24"/>
          <w:lang w:val="lt"/>
          <w14:ligatures w14:val="none"/>
        </w:rPr>
      </w:pPr>
      <w:r w:rsidRPr="005E002E">
        <w:rPr>
          <w:rFonts w:eastAsia="Times New Roman" w:cstheme="minorHAnsi"/>
          <w:kern w:val="0"/>
          <w:sz w:val="24"/>
          <w:szCs w:val="24"/>
          <w:lang w:val="lt"/>
          <w14:ligatures w14:val="none"/>
        </w:rPr>
        <w:t xml:space="preserve"> </w:t>
      </w:r>
      <w:r w:rsidR="002853A5" w:rsidRPr="005E002E">
        <w:rPr>
          <w:rFonts w:eastAsia="Times New Roman" w:cstheme="minorHAnsi"/>
          <w:kern w:val="0"/>
          <w:sz w:val="24"/>
          <w:szCs w:val="24"/>
          <w:lang w:val="lt"/>
          <w14:ligatures w14:val="none"/>
        </w:rPr>
        <w:t xml:space="preserve">Atsižvelgiant į aukščiau </w:t>
      </w:r>
      <w:r w:rsidR="00C86913" w:rsidRPr="005E002E">
        <w:rPr>
          <w:rFonts w:eastAsia="Times New Roman" w:cstheme="minorHAnsi"/>
          <w:kern w:val="0"/>
          <w:sz w:val="24"/>
          <w:szCs w:val="24"/>
          <w:lang w:val="lt"/>
          <w14:ligatures w14:val="none"/>
        </w:rPr>
        <w:t>nurodyta, Tarnyba rekomenduoja Sutarties projekte nusimatyti</w:t>
      </w:r>
      <w:r w:rsidR="009C1C60" w:rsidRPr="005E002E">
        <w:rPr>
          <w:rFonts w:eastAsia="Times New Roman" w:cstheme="minorHAnsi"/>
          <w:kern w:val="0"/>
          <w:sz w:val="24"/>
          <w:szCs w:val="24"/>
          <w:lang w:val="lt"/>
          <w14:ligatures w14:val="none"/>
        </w:rPr>
        <w:t>,</w:t>
      </w:r>
      <w:r w:rsidR="007D0367" w:rsidRPr="005E002E">
        <w:rPr>
          <w:rFonts w:eastAsia="Times New Roman" w:cstheme="minorHAnsi"/>
          <w:kern w:val="0"/>
          <w:sz w:val="24"/>
          <w:szCs w:val="24"/>
          <w:lang w:val="lt"/>
          <w14:ligatures w14:val="none"/>
        </w:rPr>
        <w:t xml:space="preserve"> </w:t>
      </w:r>
      <w:r w:rsidR="009C1C60" w:rsidRPr="005E002E">
        <w:rPr>
          <w:rFonts w:eastAsia="Times New Roman" w:cstheme="minorHAnsi"/>
          <w:kern w:val="0"/>
          <w:sz w:val="24"/>
          <w:szCs w:val="24"/>
          <w:lang w:val="lt"/>
          <w14:ligatures w14:val="none"/>
        </w:rPr>
        <w:t>kokios užtikrinimo priemonės bus taikomos</w:t>
      </w:r>
      <w:r w:rsidR="00FE5C7F">
        <w:rPr>
          <w:rFonts w:eastAsia="Times New Roman" w:cstheme="minorHAnsi"/>
          <w:kern w:val="0"/>
          <w:sz w:val="24"/>
          <w:szCs w:val="24"/>
          <w:lang w:val="lt"/>
          <w14:ligatures w14:val="none"/>
        </w:rPr>
        <w:t xml:space="preserve"> (pvz. nusimatyti baudas ir (ar) kt. priemones)</w:t>
      </w:r>
      <w:r w:rsidR="009C1C60" w:rsidRPr="005E002E">
        <w:rPr>
          <w:rFonts w:eastAsia="Times New Roman" w:cstheme="minorHAnsi"/>
          <w:kern w:val="0"/>
          <w:sz w:val="24"/>
          <w:szCs w:val="24"/>
          <w:lang w:val="lt"/>
          <w14:ligatures w14:val="none"/>
        </w:rPr>
        <w:t>, jei tiekėjas per papildomą garantinį terminą nesilaikys savo deklaruotų įsipareigojimų, už kuriuos vertinant pasiūlymą gavo balus</w:t>
      </w:r>
      <w:r w:rsidR="009F4E96" w:rsidRPr="005E002E">
        <w:rPr>
          <w:rFonts w:eastAsia="Times New Roman" w:cstheme="minorHAnsi"/>
          <w:kern w:val="0"/>
          <w:sz w:val="24"/>
          <w:szCs w:val="24"/>
          <w:lang w:val="lt"/>
          <w14:ligatures w14:val="none"/>
        </w:rPr>
        <w:t>.</w:t>
      </w:r>
    </w:p>
    <w:p w14:paraId="293969B3" w14:textId="4500FB19" w:rsidR="00583A65" w:rsidRDefault="00B33DE8" w:rsidP="001244C2">
      <w:pPr>
        <w:spacing w:after="0" w:line="276" w:lineRule="auto"/>
        <w:ind w:firstLine="709"/>
        <w:rPr>
          <w:rFonts w:eastAsia="Calibri" w:cstheme="minorHAnsi"/>
          <w:kern w:val="0"/>
          <w:sz w:val="24"/>
          <w:szCs w:val="24"/>
          <w:lang w:val="lt-LT"/>
          <w14:ligatures w14:val="none"/>
        </w:rPr>
      </w:pPr>
      <w:r w:rsidRPr="005E002E">
        <w:rPr>
          <w:rFonts w:eastAsia="Times New Roman" w:cstheme="minorHAnsi"/>
          <w:kern w:val="0"/>
          <w:sz w:val="24"/>
          <w:szCs w:val="24"/>
          <w:lang w:val="lt"/>
          <w14:ligatures w14:val="none"/>
        </w:rPr>
        <w:t xml:space="preserve">Tarnyba atkreipia dėmesį į tai, kad sankcijos rangovui turi būti proporcingos kriterijų vertei, Pirkimo svarbai ir tikėtinoms prievolių neįvykdymo neigiamoms pasekmėms, jos taip pat turi būti „atgrasančios“ ir užtikrinti, kad Pirkimą laimėjęs tiekėjas deklaruotus ir prisiimamus </w:t>
      </w:r>
      <w:r w:rsidRPr="005E002E">
        <w:rPr>
          <w:rFonts w:eastAsia="Calibri" w:cstheme="minorHAnsi"/>
          <w:kern w:val="0"/>
          <w:sz w:val="24"/>
          <w:szCs w:val="24"/>
          <w:lang w:val="lt-LT"/>
          <w14:ligatures w14:val="none"/>
        </w:rPr>
        <w:t xml:space="preserve">įsipareigojimus sutarties vykdymo metu vykdytų tinkamai. </w:t>
      </w:r>
    </w:p>
    <w:p w14:paraId="773163DD" w14:textId="77777777" w:rsidR="001244C2" w:rsidRPr="001244C2" w:rsidRDefault="001244C2" w:rsidP="001244C2">
      <w:pPr>
        <w:spacing w:after="0" w:line="276" w:lineRule="auto"/>
        <w:ind w:firstLine="709"/>
        <w:rPr>
          <w:rFonts w:eastAsia="Calibri" w:cstheme="minorHAnsi"/>
          <w:kern w:val="0"/>
          <w:sz w:val="24"/>
          <w:szCs w:val="24"/>
          <w:lang w:val="lt-LT"/>
          <w14:ligatures w14:val="none"/>
        </w:rPr>
      </w:pPr>
    </w:p>
    <w:p w14:paraId="1FBAC722" w14:textId="623358F4" w:rsidR="00417299" w:rsidRPr="005E002E" w:rsidRDefault="002230D9" w:rsidP="005E002E">
      <w:pPr>
        <w:spacing w:line="276" w:lineRule="auto"/>
        <w:rPr>
          <w:rFonts w:eastAsia="Times New Roman" w:cstheme="minorHAnsi"/>
          <w:kern w:val="0"/>
          <w:sz w:val="24"/>
          <w:szCs w:val="24"/>
          <w:lang w:val="lt-LT"/>
          <w14:ligatures w14:val="none"/>
        </w:rPr>
      </w:pPr>
      <w:r w:rsidRPr="0051170C">
        <w:rPr>
          <w:rFonts w:cstheme="minorHAnsi"/>
          <w:b/>
          <w:bCs/>
          <w:sz w:val="24"/>
          <w:szCs w:val="24"/>
        </w:rPr>
        <w:t xml:space="preserve">              </w:t>
      </w:r>
      <w:r w:rsidR="00B90258" w:rsidRPr="0051170C">
        <w:rPr>
          <w:rFonts w:cstheme="minorHAnsi"/>
          <w:b/>
          <w:bCs/>
          <w:sz w:val="24"/>
          <w:szCs w:val="24"/>
        </w:rPr>
        <w:t>1</w:t>
      </w:r>
      <w:r w:rsidR="007518DD" w:rsidRPr="0051170C">
        <w:rPr>
          <w:rFonts w:cstheme="minorHAnsi"/>
          <w:b/>
          <w:bCs/>
          <w:sz w:val="24"/>
          <w:szCs w:val="24"/>
        </w:rPr>
        <w:t>.3.</w:t>
      </w:r>
      <w:r w:rsidR="007518DD" w:rsidRPr="005E002E">
        <w:rPr>
          <w:rFonts w:cstheme="minorHAnsi"/>
          <w:sz w:val="24"/>
          <w:szCs w:val="24"/>
        </w:rPr>
        <w:t xml:space="preserve"> Tarnyba atkreipia dėmesį, kad </w:t>
      </w:r>
      <w:r w:rsidR="00281ABC" w:rsidRPr="005E002E">
        <w:rPr>
          <w:rFonts w:cstheme="minorHAnsi"/>
          <w:sz w:val="24"/>
          <w:szCs w:val="24"/>
        </w:rPr>
        <w:t xml:space="preserve">Pirkimų </w:t>
      </w:r>
      <w:r w:rsidR="008158B3" w:rsidRPr="005E002E">
        <w:rPr>
          <w:rFonts w:cstheme="minorHAnsi"/>
          <w:sz w:val="24"/>
          <w:szCs w:val="24"/>
        </w:rPr>
        <w:t xml:space="preserve">sąlygų </w:t>
      </w:r>
      <w:r w:rsidR="00281ABC" w:rsidRPr="005E002E">
        <w:rPr>
          <w:rFonts w:cstheme="minorHAnsi"/>
          <w:sz w:val="24"/>
          <w:szCs w:val="24"/>
        </w:rPr>
        <w:t>37.1 papunktyje nustatytas reikalavimas</w:t>
      </w:r>
      <w:r w:rsidR="004E7B5C" w:rsidRPr="005E002E">
        <w:rPr>
          <w:rFonts w:cstheme="minorHAnsi"/>
          <w:sz w:val="24"/>
          <w:szCs w:val="24"/>
        </w:rPr>
        <w:t xml:space="preserve"> dėl aplinkos apsaugos vadybos sistemos standartų</w:t>
      </w:r>
      <w:r w:rsidR="008D2456" w:rsidRPr="005E002E">
        <w:rPr>
          <w:rFonts w:cstheme="minorHAnsi"/>
          <w:sz w:val="24"/>
          <w:szCs w:val="24"/>
        </w:rPr>
        <w:t>: “&lt;…&gt;</w:t>
      </w:r>
      <w:r w:rsidR="00FE5C7F">
        <w:rPr>
          <w:rFonts w:cstheme="minorHAnsi"/>
          <w:sz w:val="24"/>
          <w:szCs w:val="24"/>
        </w:rPr>
        <w:t xml:space="preserve"> </w:t>
      </w:r>
      <w:r w:rsidR="000C1240" w:rsidRPr="005E002E">
        <w:rPr>
          <w:rFonts w:eastAsia="Times New Roman" w:cstheme="minorHAnsi"/>
          <w:kern w:val="0"/>
          <w:sz w:val="24"/>
          <w:szCs w:val="24"/>
          <w:lang w:val="lt-LT"/>
          <w14:ligatures w14:val="none"/>
        </w:rPr>
        <w:t xml:space="preserve">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 neatitinka </w:t>
      </w:r>
      <w:r w:rsidR="00417299" w:rsidRPr="005E002E">
        <w:rPr>
          <w:rFonts w:eastAsia="Times New Roman" w:cstheme="minorHAnsi"/>
          <w:kern w:val="0"/>
          <w:sz w:val="24"/>
          <w:szCs w:val="24"/>
          <w:lang w:val="lt-LT"/>
          <w14:ligatures w14:val="none"/>
        </w:rPr>
        <w:t xml:space="preserve">galiojančio </w:t>
      </w:r>
      <w:r w:rsidR="009B2D51" w:rsidRPr="005E002E">
        <w:rPr>
          <w:rFonts w:cstheme="minorHAnsi"/>
          <w:sz w:val="24"/>
          <w:szCs w:val="24"/>
          <w:lang w:val="lt-LT"/>
        </w:rPr>
        <w:t>Aplinkos apsaugos kriterijų taikymo, vykdant žaliuosius pirkimus, tvarkos aprašo, patvirtint</w:t>
      </w:r>
      <w:r w:rsidR="009C01E4" w:rsidRPr="005E002E">
        <w:rPr>
          <w:rFonts w:cstheme="minorHAnsi"/>
          <w:sz w:val="24"/>
          <w:szCs w:val="24"/>
          <w:lang w:val="lt-LT"/>
        </w:rPr>
        <w:t xml:space="preserve">o </w:t>
      </w:r>
      <w:r w:rsidR="009B2D51" w:rsidRPr="005E002E">
        <w:rPr>
          <w:rFonts w:cstheme="minorHAnsi"/>
          <w:sz w:val="24"/>
          <w:szCs w:val="24"/>
          <w:lang w:val="lt-LT"/>
        </w:rPr>
        <w:t>Lietuvos Respublikos aplinkos ministro 2011 m. birželio 28 d. įsakymu Nr. D1-508 (toliau – Tvarkos aprašas)</w:t>
      </w:r>
      <w:r w:rsidR="00FE5C7F">
        <w:rPr>
          <w:rFonts w:cstheme="minorHAnsi"/>
          <w:sz w:val="24"/>
          <w:szCs w:val="24"/>
          <w:lang w:val="lt-LT"/>
        </w:rPr>
        <w:t xml:space="preserve"> nuostatų</w:t>
      </w:r>
      <w:r w:rsidR="009C01E4" w:rsidRPr="005E002E">
        <w:rPr>
          <w:rFonts w:cstheme="minorHAnsi"/>
          <w:sz w:val="24"/>
          <w:szCs w:val="24"/>
          <w:lang w:val="lt-LT"/>
        </w:rPr>
        <w:t xml:space="preserve">. </w:t>
      </w:r>
      <w:r w:rsidR="00C72FCC" w:rsidRPr="005E002E">
        <w:rPr>
          <w:rFonts w:cstheme="minorHAnsi"/>
          <w:sz w:val="24"/>
          <w:szCs w:val="24"/>
          <w:lang w:val="lt-LT"/>
        </w:rPr>
        <w:t xml:space="preserve">Pažymėtina, </w:t>
      </w:r>
      <w:r w:rsidR="008D3567" w:rsidRPr="005E002E">
        <w:rPr>
          <w:rFonts w:cstheme="minorHAnsi"/>
          <w:sz w:val="24"/>
          <w:szCs w:val="24"/>
          <w:lang w:val="lt-LT"/>
        </w:rPr>
        <w:t>kad pagal galiojančią Tvarkos aprašo redakciją</w:t>
      </w:r>
      <w:r w:rsidR="008D3567" w:rsidRPr="005E002E">
        <w:rPr>
          <w:rStyle w:val="FootnoteReference"/>
          <w:rFonts w:cstheme="minorHAnsi"/>
          <w:sz w:val="24"/>
          <w:szCs w:val="24"/>
        </w:rPr>
        <w:footnoteReference w:id="1"/>
      </w:r>
      <w:r w:rsidR="008D3567" w:rsidRPr="005E002E">
        <w:rPr>
          <w:rFonts w:cstheme="minorHAnsi"/>
          <w:sz w:val="24"/>
          <w:szCs w:val="24"/>
          <w:lang w:val="lt-LT"/>
        </w:rPr>
        <w:t>,  26.</w:t>
      </w:r>
      <w:r w:rsidR="002427B8" w:rsidRPr="005E002E">
        <w:rPr>
          <w:rFonts w:cstheme="minorHAnsi"/>
          <w:sz w:val="24"/>
          <w:szCs w:val="24"/>
          <w:lang w:val="lt-LT"/>
        </w:rPr>
        <w:t>1</w:t>
      </w:r>
      <w:r w:rsidR="008D3567" w:rsidRPr="005E002E">
        <w:rPr>
          <w:rFonts w:cstheme="minorHAnsi"/>
          <w:sz w:val="24"/>
          <w:szCs w:val="24"/>
          <w:lang w:val="lt-LT"/>
        </w:rPr>
        <w:t xml:space="preserve"> papunkčio reikalavimas dėstomas sekančiai: „</w:t>
      </w:r>
      <w:r w:rsidR="002427B8" w:rsidRPr="005E002E">
        <w:rPr>
          <w:rFonts w:cstheme="minorHAnsi"/>
          <w:sz w:val="24"/>
          <w:szCs w:val="24"/>
        </w:rPr>
        <w:t xml:space="preserve">tiekėjas atliekamiems statybos darbams taiko aplinkos apsaugos vadybos sistemos reikalavimus pagal standartą LST EN ISO 14001 arba EMAS ar kitus aplinkos apsaugos vadybos standartus, pagrįstus </w:t>
      </w:r>
      <w:r w:rsidR="002427B8" w:rsidRPr="005E002E">
        <w:rPr>
          <w:rFonts w:cstheme="minorHAnsi"/>
          <w:sz w:val="24"/>
          <w:szCs w:val="24"/>
        </w:rPr>
        <w:lastRenderedPageBreak/>
        <w:t>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733947" w:rsidRPr="005E002E">
        <w:rPr>
          <w:rFonts w:cstheme="minorHAnsi"/>
          <w:sz w:val="24"/>
          <w:szCs w:val="24"/>
        </w:rPr>
        <w:t>”</w:t>
      </w:r>
      <w:r w:rsidR="00966697" w:rsidRPr="005E002E">
        <w:rPr>
          <w:rFonts w:cstheme="minorHAnsi"/>
          <w:sz w:val="24"/>
          <w:szCs w:val="24"/>
        </w:rPr>
        <w:t xml:space="preserve"> </w:t>
      </w:r>
      <w:r w:rsidRPr="005E002E">
        <w:rPr>
          <w:rFonts w:eastAsia="Times New Roman" w:cstheme="minorHAnsi"/>
          <w:kern w:val="0"/>
          <w:sz w:val="24"/>
          <w:szCs w:val="24"/>
          <w:lang w:val="lt-LT"/>
          <w14:ligatures w14:val="none"/>
        </w:rPr>
        <w:t xml:space="preserve">        </w:t>
      </w:r>
      <w:r w:rsidR="002B43EF" w:rsidRPr="005E002E">
        <w:rPr>
          <w:rFonts w:cstheme="minorHAnsi"/>
          <w:sz w:val="24"/>
          <w:szCs w:val="24"/>
          <w:lang w:val="pt-PT"/>
        </w:rPr>
        <w:t xml:space="preserve">Atsižvelgiant į tai, rekomenduotina patikslinti Pirkimo sąlygų </w:t>
      </w:r>
      <w:r w:rsidR="00A65EDA" w:rsidRPr="005E002E">
        <w:rPr>
          <w:rFonts w:cstheme="minorHAnsi"/>
          <w:sz w:val="24"/>
          <w:szCs w:val="24"/>
          <w:lang w:val="pt-PT"/>
        </w:rPr>
        <w:t>37.1</w:t>
      </w:r>
      <w:r w:rsidR="002B43EF" w:rsidRPr="005E002E">
        <w:rPr>
          <w:rFonts w:cstheme="minorHAnsi"/>
          <w:sz w:val="24"/>
          <w:szCs w:val="24"/>
          <w:lang w:val="pt-PT"/>
        </w:rPr>
        <w:t xml:space="preserve"> papunkčio reikalavimo formuluotę</w:t>
      </w:r>
      <w:r w:rsidR="009E672B" w:rsidRPr="005E002E">
        <w:rPr>
          <w:rFonts w:cstheme="minorHAnsi"/>
          <w:sz w:val="24"/>
          <w:szCs w:val="24"/>
          <w:lang w:val="pt-PT"/>
        </w:rPr>
        <w:t xml:space="preserve"> pagal </w:t>
      </w:r>
      <w:r w:rsidR="00D83C73" w:rsidRPr="005E002E">
        <w:rPr>
          <w:rFonts w:cstheme="minorHAnsi"/>
          <w:sz w:val="24"/>
          <w:szCs w:val="24"/>
          <w:lang w:val="pt-PT"/>
        </w:rPr>
        <w:t>galiojančią Tvarkos aprašo redakciją</w:t>
      </w:r>
      <w:r w:rsidR="00FE5C7F">
        <w:rPr>
          <w:rFonts w:cstheme="minorHAnsi"/>
          <w:sz w:val="24"/>
          <w:szCs w:val="24"/>
          <w:lang w:val="pt-PT"/>
        </w:rPr>
        <w:t xml:space="preserve"> ir atsisakyti neaktualios informacijos</w:t>
      </w:r>
      <w:r w:rsidR="00D83C73" w:rsidRPr="005E002E">
        <w:rPr>
          <w:rFonts w:cstheme="minorHAnsi"/>
          <w:sz w:val="24"/>
          <w:szCs w:val="24"/>
          <w:lang w:val="pt-PT"/>
        </w:rPr>
        <w:t>.</w:t>
      </w:r>
    </w:p>
    <w:p w14:paraId="4458F12B" w14:textId="2C140027" w:rsidR="00F67897" w:rsidRPr="005E002E" w:rsidRDefault="00BB61FC" w:rsidP="005E002E">
      <w:pPr>
        <w:tabs>
          <w:tab w:val="left" w:pos="1134"/>
        </w:tabs>
        <w:spacing w:after="0" w:line="276" w:lineRule="auto"/>
        <w:rPr>
          <w:rFonts w:cstheme="minorHAnsi"/>
          <w:kern w:val="0"/>
          <w:sz w:val="24"/>
          <w:szCs w:val="24"/>
          <w:lang w:val="lt-LT"/>
          <w14:ligatures w14:val="none"/>
        </w:rPr>
      </w:pPr>
      <w:r w:rsidRPr="0051170C">
        <w:rPr>
          <w:rFonts w:cstheme="minorHAnsi"/>
          <w:b/>
          <w:bCs/>
          <w:sz w:val="24"/>
          <w:szCs w:val="24"/>
          <w:lang w:val="pt-PT"/>
        </w:rPr>
        <w:t xml:space="preserve">               </w:t>
      </w:r>
      <w:r w:rsidR="001136F7" w:rsidRPr="0051170C">
        <w:rPr>
          <w:rFonts w:cstheme="minorHAnsi"/>
          <w:b/>
          <w:bCs/>
          <w:sz w:val="24"/>
          <w:szCs w:val="24"/>
          <w:lang w:val="pt-PT"/>
        </w:rPr>
        <w:t>1.4.</w:t>
      </w:r>
      <w:r w:rsidR="00F67897" w:rsidRPr="005E002E">
        <w:rPr>
          <w:rFonts w:cstheme="minorHAnsi"/>
          <w:sz w:val="24"/>
          <w:szCs w:val="24"/>
          <w:lang w:val="pt-PT"/>
        </w:rPr>
        <w:t xml:space="preserve"> </w:t>
      </w:r>
      <w:r w:rsidR="00FC04D8" w:rsidRPr="005E002E">
        <w:rPr>
          <w:rFonts w:eastAsia="Times New Roman" w:cstheme="minorHAnsi"/>
          <w:kern w:val="0"/>
          <w:sz w:val="24"/>
          <w:szCs w:val="24"/>
          <w:lang w:val="lt"/>
          <w14:ligatures w14:val="none"/>
        </w:rPr>
        <w:t xml:space="preserve">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w:t>
      </w:r>
      <w:r w:rsidR="00FE5C7F">
        <w:rPr>
          <w:rFonts w:eastAsia="Times New Roman" w:cstheme="minorHAnsi"/>
          <w:kern w:val="0"/>
          <w:sz w:val="24"/>
          <w:szCs w:val="24"/>
          <w:lang w:val="lt"/>
          <w14:ligatures w14:val="none"/>
        </w:rPr>
        <w:t>pagrindai</w:t>
      </w:r>
      <w:r w:rsidR="00FC04D8" w:rsidRPr="005E002E">
        <w:rPr>
          <w:rFonts w:eastAsia="Times New Roman" w:cstheme="minorHAnsi"/>
          <w:kern w:val="0"/>
          <w:sz w:val="24"/>
          <w:szCs w:val="24"/>
          <w:lang w:val="lt"/>
          <w14:ligatures w14:val="none"/>
        </w:rPr>
        <w:t xml:space="preserve"> neįtraukti į Sutarties projektą, todėl Tarnyba rekomenduoja pa</w:t>
      </w:r>
      <w:r w:rsidR="00FE5C7F">
        <w:rPr>
          <w:rFonts w:eastAsia="Times New Roman" w:cstheme="minorHAnsi"/>
          <w:kern w:val="0"/>
          <w:sz w:val="24"/>
          <w:szCs w:val="24"/>
          <w:lang w:val="lt"/>
          <w14:ligatures w14:val="none"/>
        </w:rPr>
        <w:t xml:space="preserve">pildyti </w:t>
      </w:r>
      <w:r w:rsidR="00FC04D8" w:rsidRPr="005E002E">
        <w:rPr>
          <w:rFonts w:eastAsia="Times New Roman" w:cstheme="minorHAnsi"/>
          <w:kern w:val="0"/>
          <w:sz w:val="24"/>
          <w:szCs w:val="24"/>
          <w:lang w:val="lt"/>
          <w14:ligatures w14:val="none"/>
        </w:rPr>
        <w:t xml:space="preserve"> Sutarties projektą.</w:t>
      </w:r>
    </w:p>
    <w:p w14:paraId="6121FD77" w14:textId="77777777" w:rsidR="00417299" w:rsidRPr="005E002E" w:rsidRDefault="00417299" w:rsidP="005E002E">
      <w:pPr>
        <w:spacing w:line="276" w:lineRule="auto"/>
        <w:rPr>
          <w:rFonts w:ascii="Times New Roman" w:eastAsia="Times New Roman" w:hAnsi="Times New Roman" w:cs="Times New Roman"/>
          <w:kern w:val="0"/>
          <w:sz w:val="24"/>
          <w:szCs w:val="24"/>
          <w:lang w:val="lt-LT"/>
          <w14:ligatures w14:val="none"/>
        </w:rPr>
      </w:pPr>
    </w:p>
    <w:p w14:paraId="6098750D" w14:textId="18368F17" w:rsidR="00252472" w:rsidRPr="005E002E" w:rsidRDefault="00000CB5" w:rsidP="005E002E">
      <w:pPr>
        <w:spacing w:line="276" w:lineRule="auto"/>
        <w:rPr>
          <w:rFonts w:cstheme="minorHAnsi"/>
          <w:b/>
          <w:bCs/>
          <w:kern w:val="0"/>
          <w:sz w:val="24"/>
          <w:szCs w:val="24"/>
          <w:lang w:val="lt-LT" w:eastAsia="lt-LT"/>
          <w14:ligatures w14:val="none"/>
        </w:rPr>
      </w:pPr>
      <w:r w:rsidRPr="005E002E">
        <w:rPr>
          <w:rFonts w:cstheme="minorHAnsi"/>
          <w:b/>
          <w:bCs/>
          <w:kern w:val="0"/>
          <w:sz w:val="24"/>
          <w:szCs w:val="24"/>
          <w:lang w:val="lt-LT" w:eastAsia="lt-LT"/>
          <w14:ligatures w14:val="none"/>
        </w:rPr>
        <w:t xml:space="preserve">2. </w:t>
      </w:r>
      <w:r w:rsidR="00252472" w:rsidRPr="005E002E">
        <w:rPr>
          <w:rFonts w:cstheme="minorHAnsi"/>
          <w:b/>
          <w:bCs/>
          <w:kern w:val="0"/>
          <w:sz w:val="24"/>
          <w:szCs w:val="24"/>
          <w:lang w:val="lt-LT" w:eastAsia="lt-LT"/>
          <w14:ligatures w14:val="none"/>
        </w:rPr>
        <w:t xml:space="preserve">Kiti pastebėjimai dėl </w:t>
      </w:r>
      <w:r w:rsidR="00B15C38" w:rsidRPr="005E002E">
        <w:rPr>
          <w:rFonts w:cstheme="minorHAnsi"/>
          <w:b/>
          <w:bCs/>
          <w:kern w:val="0"/>
          <w:sz w:val="24"/>
          <w:szCs w:val="24"/>
          <w:lang w:val="lt-LT" w:eastAsia="lt-LT"/>
          <w14:ligatures w14:val="none"/>
        </w:rPr>
        <w:t>1</w:t>
      </w:r>
      <w:r w:rsidR="00252472" w:rsidRPr="005E002E">
        <w:rPr>
          <w:rFonts w:cstheme="minorHAnsi"/>
          <w:b/>
          <w:bCs/>
          <w:kern w:val="0"/>
          <w:sz w:val="24"/>
          <w:szCs w:val="24"/>
          <w:lang w:val="lt-LT" w:eastAsia="lt-LT"/>
          <w14:ligatures w14:val="none"/>
        </w:rPr>
        <w:t xml:space="preserve"> Pirkimo:</w:t>
      </w:r>
    </w:p>
    <w:p w14:paraId="71FBF20E" w14:textId="57700349" w:rsidR="0066222D" w:rsidRPr="0051170C" w:rsidRDefault="0066222D" w:rsidP="005E002E">
      <w:pPr>
        <w:pStyle w:val="ListParagraph"/>
        <w:numPr>
          <w:ilvl w:val="1"/>
          <w:numId w:val="2"/>
        </w:numPr>
        <w:tabs>
          <w:tab w:val="left" w:pos="993"/>
        </w:tabs>
        <w:spacing w:after="0" w:line="276" w:lineRule="auto"/>
        <w:rPr>
          <w:rFonts w:cstheme="minorHAnsi"/>
          <w:b/>
          <w:bCs/>
          <w:sz w:val="24"/>
          <w:szCs w:val="24"/>
          <w:lang w:eastAsia="lt-LT"/>
        </w:rPr>
      </w:pPr>
      <w:r w:rsidRPr="0051170C">
        <w:rPr>
          <w:rFonts w:cstheme="minorHAnsi"/>
          <w:b/>
          <w:bCs/>
          <w:sz w:val="24"/>
          <w:szCs w:val="24"/>
          <w:lang w:eastAsia="lt-LT"/>
        </w:rPr>
        <w:t>Dėl tiekėjo kvalifikacijos reikalavimų</w:t>
      </w:r>
    </w:p>
    <w:p w14:paraId="1732386F" w14:textId="77777777" w:rsidR="007431FB" w:rsidRPr="005E002E" w:rsidRDefault="007431FB" w:rsidP="005E002E">
      <w:pPr>
        <w:spacing w:after="0" w:line="276" w:lineRule="auto"/>
        <w:ind w:firstLine="360"/>
        <w:rPr>
          <w:rFonts w:eastAsia="Times New Roman" w:cstheme="minorHAnsi"/>
          <w:b/>
          <w:bCs/>
          <w:sz w:val="24"/>
          <w:szCs w:val="24"/>
          <w:lang w:val="lt"/>
        </w:rPr>
      </w:pPr>
      <w:r w:rsidRPr="005E002E">
        <w:rPr>
          <w:rFonts w:eastAsia="Times New Roman" w:cstheme="minorHAnsi"/>
          <w:sz w:val="24"/>
          <w:szCs w:val="24"/>
          <w:lang w:val="lt"/>
        </w:rPr>
        <w:t>Įstatymo 47 straipsnio 7 dalyje nustatyta, kad Tiekėjo kvalifikacijos reikalavimai nustatomi pagal Viešųjų pirkimų tarnybos patvirtintą tiekėjo kvalifikacijos reikalavimų nustatymo metodiką</w:t>
      </w:r>
      <w:r w:rsidRPr="005E002E">
        <w:rPr>
          <w:rStyle w:val="FootnoteReference"/>
          <w:rFonts w:eastAsia="Times New Roman" w:cstheme="minorHAnsi"/>
          <w:sz w:val="24"/>
          <w:szCs w:val="24"/>
          <w:lang w:val="lt"/>
        </w:rPr>
        <w:footnoteReference w:id="2"/>
      </w:r>
      <w:r w:rsidRPr="005E002E">
        <w:rPr>
          <w:rFonts w:eastAsia="Times New Roman" w:cstheme="minorHAnsi"/>
          <w:sz w:val="24"/>
          <w:szCs w:val="24"/>
          <w:lang w:val="lt"/>
        </w:rPr>
        <w:t xml:space="preserve"> (toliau – Metodika). Metodikos 21 punkte nustatyta, kad „Pirkimo vykdytojas tiksliai ir aiškiai pirkimo dokumentuose nurodo, kokią kvalifikaciją turi turėti tiekėjo personalas. Kvalifikacijos</w:t>
      </w:r>
      <w:r w:rsidRPr="005E002E">
        <w:rPr>
          <w:rFonts w:eastAsia="Times New Roman" w:cstheme="minorHAnsi"/>
          <w:i/>
          <w:iCs/>
          <w:sz w:val="24"/>
          <w:szCs w:val="24"/>
          <w:lang w:val="lt"/>
        </w:rPr>
        <w:t xml:space="preserve"> </w:t>
      </w:r>
      <w:r w:rsidRPr="005E002E">
        <w:rPr>
          <w:rFonts w:eastAsia="Times New Roman" w:cstheme="minorHAnsi"/>
          <w:sz w:val="24"/>
          <w:szCs w:val="24"/>
          <w:lang w:val="lt"/>
        </w:rPr>
        <w:t xml:space="preserve">reikalavimai turi būti nustatomi atsižvelgiant į pirkimo vykdytojo nurodytas kompetencijas galintiems sutartį vykdyti asmenims įvertinus norminiuose teisės aktuose nustatomus reikalavimus (pavyzdžiui, statybos techninės veiklos pagrindinių sričių vadovams kvalifikacijos reikalavimai nustatomi atsižvelgiant į Lietuvos Respublikos statybos įstatyme  nurodytus reikalavimus)“. Lietuvos Respublikos Statybos įstatymo (toliau – Statybos įstatymas) 12 straipsnio 9 dalyje nustatyta, jog „vadovauti </w:t>
      </w:r>
      <w:r w:rsidRPr="005E002E">
        <w:rPr>
          <w:rFonts w:eastAsia="Times New Roman" w:cstheme="minorHAnsi"/>
          <w:b/>
          <w:bCs/>
          <w:sz w:val="24"/>
          <w:szCs w:val="24"/>
          <w:lang w:val="lt"/>
        </w:rPr>
        <w:t>nesudėtingojo statinio</w:t>
      </w:r>
      <w:r w:rsidRPr="005E002E">
        <w:rPr>
          <w:rFonts w:eastAsia="Times New Roman" w:cstheme="minorHAnsi"/>
          <w:sz w:val="24"/>
          <w:szCs w:val="24"/>
          <w:lang w:val="lt"/>
        </w:rPr>
        <w:t xml:space="preserve"> projektavimui, statinio projekto vykdymo priežiūrai, statinio statybos techninei priežiūrai ir </w:t>
      </w:r>
      <w:r w:rsidRPr="005E002E">
        <w:rPr>
          <w:rFonts w:eastAsia="Times New Roman" w:cstheme="minorHAnsi"/>
          <w:b/>
          <w:bCs/>
          <w:sz w:val="24"/>
          <w:szCs w:val="24"/>
          <w:lang w:val="lt"/>
        </w:rPr>
        <w:t>statybai</w:t>
      </w:r>
      <w:r w:rsidRPr="005E002E">
        <w:rPr>
          <w:rFonts w:eastAsia="Times New Roman" w:cstheme="minorHAnsi"/>
          <w:sz w:val="24"/>
          <w:szCs w:val="24"/>
          <w:lang w:val="lt"/>
        </w:rPr>
        <w:t xml:space="preserve"> turi teisę asmenys, įgiję šio įstatymo 2 straipsnio 1 arba 92 dalyje nurodytą išsilavinimą“ (architekto ar statybos inžinieriaus), taip pat Statybos techninio reglamento STR 1.06.01:2016 „Statybos darbai. Statinio statybos priežiūra“ 15.4 papunktyje nurodyta, kad </w:t>
      </w:r>
      <w:r w:rsidRPr="005E002E">
        <w:rPr>
          <w:rFonts w:eastAsia="Times New Roman" w:cstheme="minorHAnsi"/>
          <w:b/>
          <w:bCs/>
          <w:sz w:val="24"/>
          <w:szCs w:val="24"/>
          <w:lang w:val="lt"/>
        </w:rPr>
        <w:t>vadovauti nesudėtingojo statinio statybai turi teisę neatestuoti asmenys.</w:t>
      </w:r>
    </w:p>
    <w:p w14:paraId="7CABAF72" w14:textId="152BDD18" w:rsidR="007431FB" w:rsidRPr="005E002E" w:rsidRDefault="001244C2" w:rsidP="005E002E">
      <w:pPr>
        <w:suppressAutoHyphens/>
        <w:autoSpaceDN w:val="0"/>
        <w:spacing w:after="0" w:line="276" w:lineRule="auto"/>
        <w:textAlignment w:val="baseline"/>
        <w:rPr>
          <w:rFonts w:eastAsia="Times New Roman" w:cstheme="minorHAnsi"/>
          <w:kern w:val="0"/>
          <w:sz w:val="24"/>
          <w:szCs w:val="24"/>
          <w:lang w:val="lt-LT"/>
          <w14:ligatures w14:val="none"/>
        </w:rPr>
      </w:pPr>
      <w:r>
        <w:rPr>
          <w:rFonts w:eastAsia="Times New Roman" w:cstheme="minorHAnsi"/>
          <w:sz w:val="24"/>
          <w:szCs w:val="24"/>
          <w:lang w:val="lt"/>
        </w:rPr>
        <w:t xml:space="preserve">          </w:t>
      </w:r>
      <w:r w:rsidR="007431FB" w:rsidRPr="005E002E">
        <w:rPr>
          <w:rFonts w:eastAsia="Times New Roman" w:cstheme="minorHAnsi"/>
          <w:sz w:val="24"/>
          <w:szCs w:val="24"/>
          <w:lang w:val="lt"/>
        </w:rPr>
        <w:t xml:space="preserve">Atsižvelgiant į galiojantį statybos srities teisinį reglamentavimą, t. y. į tai, jog vadovauti nesudėtingojo statinio statybai turi teisę neatestuoti asmenys, </w:t>
      </w:r>
      <w:r w:rsidR="00453747" w:rsidRPr="005E002E">
        <w:rPr>
          <w:rFonts w:eastAsia="Times New Roman" w:cstheme="minorHAnsi"/>
          <w:sz w:val="24"/>
          <w:szCs w:val="24"/>
          <w:lang w:val="lt"/>
        </w:rPr>
        <w:t xml:space="preserve">Pirkimo </w:t>
      </w:r>
      <w:r w:rsidR="00480393" w:rsidRPr="005E002E">
        <w:rPr>
          <w:rFonts w:eastAsia="Times New Roman" w:cstheme="minorHAnsi"/>
          <w:sz w:val="24"/>
          <w:szCs w:val="24"/>
          <w:lang w:val="lt"/>
        </w:rPr>
        <w:t>sąlygų</w:t>
      </w:r>
      <w:r w:rsidR="007431FB" w:rsidRPr="005E002E">
        <w:rPr>
          <w:rFonts w:eastAsia="Times New Roman" w:cstheme="minorHAnsi"/>
          <w:sz w:val="24"/>
          <w:szCs w:val="24"/>
          <w:lang w:val="lt"/>
        </w:rPr>
        <w:t xml:space="preserve"> 3</w:t>
      </w:r>
      <w:r w:rsidR="00480393" w:rsidRPr="005E002E">
        <w:rPr>
          <w:rFonts w:eastAsia="Times New Roman" w:cstheme="minorHAnsi"/>
          <w:sz w:val="24"/>
          <w:szCs w:val="24"/>
          <w:lang w:val="lt"/>
        </w:rPr>
        <w:t>0</w:t>
      </w:r>
      <w:r w:rsidR="007431FB" w:rsidRPr="005E002E">
        <w:rPr>
          <w:rFonts w:eastAsia="Times New Roman" w:cstheme="minorHAnsi"/>
          <w:sz w:val="24"/>
          <w:szCs w:val="24"/>
          <w:lang w:val="lt"/>
        </w:rPr>
        <w:t xml:space="preserve">.1.2. </w:t>
      </w:r>
      <w:r w:rsidR="0043751B" w:rsidRPr="005E002E">
        <w:rPr>
          <w:rFonts w:eastAsia="Times New Roman" w:cstheme="minorHAnsi"/>
          <w:sz w:val="24"/>
          <w:szCs w:val="24"/>
          <w:lang w:val="lt"/>
        </w:rPr>
        <w:t>papunktyje</w:t>
      </w:r>
      <w:r w:rsidR="007431FB" w:rsidRPr="005E002E">
        <w:rPr>
          <w:rFonts w:eastAsia="Times New Roman" w:cstheme="minorHAnsi"/>
          <w:sz w:val="24"/>
          <w:szCs w:val="24"/>
          <w:lang w:val="lt"/>
        </w:rPr>
        <w:t xml:space="preserve"> nustatytas kvalifikacijos reikalavimas </w:t>
      </w:r>
      <w:r w:rsidR="00FE5C7F">
        <w:rPr>
          <w:rFonts w:eastAsia="Times New Roman" w:cstheme="minorHAnsi"/>
          <w:sz w:val="24"/>
          <w:szCs w:val="24"/>
          <w:lang w:val="lt"/>
        </w:rPr>
        <w:t>t</w:t>
      </w:r>
      <w:r w:rsidR="007431FB" w:rsidRPr="005E002E">
        <w:rPr>
          <w:rFonts w:eastAsia="Times New Roman" w:cstheme="minorHAnsi"/>
          <w:sz w:val="24"/>
          <w:szCs w:val="24"/>
          <w:lang w:val="lt"/>
        </w:rPr>
        <w:t>iekėjui pas</w:t>
      </w:r>
      <w:r w:rsidR="00FE5C7F">
        <w:rPr>
          <w:rFonts w:eastAsia="Times New Roman" w:cstheme="minorHAnsi"/>
          <w:sz w:val="24"/>
          <w:szCs w:val="24"/>
          <w:lang w:val="lt"/>
        </w:rPr>
        <w:t xml:space="preserve">iūlyti </w:t>
      </w:r>
      <w:r w:rsidR="007431FB" w:rsidRPr="005E002E">
        <w:rPr>
          <w:rFonts w:eastAsia="Times New Roman" w:cstheme="minorHAnsi"/>
          <w:sz w:val="24"/>
          <w:szCs w:val="24"/>
          <w:lang w:val="lt"/>
        </w:rPr>
        <w:t xml:space="preserve"> „</w:t>
      </w:r>
      <w:r w:rsidR="007431FB" w:rsidRPr="005E002E">
        <w:rPr>
          <w:rFonts w:cstheme="minorHAnsi"/>
          <w:sz w:val="24"/>
          <w:szCs w:val="24"/>
          <w:lang w:eastAsia="lt-LT"/>
        </w:rPr>
        <w:t xml:space="preserve">ne mažiau kaip 1 (vieną) specialistą, statybos darbų vadovą, kuriam suteikta teisė eiti neypatingojo statinio statybos vadovo pareigas neypatingųjų statinių grupėje – inžineriniai statiniai: susisiekimo komunikacijos: </w:t>
      </w:r>
      <w:r w:rsidR="007431FB" w:rsidRPr="005E002E">
        <w:rPr>
          <w:rFonts w:cstheme="minorHAnsi"/>
          <w:sz w:val="24"/>
          <w:szCs w:val="24"/>
          <w:lang w:eastAsia="lt-LT"/>
        </w:rPr>
        <w:lastRenderedPageBreak/>
        <w:t xml:space="preserve">keliai ir/ arba gatvės.“, </w:t>
      </w:r>
      <w:r w:rsidR="007431FB" w:rsidRPr="005E002E">
        <w:rPr>
          <w:rFonts w:eastAsia="Times New Roman" w:cstheme="minorHAnsi"/>
          <w:sz w:val="24"/>
          <w:szCs w:val="24"/>
          <w:lang w:val="lt"/>
        </w:rPr>
        <w:t>bei reikalavimai pateikti atitiktį patvirtinančius dokumentus: „</w:t>
      </w:r>
      <w:r w:rsidR="003C6302" w:rsidRPr="005E002E">
        <w:rPr>
          <w:rFonts w:eastAsia="Times New Roman" w:cstheme="minorHAnsi"/>
          <w:kern w:val="0"/>
          <w:sz w:val="24"/>
          <w:szCs w:val="24"/>
          <w:lang w:val="lt-LT"/>
          <w14:ligatures w14:val="none"/>
        </w:rPr>
        <w:t xml:space="preserve">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ypatingojo/neypatingojo statinio statybos vadovo pareigas statinių grupėje – inžineriniai statiniai: susiekimo komunikacijos: keliai ir/arba gatvės“ </w:t>
      </w:r>
      <w:r w:rsidR="007431FB" w:rsidRPr="005E002E">
        <w:rPr>
          <w:rFonts w:eastAsia="Times New Roman" w:cstheme="minorHAnsi"/>
          <w:sz w:val="24"/>
          <w:szCs w:val="24"/>
          <w:lang w:val="lt"/>
        </w:rPr>
        <w:t>laikytini pertekliniais, neatitinkančiais Statybos įstatymo nuostatų ir Įstatymo 47 straipsnio 1 dalies nuostatos, kad „Perkančioji organizacija &lt;...&gt; turi teisę &lt;...&gt;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p w14:paraId="6176A04C" w14:textId="7D2ED03F" w:rsidR="007431FB" w:rsidRPr="005E002E" w:rsidRDefault="007431FB" w:rsidP="005E002E">
      <w:pPr>
        <w:spacing w:after="0" w:line="276" w:lineRule="auto"/>
        <w:ind w:firstLine="556"/>
        <w:rPr>
          <w:rFonts w:eastAsia="Times New Roman" w:cstheme="minorHAnsi"/>
          <w:sz w:val="24"/>
          <w:szCs w:val="24"/>
          <w:lang w:val="lt"/>
        </w:rPr>
      </w:pPr>
      <w:r w:rsidRPr="005E002E">
        <w:rPr>
          <w:rFonts w:eastAsia="Times New Roman" w:cstheme="minorHAnsi"/>
          <w:sz w:val="24"/>
          <w:szCs w:val="24"/>
          <w:lang w:val="lt"/>
        </w:rPr>
        <w:t>Įvertinus aukščiau išdėstytą, Tarnyba rekomenduoja patikslinti reikalavim</w:t>
      </w:r>
      <w:r w:rsidR="004A20D9" w:rsidRPr="005E002E">
        <w:rPr>
          <w:rFonts w:eastAsia="Times New Roman" w:cstheme="minorHAnsi"/>
          <w:sz w:val="24"/>
          <w:szCs w:val="24"/>
          <w:lang w:val="lt"/>
        </w:rPr>
        <w:t>ą</w:t>
      </w:r>
      <w:r w:rsidRPr="005E002E">
        <w:rPr>
          <w:rFonts w:eastAsia="Times New Roman" w:cstheme="minorHAnsi"/>
          <w:sz w:val="24"/>
          <w:szCs w:val="24"/>
          <w:lang w:val="lt"/>
        </w:rPr>
        <w:t xml:space="preserve">, kur šiuo atveju </w:t>
      </w:r>
      <w:r w:rsidRPr="005E002E">
        <w:rPr>
          <w:rFonts w:eastAsia="Times New Roman" w:cstheme="minorHAnsi"/>
          <w:b/>
          <w:bCs/>
          <w:sz w:val="24"/>
          <w:szCs w:val="24"/>
          <w:lang w:val="lt"/>
        </w:rPr>
        <w:t>nesudėtingojo statinio</w:t>
      </w:r>
      <w:r w:rsidRPr="005E002E">
        <w:rPr>
          <w:rFonts w:eastAsia="Times New Roman" w:cstheme="minorHAnsi"/>
          <w:sz w:val="24"/>
          <w:szCs w:val="24"/>
          <w:lang w:val="lt"/>
        </w:rPr>
        <w:t xml:space="preserve"> statybos vadovui (taip pat ir užsienio šalių specialistui) pakanka turėti architekto ar statybos inžinieriaus išsilavinimą ir pateikti išsilavinimą liudijančių diplomų kopijas. </w:t>
      </w:r>
      <w:r w:rsidRPr="005E002E">
        <w:rPr>
          <w:rFonts w:eastAsia="Times New Roman" w:cstheme="minorHAnsi"/>
          <w:b/>
          <w:bCs/>
          <w:sz w:val="24"/>
          <w:szCs w:val="24"/>
          <w:lang w:val="lt"/>
        </w:rPr>
        <w:t>Galimybė (bet ne pareiga)</w:t>
      </w:r>
      <w:r w:rsidRPr="005E002E">
        <w:rPr>
          <w:rFonts w:eastAsia="Times New Roman" w:cstheme="minorHAnsi"/>
          <w:sz w:val="24"/>
          <w:szCs w:val="24"/>
          <w:lang w:val="lt"/>
        </w:rPr>
        <w:t xml:space="preserve"> tiekėjui pateikti siūlomo specialisto kvalifikacijos dokumentus (atestatus ir teisės pripažinimo dokumentus), įrodančius aukštesnę nei nesudėtingojo statinio statybos vadovo kvalifikaciją, gali būti nurodyta tik pastaboje.</w:t>
      </w:r>
    </w:p>
    <w:p w14:paraId="4C2F2C6A" w14:textId="109CB9DC" w:rsidR="00024067" w:rsidRPr="005E002E" w:rsidRDefault="00024067" w:rsidP="005E002E">
      <w:pPr>
        <w:pStyle w:val="ListParagraph"/>
        <w:spacing w:line="276" w:lineRule="auto"/>
        <w:ind w:left="1003"/>
        <w:rPr>
          <w:sz w:val="24"/>
          <w:szCs w:val="24"/>
        </w:rPr>
      </w:pPr>
    </w:p>
    <w:p w14:paraId="1F795748" w14:textId="486185DD" w:rsidR="0033004F" w:rsidRPr="005E002E" w:rsidRDefault="0033004F" w:rsidP="005E002E">
      <w:pPr>
        <w:spacing w:after="0" w:line="276" w:lineRule="auto"/>
        <w:ind w:left="340" w:right="-20"/>
        <w:rPr>
          <w:rFonts w:ascii="Calibri" w:eastAsia="Calibri" w:hAnsi="Calibri" w:cs="Calibri"/>
          <w:b/>
          <w:bCs/>
          <w:sz w:val="24"/>
          <w:szCs w:val="24"/>
          <w:lang w:val="lt"/>
        </w:rPr>
      </w:pPr>
      <w:r w:rsidRPr="005E002E">
        <w:rPr>
          <w:rFonts w:ascii="Calibri" w:eastAsia="Calibri" w:hAnsi="Calibri" w:cs="Calibri"/>
          <w:b/>
          <w:bCs/>
          <w:sz w:val="24"/>
          <w:szCs w:val="24"/>
          <w:lang w:val="lt"/>
        </w:rPr>
        <w:t xml:space="preserve">     2.2.Dėl sutarties projekto nuostatų</w:t>
      </w:r>
    </w:p>
    <w:p w14:paraId="2051215C" w14:textId="2737F954" w:rsidR="00024067" w:rsidRDefault="0033004F" w:rsidP="0051170C">
      <w:pPr>
        <w:tabs>
          <w:tab w:val="left" w:pos="851"/>
        </w:tabs>
        <w:spacing w:after="0" w:line="276" w:lineRule="auto"/>
        <w:contextualSpacing/>
        <w:rPr>
          <w:rFonts w:eastAsia="SimSun" w:cstheme="minorHAnsi"/>
          <w:kern w:val="3"/>
          <w:sz w:val="24"/>
          <w:szCs w:val="24"/>
          <w:lang w:val="lt-LT" w:eastAsia="ar-SA"/>
          <w14:ligatures w14:val="none"/>
        </w:rPr>
      </w:pPr>
      <w:r w:rsidRPr="005E002E">
        <w:rPr>
          <w:rFonts w:cstheme="minorHAnsi"/>
          <w:kern w:val="0"/>
          <w:sz w:val="24"/>
          <w:szCs w:val="24"/>
          <w:lang w:val="lt-LT" w:eastAsia="lt-LT"/>
          <w14:ligatures w14:val="none"/>
        </w:rPr>
        <w:t xml:space="preserve">           </w:t>
      </w:r>
      <w:r w:rsidR="00B727F9" w:rsidRPr="005E002E">
        <w:rPr>
          <w:rFonts w:cstheme="minorHAnsi"/>
          <w:kern w:val="0"/>
          <w:sz w:val="24"/>
          <w:szCs w:val="24"/>
          <w:lang w:val="lt-LT" w:eastAsia="lt-LT"/>
          <w14:ligatures w14:val="none"/>
        </w:rPr>
        <w:t>Sutarties projekto</w:t>
      </w:r>
      <w:r w:rsidR="00EA0508" w:rsidRPr="005E002E">
        <w:rPr>
          <w:rFonts w:cstheme="minorHAnsi"/>
          <w:kern w:val="0"/>
          <w:sz w:val="24"/>
          <w:szCs w:val="24"/>
          <w:lang w:val="lt-LT" w:eastAsia="lt-LT"/>
          <w14:ligatures w14:val="none"/>
        </w:rPr>
        <w:t xml:space="preserve"> 9.2 p</w:t>
      </w:r>
      <w:r w:rsidR="009652B9" w:rsidRPr="005E002E">
        <w:rPr>
          <w:rFonts w:cstheme="minorHAnsi"/>
          <w:kern w:val="0"/>
          <w:sz w:val="24"/>
          <w:szCs w:val="24"/>
          <w:lang w:val="lt-LT" w:eastAsia="lt-LT"/>
          <w14:ligatures w14:val="none"/>
        </w:rPr>
        <w:t>apunktyje</w:t>
      </w:r>
      <w:r w:rsidR="00EA0508" w:rsidRPr="005E002E">
        <w:rPr>
          <w:rFonts w:cstheme="minorHAnsi"/>
          <w:kern w:val="0"/>
          <w:sz w:val="24"/>
          <w:szCs w:val="24"/>
          <w:lang w:val="lt-LT" w:eastAsia="lt-LT"/>
          <w14:ligatures w14:val="none"/>
        </w:rPr>
        <w:t xml:space="preserve"> nustatyta, kad „</w:t>
      </w:r>
      <w:r w:rsidR="00EA0508" w:rsidRPr="005E002E">
        <w:rPr>
          <w:rFonts w:eastAsia="SimSun" w:cstheme="minorHAnsi"/>
          <w:kern w:val="3"/>
          <w:sz w:val="24"/>
          <w:szCs w:val="24"/>
          <w:lang w:val="lt-LT" w:eastAsia="ar-SA"/>
          <w14:ligatures w14:val="none"/>
        </w:rPr>
        <w:t xml:space="preserve">Šiai Sutarčiai taikoma fiksuotos kainos </w:t>
      </w:r>
      <w:r w:rsidR="00EA0508" w:rsidRPr="005E002E">
        <w:rPr>
          <w:rFonts w:eastAsia="SimSun" w:cstheme="minorHAnsi"/>
          <w:b/>
          <w:bCs/>
          <w:kern w:val="3"/>
          <w:sz w:val="24"/>
          <w:szCs w:val="24"/>
          <w:lang w:val="lt-LT" w:eastAsia="ar-SA"/>
          <w14:ligatures w14:val="none"/>
        </w:rPr>
        <w:t>su peržiūra</w:t>
      </w:r>
      <w:r w:rsidR="00EA0508" w:rsidRPr="005E002E">
        <w:rPr>
          <w:rFonts w:eastAsia="SimSun" w:cstheme="minorHAnsi"/>
          <w:kern w:val="3"/>
          <w:sz w:val="24"/>
          <w:szCs w:val="24"/>
          <w:lang w:val="lt-LT" w:eastAsia="ar-SA"/>
          <w14:ligatures w14:val="none"/>
        </w:rPr>
        <w:t xml:space="preserve"> kainodara“</w:t>
      </w:r>
      <w:r w:rsidR="00C40CBB" w:rsidRPr="005E002E">
        <w:rPr>
          <w:rFonts w:eastAsia="SimSun" w:cstheme="minorHAnsi"/>
          <w:kern w:val="3"/>
          <w:sz w:val="24"/>
          <w:szCs w:val="24"/>
          <w:lang w:val="lt-LT" w:eastAsia="ar-SA"/>
          <w14:ligatures w14:val="none"/>
        </w:rPr>
        <w:t xml:space="preserve">. </w:t>
      </w:r>
      <w:r w:rsidR="00EA0508" w:rsidRPr="005E002E">
        <w:rPr>
          <w:rFonts w:cstheme="minorHAnsi"/>
          <w:kern w:val="0"/>
          <w:sz w:val="24"/>
          <w:szCs w:val="24"/>
          <w:lang w:val="lt-LT"/>
          <w14:ligatures w14:val="none"/>
        </w:rPr>
        <w:t>Atkreiptinas dėmesys, kad nuo 2022 m. liepos 1 d. įsigaliojo Kainodaros taisyklių nustatymo metodikos (toliau – Kainodaros metodika)</w:t>
      </w:r>
      <w:r w:rsidR="00EA0508" w:rsidRPr="005E002E">
        <w:rPr>
          <w:rFonts w:cstheme="minorHAnsi"/>
          <w:kern w:val="0"/>
          <w:sz w:val="24"/>
          <w:szCs w:val="24"/>
          <w:vertAlign w:val="superscript"/>
          <w:lang w:val="lt-LT"/>
          <w14:ligatures w14:val="none"/>
        </w:rPr>
        <w:footnoteReference w:id="3"/>
      </w:r>
      <w:r w:rsidR="00EA0508" w:rsidRPr="005E002E">
        <w:rPr>
          <w:rFonts w:cstheme="minorHAnsi"/>
          <w:kern w:val="0"/>
          <w:sz w:val="24"/>
          <w:szCs w:val="24"/>
          <w:lang w:val="lt-LT"/>
          <w14:ligatures w14:val="none"/>
        </w:rPr>
        <w:t xml:space="preserve"> pakeitimai, t. y. buvo patikslinti galimi kainos apskaičiavimo būdai – nebeliko fiksuotos kainos su peržiūra/fiksuoto įkainio su peržiūra sutarties kainos apskaičiavimo būdo. Atsižvelgiant į tai rekomenduotina patikslinti sutarties projekte nurodytą kainodar</w:t>
      </w:r>
      <w:r w:rsidR="00FE5C7F">
        <w:rPr>
          <w:rFonts w:cstheme="minorHAnsi"/>
          <w:kern w:val="0"/>
          <w:sz w:val="24"/>
          <w:szCs w:val="24"/>
          <w:lang w:val="lt-LT"/>
          <w14:ligatures w14:val="none"/>
        </w:rPr>
        <w:t>os būdą</w:t>
      </w:r>
      <w:r w:rsidR="00EA0508" w:rsidRPr="005E002E">
        <w:rPr>
          <w:rFonts w:cstheme="minorHAnsi"/>
          <w:kern w:val="0"/>
          <w:sz w:val="24"/>
          <w:szCs w:val="24"/>
          <w:lang w:val="lt-LT"/>
          <w14:ligatures w14:val="none"/>
        </w:rPr>
        <w:t xml:space="preserve">. </w:t>
      </w:r>
    </w:p>
    <w:p w14:paraId="4E6D92A9" w14:textId="77777777" w:rsidR="004D61AE" w:rsidRPr="0051170C" w:rsidRDefault="004D61AE" w:rsidP="0051170C">
      <w:pPr>
        <w:tabs>
          <w:tab w:val="left" w:pos="851"/>
        </w:tabs>
        <w:spacing w:after="0" w:line="276" w:lineRule="auto"/>
        <w:contextualSpacing/>
        <w:rPr>
          <w:rFonts w:eastAsia="SimSun" w:cstheme="minorHAnsi"/>
          <w:kern w:val="3"/>
          <w:sz w:val="24"/>
          <w:szCs w:val="24"/>
          <w:lang w:val="lt-LT" w:eastAsia="ar-SA"/>
          <w14:ligatures w14:val="none"/>
        </w:rPr>
      </w:pPr>
    </w:p>
    <w:p w14:paraId="4800EA4F" w14:textId="06E27646" w:rsidR="00024067" w:rsidRPr="00294C1B" w:rsidRDefault="00024067" w:rsidP="00294C1B">
      <w:pPr>
        <w:spacing w:after="0" w:line="276" w:lineRule="auto"/>
        <w:rPr>
          <w:rFonts w:cstheme="minorHAnsi"/>
          <w:kern w:val="0"/>
          <w:sz w:val="24"/>
          <w:szCs w:val="24"/>
          <w:lang w:val="lt-LT"/>
          <w14:ligatures w14:val="none"/>
        </w:rPr>
      </w:pPr>
      <w:r w:rsidRPr="005E002E">
        <w:rPr>
          <w:rFonts w:eastAsia="Calibri" w:cstheme="minorHAnsi"/>
          <w:i/>
          <w:iCs/>
          <w:kern w:val="0"/>
          <w:sz w:val="24"/>
          <w:szCs w:val="24"/>
          <w:lang w:val="lt-LT"/>
          <w14:ligatures w14:val="none"/>
        </w:rPr>
        <w:t xml:space="preserve">            </w:t>
      </w:r>
      <w:r w:rsidRPr="005E002E">
        <w:rPr>
          <w:rFonts w:eastAsia="Times New Roman" w:cstheme="minorHAnsi"/>
          <w:kern w:val="0"/>
          <w:sz w:val="24"/>
          <w:szCs w:val="24"/>
          <w:lang w:val="lt"/>
          <w14:ligatures w14:val="none"/>
        </w:rPr>
        <w:t xml:space="preserve">Atsižvelgdama į tai, kas nurodyta, Tarnyba rekomenduoja peržiūrėti ir patikslinti Pirkimų dokumentus pagal aukščiau pateiktas pastabas. Primename, kad Perkančioji organizacija, patikslinusi Pirkimų dokumentus, turi visus pakeitimus paskelbti viešai Centrinėje viešųjų pirkimų informacinėje sistemoje (CVP IS) ir </w:t>
      </w:r>
      <w:r w:rsidRPr="005E002E">
        <w:rPr>
          <w:rFonts w:cstheme="minorHAnsi"/>
          <w:kern w:val="0"/>
          <w:sz w:val="24"/>
          <w:szCs w:val="24"/>
          <w:lang w:val="lt-LT"/>
          <w14:ligatures w14:val="none"/>
        </w:rPr>
        <w:t xml:space="preserve">prireikus pratęsti pasiūlymų pateikimo terminą. </w:t>
      </w:r>
      <w:r w:rsidRPr="005E002E">
        <w:rPr>
          <w:rFonts w:eastAsia="Times New Roman" w:cstheme="minorHAnsi"/>
          <w:kern w:val="0"/>
          <w:sz w:val="24"/>
          <w:szCs w:val="24"/>
          <w:lang w:val="lt"/>
          <w14:ligatures w14:val="none"/>
        </w:rPr>
        <w:t xml:space="preserve">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 </w:t>
      </w:r>
    </w:p>
    <w:sectPr w:rsidR="00024067" w:rsidRPr="00294C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BB64" w14:textId="77777777" w:rsidR="00F70431" w:rsidRDefault="00F70431" w:rsidP="007431FB">
      <w:pPr>
        <w:spacing w:after="0" w:line="240" w:lineRule="auto"/>
      </w:pPr>
      <w:r>
        <w:separator/>
      </w:r>
    </w:p>
  </w:endnote>
  <w:endnote w:type="continuationSeparator" w:id="0">
    <w:p w14:paraId="25998ECF" w14:textId="77777777" w:rsidR="00F70431" w:rsidRDefault="00F70431" w:rsidP="0074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ADB6" w14:textId="77777777" w:rsidR="00F70431" w:rsidRDefault="00F70431" w:rsidP="007431FB">
      <w:pPr>
        <w:spacing w:after="0" w:line="240" w:lineRule="auto"/>
      </w:pPr>
      <w:r>
        <w:separator/>
      </w:r>
    </w:p>
  </w:footnote>
  <w:footnote w:type="continuationSeparator" w:id="0">
    <w:p w14:paraId="4E3B0B4C" w14:textId="77777777" w:rsidR="00F70431" w:rsidRDefault="00F70431" w:rsidP="007431FB">
      <w:pPr>
        <w:spacing w:after="0" w:line="240" w:lineRule="auto"/>
      </w:pPr>
      <w:r>
        <w:continuationSeparator/>
      </w:r>
    </w:p>
  </w:footnote>
  <w:footnote w:id="1">
    <w:p w14:paraId="3AA32B41" w14:textId="77777777" w:rsidR="008D3567" w:rsidRDefault="008D3567" w:rsidP="008D3567">
      <w:pPr>
        <w:pStyle w:val="FootnoteText"/>
      </w:pPr>
      <w:r>
        <w:rPr>
          <w:rStyle w:val="FootnoteReference"/>
        </w:rPr>
        <w:footnoteRef/>
      </w:r>
      <w:r>
        <w:t xml:space="preserve"> Galiojanti redakcija nuo 2024-02-01</w:t>
      </w:r>
    </w:p>
  </w:footnote>
  <w:footnote w:id="2">
    <w:p w14:paraId="1EF0756E" w14:textId="77777777" w:rsidR="007431FB" w:rsidRDefault="007431FB" w:rsidP="007431FB">
      <w:pPr>
        <w:pStyle w:val="FootnoteText"/>
      </w:pPr>
      <w:r>
        <w:rPr>
          <w:rStyle w:val="FootnoteReference"/>
        </w:rPr>
        <w:footnoteRef/>
      </w:r>
      <w:r>
        <w:t xml:space="preserve"> T</w:t>
      </w:r>
      <w:r w:rsidRPr="0052389F">
        <w:rPr>
          <w:rFonts w:ascii="Times New Roman" w:hAnsi="Times New Roman" w:cs="Times New Roman"/>
          <w:color w:val="000000"/>
        </w:rPr>
        <w:t>iekėjo kvalifikacijos reikalavimų nustatymo metodika</w:t>
      </w:r>
      <w:r>
        <w:rPr>
          <w:rFonts w:ascii="Times New Roman" w:hAnsi="Times New Roman" w:cs="Times New Roman"/>
          <w:color w:val="000000"/>
        </w:rPr>
        <w:t>, patvirtinta Viešųjų pirkimų tarnybos direktoriaus 2017 m. birželio 29 d. įsakymu Nr. 1S-105 (aktuali redakcija).</w:t>
      </w:r>
    </w:p>
  </w:footnote>
  <w:footnote w:id="3">
    <w:p w14:paraId="1F5256C6" w14:textId="77777777" w:rsidR="00EA0508" w:rsidRPr="00236C73" w:rsidRDefault="00EA0508" w:rsidP="00EA0508">
      <w:pPr>
        <w:pStyle w:val="FootnoteText"/>
        <w:jc w:val="both"/>
        <w:rPr>
          <w:rFonts w:asciiTheme="minorHAnsi" w:hAnsiTheme="minorHAnsi" w:cstheme="minorHAnsi"/>
        </w:rPr>
      </w:pPr>
      <w:r>
        <w:rPr>
          <w:rStyle w:val="FootnoteReference"/>
        </w:rPr>
        <w:footnoteRef/>
      </w:r>
      <w:r w:rsidRPr="005977C4">
        <w:rPr>
          <w:lang w:val="lt"/>
        </w:rPr>
        <w:t xml:space="preserve"> </w:t>
      </w:r>
      <w:r w:rsidRPr="00236C73">
        <w:rPr>
          <w:rFonts w:asciiTheme="minorHAnsi" w:hAnsiTheme="minorHAnsi" w:cstheme="minorHAnsi"/>
          <w:lang w:val="lt"/>
        </w:rPr>
        <w:t>Viešųjų pirkimų tarnybos direktoriaus 2017 m. birželio 28 d. įsakymu Nr. 1S-95 „Dėl Kainodaros taisyklių nustatymo metodikos patvirtinimo“ pakeitimai, kurie buvo patvirtinti Viešųjų pirkimų tarybos direktoriaus 2022 m gegužės 18 d. įsakymu Nr. 1S-102.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6024"/>
    <w:multiLevelType w:val="multilevel"/>
    <w:tmpl w:val="0652B558"/>
    <w:lvl w:ilvl="0">
      <w:start w:val="1"/>
      <w:numFmt w:val="decimal"/>
      <w:lvlText w:val="%1."/>
      <w:lvlJc w:val="left"/>
      <w:pPr>
        <w:ind w:left="643"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149F3F05"/>
    <w:multiLevelType w:val="multilevel"/>
    <w:tmpl w:val="E08CF69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39A7FDB"/>
    <w:multiLevelType w:val="hybridMultilevel"/>
    <w:tmpl w:val="3C4E0252"/>
    <w:lvl w:ilvl="0" w:tplc="73341C2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3A24453D"/>
    <w:multiLevelType w:val="multilevel"/>
    <w:tmpl w:val="F69EAB10"/>
    <w:lvl w:ilvl="0">
      <w:start w:val="2"/>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3E2F41CF"/>
    <w:multiLevelType w:val="hybridMultilevel"/>
    <w:tmpl w:val="C038950A"/>
    <w:lvl w:ilvl="0" w:tplc="38DE07B8">
      <w:start w:val="1"/>
      <w:numFmt w:val="decimal"/>
      <w:lvlText w:val="%1."/>
      <w:lvlJc w:val="left"/>
      <w:pPr>
        <w:ind w:left="720" w:hanging="360"/>
      </w:pPr>
    </w:lvl>
    <w:lvl w:ilvl="1" w:tplc="593E352A">
      <w:start w:val="1"/>
      <w:numFmt w:val="lowerLetter"/>
      <w:lvlText w:val="%2."/>
      <w:lvlJc w:val="left"/>
      <w:pPr>
        <w:ind w:left="1440" w:hanging="360"/>
      </w:pPr>
    </w:lvl>
    <w:lvl w:ilvl="2" w:tplc="04A0D80A">
      <w:start w:val="1"/>
      <w:numFmt w:val="lowerRoman"/>
      <w:lvlText w:val="%3."/>
      <w:lvlJc w:val="right"/>
      <w:pPr>
        <w:ind w:left="2160" w:hanging="180"/>
      </w:pPr>
    </w:lvl>
    <w:lvl w:ilvl="3" w:tplc="7514EC98">
      <w:start w:val="1"/>
      <w:numFmt w:val="decimal"/>
      <w:lvlText w:val="%4."/>
      <w:lvlJc w:val="left"/>
      <w:pPr>
        <w:ind w:left="2880" w:hanging="360"/>
      </w:pPr>
    </w:lvl>
    <w:lvl w:ilvl="4" w:tplc="44DAE8F2">
      <w:start w:val="1"/>
      <w:numFmt w:val="lowerLetter"/>
      <w:lvlText w:val="%5."/>
      <w:lvlJc w:val="left"/>
      <w:pPr>
        <w:ind w:left="3600" w:hanging="360"/>
      </w:pPr>
    </w:lvl>
    <w:lvl w:ilvl="5" w:tplc="4E627332">
      <w:start w:val="1"/>
      <w:numFmt w:val="lowerRoman"/>
      <w:lvlText w:val="%6."/>
      <w:lvlJc w:val="right"/>
      <w:pPr>
        <w:ind w:left="4320" w:hanging="180"/>
      </w:pPr>
    </w:lvl>
    <w:lvl w:ilvl="6" w:tplc="A418ABAA">
      <w:start w:val="1"/>
      <w:numFmt w:val="decimal"/>
      <w:lvlText w:val="%7."/>
      <w:lvlJc w:val="left"/>
      <w:pPr>
        <w:ind w:left="5040" w:hanging="360"/>
      </w:pPr>
    </w:lvl>
    <w:lvl w:ilvl="7" w:tplc="4596E8D8">
      <w:start w:val="1"/>
      <w:numFmt w:val="lowerLetter"/>
      <w:lvlText w:val="%8."/>
      <w:lvlJc w:val="left"/>
      <w:pPr>
        <w:ind w:left="5760" w:hanging="360"/>
      </w:pPr>
    </w:lvl>
    <w:lvl w:ilvl="8" w:tplc="351A93D6">
      <w:start w:val="1"/>
      <w:numFmt w:val="lowerRoman"/>
      <w:lvlText w:val="%9."/>
      <w:lvlJc w:val="right"/>
      <w:pPr>
        <w:ind w:left="6480" w:hanging="180"/>
      </w:pPr>
    </w:lvl>
  </w:abstractNum>
  <w:abstractNum w:abstractNumId="5" w15:restartNumberingAfterBreak="0">
    <w:nsid w:val="3FFD7F2B"/>
    <w:multiLevelType w:val="hybridMultilevel"/>
    <w:tmpl w:val="2F66C00E"/>
    <w:lvl w:ilvl="0" w:tplc="7AD008C0">
      <w:start w:val="1"/>
      <w:numFmt w:val="decimal"/>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7" w15:restartNumberingAfterBreak="0">
    <w:nsid w:val="6564729B"/>
    <w:multiLevelType w:val="hybridMultilevel"/>
    <w:tmpl w:val="4D08BF2E"/>
    <w:lvl w:ilvl="0" w:tplc="EBD00DFE">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8" w15:restartNumberingAfterBreak="0">
    <w:nsid w:val="719F339F"/>
    <w:multiLevelType w:val="hybridMultilevel"/>
    <w:tmpl w:val="AAAC1858"/>
    <w:lvl w:ilvl="0" w:tplc="7CB0FC04">
      <w:start w:val="3"/>
      <w:numFmt w:val="decimal"/>
      <w:lvlText w:val="%1."/>
      <w:lvlJc w:val="left"/>
      <w:pPr>
        <w:ind w:left="1713" w:hanging="360"/>
      </w:pPr>
      <w:rPr>
        <w:rFonts w:hint="default"/>
      </w:r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9" w15:restartNumberingAfterBreak="0">
    <w:nsid w:val="7D336934"/>
    <w:multiLevelType w:val="hybridMultilevel"/>
    <w:tmpl w:val="045A41CE"/>
    <w:lvl w:ilvl="0" w:tplc="B8A4D9C6">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62054116">
    <w:abstractNumId w:val="0"/>
  </w:num>
  <w:num w:numId="2" w16cid:durableId="116681677">
    <w:abstractNumId w:val="3"/>
  </w:num>
  <w:num w:numId="3" w16cid:durableId="956911952">
    <w:abstractNumId w:val="8"/>
  </w:num>
  <w:num w:numId="4" w16cid:durableId="1556698206">
    <w:abstractNumId w:val="9"/>
  </w:num>
  <w:num w:numId="5" w16cid:durableId="2043968817">
    <w:abstractNumId w:val="6"/>
  </w:num>
  <w:num w:numId="6" w16cid:durableId="1277713655">
    <w:abstractNumId w:val="1"/>
  </w:num>
  <w:num w:numId="7" w16cid:durableId="841164983">
    <w:abstractNumId w:val="5"/>
  </w:num>
  <w:num w:numId="8" w16cid:durableId="487017151">
    <w:abstractNumId w:val="4"/>
  </w:num>
  <w:num w:numId="9" w16cid:durableId="292710493">
    <w:abstractNumId w:val="7"/>
  </w:num>
  <w:num w:numId="10" w16cid:durableId="134540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FA"/>
    <w:rsid w:val="00000CB5"/>
    <w:rsid w:val="00004C0F"/>
    <w:rsid w:val="00005CEA"/>
    <w:rsid w:val="00024067"/>
    <w:rsid w:val="00043159"/>
    <w:rsid w:val="00077D62"/>
    <w:rsid w:val="000A0859"/>
    <w:rsid w:val="000A59FB"/>
    <w:rsid w:val="000C1240"/>
    <w:rsid w:val="000D4759"/>
    <w:rsid w:val="000D4A74"/>
    <w:rsid w:val="000E7052"/>
    <w:rsid w:val="00112401"/>
    <w:rsid w:val="001136F7"/>
    <w:rsid w:val="001244C2"/>
    <w:rsid w:val="00141450"/>
    <w:rsid w:val="001436E5"/>
    <w:rsid w:val="00152B46"/>
    <w:rsid w:val="00164664"/>
    <w:rsid w:val="0017314F"/>
    <w:rsid w:val="0019166D"/>
    <w:rsid w:val="001937B0"/>
    <w:rsid w:val="001A434C"/>
    <w:rsid w:val="001B6CA5"/>
    <w:rsid w:val="001D0563"/>
    <w:rsid w:val="00212EF7"/>
    <w:rsid w:val="002230D9"/>
    <w:rsid w:val="002420DD"/>
    <w:rsid w:val="002427B8"/>
    <w:rsid w:val="00252472"/>
    <w:rsid w:val="002660B0"/>
    <w:rsid w:val="00267096"/>
    <w:rsid w:val="00281ABC"/>
    <w:rsid w:val="002853A5"/>
    <w:rsid w:val="00285769"/>
    <w:rsid w:val="00294C1B"/>
    <w:rsid w:val="00296152"/>
    <w:rsid w:val="002A64FA"/>
    <w:rsid w:val="002B211E"/>
    <w:rsid w:val="002B43EF"/>
    <w:rsid w:val="002F1CC2"/>
    <w:rsid w:val="0033004F"/>
    <w:rsid w:val="00366AFE"/>
    <w:rsid w:val="0038421A"/>
    <w:rsid w:val="003C3D6D"/>
    <w:rsid w:val="003C6302"/>
    <w:rsid w:val="003F727F"/>
    <w:rsid w:val="00417299"/>
    <w:rsid w:val="004373BD"/>
    <w:rsid w:val="0043751B"/>
    <w:rsid w:val="00453747"/>
    <w:rsid w:val="00480393"/>
    <w:rsid w:val="0048169E"/>
    <w:rsid w:val="004A20D9"/>
    <w:rsid w:val="004C171A"/>
    <w:rsid w:val="004D61AE"/>
    <w:rsid w:val="004D6AA0"/>
    <w:rsid w:val="004E7B5C"/>
    <w:rsid w:val="0051170C"/>
    <w:rsid w:val="005472E0"/>
    <w:rsid w:val="00565239"/>
    <w:rsid w:val="0056718D"/>
    <w:rsid w:val="00583A65"/>
    <w:rsid w:val="005A1718"/>
    <w:rsid w:val="005C2639"/>
    <w:rsid w:val="005D019B"/>
    <w:rsid w:val="005D3A45"/>
    <w:rsid w:val="005E002E"/>
    <w:rsid w:val="005E575A"/>
    <w:rsid w:val="005F2139"/>
    <w:rsid w:val="00624A9A"/>
    <w:rsid w:val="00647AC2"/>
    <w:rsid w:val="00653BEC"/>
    <w:rsid w:val="0066222D"/>
    <w:rsid w:val="00663820"/>
    <w:rsid w:val="00673D8A"/>
    <w:rsid w:val="006763E7"/>
    <w:rsid w:val="00682AA6"/>
    <w:rsid w:val="006A2CD3"/>
    <w:rsid w:val="006A753B"/>
    <w:rsid w:val="006C78E2"/>
    <w:rsid w:val="00720931"/>
    <w:rsid w:val="007271C4"/>
    <w:rsid w:val="00733947"/>
    <w:rsid w:val="007431FB"/>
    <w:rsid w:val="007518DD"/>
    <w:rsid w:val="0078607E"/>
    <w:rsid w:val="00792BA2"/>
    <w:rsid w:val="007B0828"/>
    <w:rsid w:val="007B26BE"/>
    <w:rsid w:val="007C3C2F"/>
    <w:rsid w:val="007D0367"/>
    <w:rsid w:val="007F241E"/>
    <w:rsid w:val="007F754C"/>
    <w:rsid w:val="00810631"/>
    <w:rsid w:val="008158B3"/>
    <w:rsid w:val="00821CBA"/>
    <w:rsid w:val="008252D2"/>
    <w:rsid w:val="00826ADC"/>
    <w:rsid w:val="00834E42"/>
    <w:rsid w:val="00835FC5"/>
    <w:rsid w:val="00855704"/>
    <w:rsid w:val="00886884"/>
    <w:rsid w:val="00897A69"/>
    <w:rsid w:val="008B70D3"/>
    <w:rsid w:val="008C4844"/>
    <w:rsid w:val="008D2456"/>
    <w:rsid w:val="008D2B2D"/>
    <w:rsid w:val="008D3567"/>
    <w:rsid w:val="008D398D"/>
    <w:rsid w:val="008F2CDF"/>
    <w:rsid w:val="00905C1D"/>
    <w:rsid w:val="00905C32"/>
    <w:rsid w:val="009210E8"/>
    <w:rsid w:val="009240CC"/>
    <w:rsid w:val="00951847"/>
    <w:rsid w:val="00962ED2"/>
    <w:rsid w:val="009652B9"/>
    <w:rsid w:val="00966697"/>
    <w:rsid w:val="009707CB"/>
    <w:rsid w:val="00971CB8"/>
    <w:rsid w:val="009A039C"/>
    <w:rsid w:val="009B2D51"/>
    <w:rsid w:val="009C01E4"/>
    <w:rsid w:val="009C146D"/>
    <w:rsid w:val="009C1C60"/>
    <w:rsid w:val="009D72CB"/>
    <w:rsid w:val="009E672B"/>
    <w:rsid w:val="009F34B8"/>
    <w:rsid w:val="009F4E96"/>
    <w:rsid w:val="00A138EB"/>
    <w:rsid w:val="00A146DB"/>
    <w:rsid w:val="00A47777"/>
    <w:rsid w:val="00A65EDA"/>
    <w:rsid w:val="00AD1E27"/>
    <w:rsid w:val="00AE2A19"/>
    <w:rsid w:val="00AF79B3"/>
    <w:rsid w:val="00B0135C"/>
    <w:rsid w:val="00B068D9"/>
    <w:rsid w:val="00B15C38"/>
    <w:rsid w:val="00B226BE"/>
    <w:rsid w:val="00B33DE8"/>
    <w:rsid w:val="00B727F9"/>
    <w:rsid w:val="00B8537E"/>
    <w:rsid w:val="00B90258"/>
    <w:rsid w:val="00BA6494"/>
    <w:rsid w:val="00BB61FC"/>
    <w:rsid w:val="00BD783E"/>
    <w:rsid w:val="00C00B57"/>
    <w:rsid w:val="00C135D0"/>
    <w:rsid w:val="00C20A24"/>
    <w:rsid w:val="00C40CBB"/>
    <w:rsid w:val="00C422C0"/>
    <w:rsid w:val="00C446F7"/>
    <w:rsid w:val="00C56BE4"/>
    <w:rsid w:val="00C704D6"/>
    <w:rsid w:val="00C72F52"/>
    <w:rsid w:val="00C72FCC"/>
    <w:rsid w:val="00C86913"/>
    <w:rsid w:val="00C87E6C"/>
    <w:rsid w:val="00CC0A03"/>
    <w:rsid w:val="00D07124"/>
    <w:rsid w:val="00D27733"/>
    <w:rsid w:val="00D41754"/>
    <w:rsid w:val="00D429AC"/>
    <w:rsid w:val="00D501B7"/>
    <w:rsid w:val="00D83C73"/>
    <w:rsid w:val="00D85CF6"/>
    <w:rsid w:val="00DA0CB3"/>
    <w:rsid w:val="00E3596D"/>
    <w:rsid w:val="00E45E1C"/>
    <w:rsid w:val="00E47E65"/>
    <w:rsid w:val="00EA0508"/>
    <w:rsid w:val="00EB55E7"/>
    <w:rsid w:val="00EC6F31"/>
    <w:rsid w:val="00EC7BE1"/>
    <w:rsid w:val="00F03112"/>
    <w:rsid w:val="00F177CE"/>
    <w:rsid w:val="00F31BE7"/>
    <w:rsid w:val="00F44F14"/>
    <w:rsid w:val="00F5229E"/>
    <w:rsid w:val="00F670CF"/>
    <w:rsid w:val="00F67897"/>
    <w:rsid w:val="00F70431"/>
    <w:rsid w:val="00F715A9"/>
    <w:rsid w:val="00F81CE3"/>
    <w:rsid w:val="00F81E88"/>
    <w:rsid w:val="00FA5EF6"/>
    <w:rsid w:val="00FC04D8"/>
    <w:rsid w:val="00FE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9857"/>
  <w15:chartTrackingRefBased/>
  <w15:docId w15:val="{2B2E9B6A-6D91-4E41-A820-4A8F1CC1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D4759"/>
    <w:pPr>
      <w:spacing w:after="0" w:line="240" w:lineRule="auto"/>
      <w:jc w:val="both"/>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0D4759"/>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0D4759"/>
    <w:rPr>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5247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52472"/>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7431FB"/>
    <w:pPr>
      <w:spacing w:after="0" w:line="240" w:lineRule="auto"/>
    </w:pPr>
    <w:rPr>
      <w:rFonts w:ascii="Calibri" w:hAnsi="Calibri" w:cs="Calibri"/>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7431FB"/>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7431FB"/>
    <w:rPr>
      <w:vertAlign w:val="superscript"/>
    </w:rPr>
  </w:style>
  <w:style w:type="paragraph" w:styleId="Revision">
    <w:name w:val="Revision"/>
    <w:hidden/>
    <w:uiPriority w:val="99"/>
    <w:semiHidden/>
    <w:rsid w:val="00C135D0"/>
    <w:pPr>
      <w:spacing w:after="0" w:line="240" w:lineRule="auto"/>
    </w:pPr>
  </w:style>
  <w:style w:type="paragraph" w:styleId="CommentSubject">
    <w:name w:val="annotation subject"/>
    <w:basedOn w:val="CommentText"/>
    <w:next w:val="CommentText"/>
    <w:link w:val="CommentSubjectChar"/>
    <w:uiPriority w:val="99"/>
    <w:semiHidden/>
    <w:unhideWhenUsed/>
    <w:rsid w:val="00C135D0"/>
    <w:pPr>
      <w:spacing w:after="160"/>
      <w:jc w:val="left"/>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C135D0"/>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1801</Words>
  <Characters>10269</Characters>
  <Application>Microsoft Office Word</Application>
  <DocSecurity>0</DocSecurity>
  <Lines>85</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8</cp:revision>
  <dcterms:created xsi:type="dcterms:W3CDTF">2024-03-22T05:32:00Z</dcterms:created>
  <dcterms:modified xsi:type="dcterms:W3CDTF">2024-04-05T04:17:00Z</dcterms:modified>
</cp:coreProperties>
</file>