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4DDA9" w14:textId="77777777" w:rsidR="00FD1721" w:rsidRPr="0065334E" w:rsidRDefault="00FD1721" w:rsidP="00FD1721">
      <w:pPr>
        <w:spacing w:after="0" w:line="276" w:lineRule="auto"/>
        <w:rPr>
          <w:rFonts w:cstheme="minorHAnsi"/>
          <w:sz w:val="24"/>
          <w:szCs w:val="24"/>
        </w:rPr>
      </w:pPr>
      <w:r w:rsidRPr="0065334E">
        <w:rPr>
          <w:rFonts w:eastAsia="Times New Roman" w:cstheme="minorHAnsi"/>
          <w:sz w:val="24"/>
          <w:szCs w:val="24"/>
          <w:lang w:val="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13B890C3" w14:textId="77777777" w:rsidR="00FD1721" w:rsidRPr="0065334E" w:rsidRDefault="00FD1721" w:rsidP="00FD1721">
      <w:pPr>
        <w:spacing w:after="0" w:line="276" w:lineRule="auto"/>
        <w:rPr>
          <w:rFonts w:cstheme="minorHAnsi"/>
          <w:sz w:val="24"/>
          <w:szCs w:val="24"/>
        </w:rPr>
      </w:pPr>
      <w:r w:rsidRPr="0065334E">
        <w:rPr>
          <w:rFonts w:eastAsia="Times New Roman" w:cstheme="minorHAnsi"/>
          <w:sz w:val="24"/>
          <w:szCs w:val="24"/>
          <w:lang w:val="lt"/>
        </w:rPr>
        <w:t xml:space="preserve">Vadovaujantis Tarnybai Įstatyme nustatyta pažeidimų prevencijos funkcija, šiuo metu atliekama </w:t>
      </w:r>
      <w:r w:rsidRPr="0079569C">
        <w:rPr>
          <w:rFonts w:eastAsia="Times New Roman" w:cstheme="minorHAnsi"/>
          <w:b/>
          <w:bCs/>
          <w:sz w:val="24"/>
          <w:szCs w:val="24"/>
          <w:lang w:val="lt"/>
        </w:rPr>
        <w:t>Infrastruktūros valdymo agentūros</w:t>
      </w:r>
      <w:r w:rsidRPr="0065334E">
        <w:rPr>
          <w:rFonts w:cstheme="minorHAnsi"/>
          <w:b/>
          <w:bCs/>
          <w:spacing w:val="-2"/>
          <w:sz w:val="24"/>
          <w:szCs w:val="24"/>
        </w:rPr>
        <w:t xml:space="preserve"> </w:t>
      </w:r>
      <w:r w:rsidRPr="0065334E">
        <w:rPr>
          <w:rFonts w:cstheme="minorHAnsi"/>
          <w:sz w:val="24"/>
          <w:szCs w:val="24"/>
          <w:lang w:eastAsia="lt-LT"/>
        </w:rPr>
        <w:t>(toliau – Perkančioji organizacija) vykdomo pirkimo Nr.</w:t>
      </w:r>
      <w:r w:rsidRPr="0065334E">
        <w:rPr>
          <w:rFonts w:cstheme="minorHAnsi"/>
          <w:b/>
          <w:bCs/>
          <w:sz w:val="24"/>
          <w:szCs w:val="24"/>
          <w:lang w:eastAsia="lt-LT"/>
        </w:rPr>
        <w:t xml:space="preserve"> </w:t>
      </w:r>
      <w:r>
        <w:rPr>
          <w:rFonts w:cstheme="minorHAnsi"/>
          <w:b/>
          <w:bCs/>
          <w:sz w:val="24"/>
          <w:szCs w:val="24"/>
          <w:lang w:eastAsia="lt-LT"/>
        </w:rPr>
        <w:t>716819</w:t>
      </w:r>
      <w:r w:rsidRPr="0065334E">
        <w:rPr>
          <w:rFonts w:cstheme="minorHAnsi"/>
          <w:b/>
          <w:bCs/>
          <w:sz w:val="24"/>
          <w:szCs w:val="24"/>
          <w:lang w:eastAsia="lt-LT"/>
        </w:rPr>
        <w:t xml:space="preserve"> „</w:t>
      </w:r>
      <w:r>
        <w:rPr>
          <w:rFonts w:cstheme="minorHAnsi"/>
          <w:b/>
          <w:bCs/>
          <w:sz w:val="24"/>
          <w:szCs w:val="24"/>
          <w:lang w:eastAsia="lt-LT"/>
        </w:rPr>
        <w:t>Degalinės J. Kairiūkščio g. 14, Vilnius projektavimo paslaugos ir statybos darbai</w:t>
      </w:r>
      <w:r w:rsidRPr="0065334E">
        <w:rPr>
          <w:rFonts w:cstheme="minorHAnsi"/>
          <w:b/>
          <w:bCs/>
          <w:sz w:val="24"/>
          <w:szCs w:val="24"/>
          <w:lang w:eastAsia="lt-LT"/>
        </w:rPr>
        <w:t>“</w:t>
      </w:r>
      <w:r w:rsidRPr="0065334E">
        <w:rPr>
          <w:rFonts w:cstheme="minorHAnsi"/>
          <w:sz w:val="24"/>
          <w:szCs w:val="24"/>
          <w:lang w:eastAsia="lt-LT"/>
        </w:rPr>
        <w:t xml:space="preserve"> (toliau – Pirkimas) </w:t>
      </w:r>
      <w:r w:rsidRPr="0065334E">
        <w:rPr>
          <w:rFonts w:cstheme="minorHAnsi"/>
          <w:sz w:val="24"/>
          <w:szCs w:val="24"/>
        </w:rPr>
        <w:t>dokumentų atitikties Įstatymui ir jį įgyvendinantiems teisės aktams peržiūra (peržiūra prevenciniais tikslais atliekama tam tikra apimtimi).</w:t>
      </w:r>
    </w:p>
    <w:p w14:paraId="61161B47" w14:textId="61D99CA7" w:rsidR="00FD1721" w:rsidRDefault="00FD1721" w:rsidP="00FD1721">
      <w:pPr>
        <w:spacing w:after="0" w:line="276" w:lineRule="auto"/>
        <w:rPr>
          <w:rFonts w:cstheme="minorHAnsi"/>
          <w:sz w:val="24"/>
          <w:szCs w:val="24"/>
          <w:lang w:eastAsia="lt-LT"/>
        </w:rPr>
      </w:pPr>
      <w:r w:rsidRPr="0065334E">
        <w:rPr>
          <w:rFonts w:cstheme="minorHAnsi"/>
          <w:sz w:val="24"/>
          <w:szCs w:val="24"/>
          <w:lang w:eastAsia="lt-LT"/>
        </w:rPr>
        <w:t>Tarnyba, prevencine tvarka peržiūrėjusi Pirkimo dokumentus ir atsižvelgdama į galiojantį teisinį reglamentavimą, teikia</w:t>
      </w:r>
      <w:r>
        <w:rPr>
          <w:rFonts w:cstheme="minorHAnsi"/>
          <w:sz w:val="24"/>
          <w:szCs w:val="24"/>
          <w:lang w:eastAsia="lt-LT"/>
        </w:rPr>
        <w:t xml:space="preserve"> klausimus, </w:t>
      </w:r>
      <w:r w:rsidRPr="007647F1">
        <w:rPr>
          <w:rFonts w:cstheme="minorHAnsi"/>
          <w:sz w:val="24"/>
          <w:szCs w:val="24"/>
          <w:lang w:eastAsia="lt-LT"/>
        </w:rPr>
        <w:t>pastabas ir rekomendacijas</w:t>
      </w:r>
      <w:r w:rsidRPr="0065334E">
        <w:rPr>
          <w:rFonts w:cstheme="minorHAnsi"/>
          <w:sz w:val="24"/>
          <w:szCs w:val="24"/>
          <w:lang w:eastAsia="lt-LT"/>
        </w:rPr>
        <w:t xml:space="preserve"> (toliau – Rekomendacija) dėl Pirkimo dokumentų nuostatų.</w:t>
      </w:r>
    </w:p>
    <w:p w14:paraId="2821528E" w14:textId="77777777" w:rsidR="00FD1721" w:rsidRPr="00CA2F6C" w:rsidRDefault="00FD1721" w:rsidP="00FD1721">
      <w:pPr>
        <w:pStyle w:val="Sraopastraipa"/>
        <w:numPr>
          <w:ilvl w:val="0"/>
          <w:numId w:val="1"/>
        </w:numPr>
        <w:tabs>
          <w:tab w:val="left" w:pos="426"/>
        </w:tabs>
        <w:spacing w:after="0" w:line="276" w:lineRule="auto"/>
        <w:ind w:left="0" w:firstLine="0"/>
        <w:rPr>
          <w:rFonts w:cstheme="minorHAnsi"/>
          <w:b/>
          <w:bCs/>
          <w:sz w:val="24"/>
          <w:szCs w:val="24"/>
        </w:rPr>
      </w:pPr>
      <w:r w:rsidRPr="00CA2F6C">
        <w:rPr>
          <w:rFonts w:cstheme="minorHAnsi"/>
          <w:b/>
          <w:bCs/>
          <w:sz w:val="24"/>
          <w:szCs w:val="24"/>
        </w:rPr>
        <w:t>Dėl pašalinimo pagrindų</w:t>
      </w:r>
    </w:p>
    <w:p w14:paraId="2168CA4F" w14:textId="77777777" w:rsidR="00FD1721" w:rsidRPr="00936878" w:rsidRDefault="00FD1721" w:rsidP="00FD1721">
      <w:pPr>
        <w:tabs>
          <w:tab w:val="left" w:pos="426"/>
        </w:tabs>
        <w:spacing w:after="0" w:line="276" w:lineRule="auto"/>
        <w:rPr>
          <w:rFonts w:cstheme="minorHAnsi"/>
          <w:sz w:val="24"/>
          <w:szCs w:val="24"/>
        </w:rPr>
      </w:pPr>
      <w:r w:rsidRPr="00CA2F6C">
        <w:rPr>
          <w:sz w:val="24"/>
          <w:szCs w:val="24"/>
        </w:rPr>
        <w:t>Pirkimo sąlygų 4 priedo „Tiekėjų pašalinimo pagrindai, kvalifikacijos reikalavimai tiekėjui ir, jeigu taikytina, kokybės vadybos sistemos ir (arba) aplinkos apsaugos vadybos sistemos standartai“ lentelė</w:t>
      </w:r>
      <w:r>
        <w:rPr>
          <w:sz w:val="24"/>
          <w:szCs w:val="24"/>
        </w:rPr>
        <w:t>s</w:t>
      </w:r>
      <w:r w:rsidRPr="00CA2F6C">
        <w:rPr>
          <w:sz w:val="24"/>
          <w:szCs w:val="24"/>
        </w:rPr>
        <w:t xml:space="preserve"> „Pašalinimo pagrindai“ 1 ir 2 eilutėse nurodytuose pašalinimo pagrindų nebuvimą įrodančiuose dokumentuose yra pateikta informacija apie tai, kad </w:t>
      </w:r>
      <w:r>
        <w:rPr>
          <w:sz w:val="24"/>
          <w:szCs w:val="24"/>
        </w:rPr>
        <w:t>„</w:t>
      </w:r>
      <w:r w:rsidRPr="00CA2F6C">
        <w:rPr>
          <w:rFonts w:cstheme="minorHAnsi"/>
          <w:sz w:val="24"/>
          <w:szCs w:val="24"/>
        </w:rPr>
        <w:t>Pažymų, patvirtinančių VPĮ 46 straipsnyje nurodytų tiekėjo pašalinimo pagrindų nebuvimą, pateikti nereikalaujama. Jų perkančioji organizacija reikalaus tik turėdama pagrįstų abejonių dėl tiekėjo patikimumo</w:t>
      </w:r>
      <w:r>
        <w:rPr>
          <w:rFonts w:cstheme="minorHAnsi"/>
          <w:sz w:val="24"/>
          <w:szCs w:val="24"/>
        </w:rPr>
        <w:t xml:space="preserve">“, t. y. šiame stulpelyje </w:t>
      </w:r>
      <w:r w:rsidRPr="00CA2F6C">
        <w:rPr>
          <w:sz w:val="24"/>
          <w:szCs w:val="24"/>
        </w:rPr>
        <w:t>trūksta informacijos</w:t>
      </w:r>
      <w:r>
        <w:rPr>
          <w:sz w:val="24"/>
          <w:szCs w:val="24"/>
        </w:rPr>
        <w:t xml:space="preserve">, nurodytos </w:t>
      </w:r>
      <w:hyperlink r:id="rId7" w:history="1">
        <w:r w:rsidRPr="00936878">
          <w:rPr>
            <w:rStyle w:val="Hipersaitas"/>
            <w:sz w:val="24"/>
            <w:szCs w:val="24"/>
          </w:rPr>
          <w:t>Pavyzdinėje pašalinimo pagrindų lentelėje</w:t>
        </w:r>
      </w:hyperlink>
      <w:r>
        <w:rPr>
          <w:sz w:val="24"/>
          <w:szCs w:val="24"/>
        </w:rPr>
        <w:t xml:space="preserve">, kurią yra parengusi ir atnaujinusi Tarnyba. Atsižvelgiant į tai, Tarnyba rekomenduoja papildyti pašalinimo pagrindų lentelės 1 ir 2 eilutėse stulpelius </w:t>
      </w:r>
      <w:r w:rsidRPr="00936878">
        <w:rPr>
          <w:rFonts w:cstheme="minorHAnsi"/>
          <w:sz w:val="24"/>
          <w:szCs w:val="24"/>
        </w:rPr>
        <w:t>„Pašalinimo pagrindų nebuvimą įrodantys dokumentai</w:t>
      </w:r>
      <w:r>
        <w:rPr>
          <w:rFonts w:cstheme="minorHAnsi"/>
          <w:sz w:val="24"/>
          <w:szCs w:val="24"/>
        </w:rPr>
        <w:t>“ trūkstama informacija.</w:t>
      </w:r>
    </w:p>
    <w:p w14:paraId="4C25FF6E" w14:textId="77777777" w:rsidR="00FD1721" w:rsidRPr="008E6110" w:rsidRDefault="00FD1721" w:rsidP="00FD1721">
      <w:pPr>
        <w:pStyle w:val="Sraopastraipa"/>
        <w:numPr>
          <w:ilvl w:val="0"/>
          <w:numId w:val="1"/>
        </w:numPr>
        <w:tabs>
          <w:tab w:val="left" w:pos="426"/>
        </w:tabs>
        <w:spacing w:after="0" w:line="276" w:lineRule="auto"/>
        <w:ind w:left="0" w:firstLine="0"/>
        <w:rPr>
          <w:rFonts w:cstheme="minorHAnsi"/>
          <w:b/>
          <w:bCs/>
          <w:sz w:val="24"/>
          <w:szCs w:val="24"/>
        </w:rPr>
      </w:pPr>
      <w:r w:rsidRPr="008E6110">
        <w:rPr>
          <w:rFonts w:cstheme="minorHAnsi"/>
          <w:b/>
          <w:bCs/>
          <w:sz w:val="24"/>
          <w:szCs w:val="24"/>
        </w:rPr>
        <w:t>Dėl kvalifikacijos reikalavimų</w:t>
      </w:r>
    </w:p>
    <w:p w14:paraId="68C50AC8" w14:textId="77777777" w:rsidR="00FD1721" w:rsidRPr="00685649" w:rsidRDefault="00FD1721" w:rsidP="00FD1721">
      <w:pPr>
        <w:spacing w:after="0" w:line="276" w:lineRule="auto"/>
        <w:rPr>
          <w:sz w:val="24"/>
          <w:szCs w:val="24"/>
        </w:rPr>
      </w:pPr>
      <w:r w:rsidRPr="00685649">
        <w:rPr>
          <w:sz w:val="24"/>
          <w:szCs w:val="24"/>
        </w:rPr>
        <w:t>Pirkimo sąlygų 4 priedo „Tiekėjų pašalinimo pagrindai, kvalifikacijos reikalavimai tiekėjui ir, jeigu taikytina, kokybės vadybos sistemos ir (arba) aplinkos apsaugos vadybos sistemos standartai“ lentelės „Kvalifikacijos reikalavimai“ 1 eilutėje nustatytas kvalifikacijos reikalavimas tiekėjui: „</w:t>
      </w:r>
      <w:r w:rsidRPr="00685649">
        <w:rPr>
          <w:bCs/>
          <w:sz w:val="24"/>
          <w:szCs w:val="24"/>
        </w:rPr>
        <w:t xml:space="preserve">Tiekėjas, ūkio subjektų grupės narys (-iai), ūkio subjektas (-ai), kurio (-ių) pajėgumais tiekėjas remiasi, turi turėti teisę būti rangovu. Statinių kategorijos: ypatingieji. Statinių grupė: </w:t>
      </w:r>
      <w:r w:rsidRPr="00685649">
        <w:rPr>
          <w:b/>
          <w:sz w:val="24"/>
          <w:szCs w:val="24"/>
        </w:rPr>
        <w:t>kiti inžineriniai statiniai</w:t>
      </w:r>
      <w:r w:rsidRPr="00685649">
        <w:rPr>
          <w:bCs/>
          <w:sz w:val="24"/>
          <w:szCs w:val="24"/>
        </w:rPr>
        <w:t>“, o 3 eilutės 2.1 papunktyje nustatytas kvalifikacijos reikalavimas tiekėjo specialistui (statinio statybos vadovui) – „</w:t>
      </w:r>
      <w:r w:rsidRPr="00685649">
        <w:rPr>
          <w:sz w:val="24"/>
          <w:szCs w:val="24"/>
        </w:rPr>
        <w:t xml:space="preserve">Tiekėjas pirkimo sutarties vykdymui turi paskirti bent 1 (vieną) kvalifikuotą statinio statybos vadovą, kuriam suteikta teisė eiti ypatingojo statinio statybos vadovo pareigas. Statinių grupė: </w:t>
      </w:r>
      <w:r w:rsidRPr="00685649">
        <w:rPr>
          <w:b/>
          <w:bCs/>
          <w:sz w:val="24"/>
          <w:szCs w:val="24"/>
        </w:rPr>
        <w:t>kiti inžineriniai statiniai“</w:t>
      </w:r>
      <w:r w:rsidRPr="00685649">
        <w:rPr>
          <w:sz w:val="24"/>
          <w:szCs w:val="24"/>
        </w:rPr>
        <w:t>.</w:t>
      </w:r>
    </w:p>
    <w:p w14:paraId="6A3B831B" w14:textId="77777777" w:rsidR="00FD1721" w:rsidRDefault="00FD1721" w:rsidP="00FD1721">
      <w:pPr>
        <w:autoSpaceDE w:val="0"/>
        <w:autoSpaceDN w:val="0"/>
        <w:adjustRightInd w:val="0"/>
        <w:spacing w:after="0" w:line="276" w:lineRule="auto"/>
        <w:rPr>
          <w:rFonts w:cstheme="minorHAnsi"/>
          <w:sz w:val="24"/>
          <w:szCs w:val="24"/>
        </w:rPr>
      </w:pPr>
      <w:r w:rsidRPr="00685649">
        <w:rPr>
          <w:rStyle w:val="normaltextrun"/>
          <w:rFonts w:cstheme="minorHAnsi"/>
          <w:color w:val="000000"/>
          <w:sz w:val="24"/>
          <w:szCs w:val="24"/>
          <w:shd w:val="clear" w:color="auto" w:fill="FFFFFF"/>
        </w:rPr>
        <w:t xml:space="preserve">Vadovaujantis statybos techninio reglamento (toliau – STR) </w:t>
      </w:r>
      <w:hyperlink r:id="rId8" w:tgtFrame="_blank" w:history="1">
        <w:r w:rsidRPr="00685649">
          <w:rPr>
            <w:rStyle w:val="findhit"/>
            <w:rFonts w:cstheme="minorHAnsi"/>
            <w:color w:val="0563C1"/>
            <w:sz w:val="24"/>
            <w:szCs w:val="24"/>
            <w:shd w:val="clear" w:color="auto" w:fill="FFFFFF"/>
          </w:rPr>
          <w:t>STR 1.01.03:2017</w:t>
        </w:r>
        <w:r w:rsidRPr="00685649">
          <w:rPr>
            <w:rStyle w:val="normaltextrun"/>
            <w:rFonts w:cstheme="minorHAnsi"/>
            <w:color w:val="0563C1"/>
            <w:sz w:val="24"/>
            <w:szCs w:val="24"/>
            <w:shd w:val="clear" w:color="auto" w:fill="FFFFFF"/>
          </w:rPr>
          <w:t xml:space="preserve"> „Statinių klasifikavimas“</w:t>
        </w:r>
      </w:hyperlink>
      <w:r w:rsidRPr="00685649">
        <w:rPr>
          <w:rFonts w:cstheme="minorHAnsi"/>
          <w:sz w:val="24"/>
          <w:szCs w:val="24"/>
        </w:rPr>
        <w:t xml:space="preserve"> septintuoju skirsniu „Kiti inžineriniai statiniai“ kiti inžineriniai statiniai yra </w:t>
      </w:r>
      <w:r w:rsidRPr="00685649">
        <w:rPr>
          <w:rFonts w:cstheme="minorHAnsi"/>
          <w:sz w:val="24"/>
          <w:szCs w:val="24"/>
        </w:rPr>
        <w:lastRenderedPageBreak/>
        <w:t xml:space="preserve">skirstomi į 2 pogrupius: </w:t>
      </w:r>
      <w:r w:rsidRPr="00685649">
        <w:rPr>
          <w:rFonts w:cstheme="minorHAnsi"/>
          <w:b/>
          <w:bCs/>
          <w:sz w:val="24"/>
          <w:szCs w:val="24"/>
        </w:rPr>
        <w:t>Sporto paskirties statinius</w:t>
      </w:r>
      <w:r w:rsidRPr="006D6A25">
        <w:rPr>
          <w:rStyle w:val="Puslapioinaosnuoroda"/>
          <w:rFonts w:cstheme="minorHAnsi"/>
          <w:b/>
          <w:bCs/>
          <w:sz w:val="24"/>
          <w:szCs w:val="24"/>
        </w:rPr>
        <w:footnoteReference w:id="1"/>
      </w:r>
      <w:r w:rsidRPr="00685649">
        <w:rPr>
          <w:rFonts w:cstheme="minorHAnsi"/>
          <w:sz w:val="24"/>
          <w:szCs w:val="24"/>
        </w:rPr>
        <w:t xml:space="preserve"> ir </w:t>
      </w:r>
      <w:r w:rsidRPr="00685649">
        <w:rPr>
          <w:rFonts w:cstheme="minorHAnsi"/>
          <w:b/>
          <w:bCs/>
          <w:sz w:val="24"/>
          <w:szCs w:val="24"/>
        </w:rPr>
        <w:t xml:space="preserve">Kitos paskirties inžinerinius </w:t>
      </w:r>
      <w:r w:rsidRPr="00923D89">
        <w:rPr>
          <w:rFonts w:cstheme="minorHAnsi"/>
          <w:b/>
          <w:bCs/>
          <w:sz w:val="24"/>
          <w:szCs w:val="24"/>
        </w:rPr>
        <w:t>statinius</w:t>
      </w:r>
      <w:r w:rsidRPr="00923D89">
        <w:rPr>
          <w:rStyle w:val="Puslapioinaosnuoroda"/>
          <w:rFonts w:cstheme="minorHAnsi"/>
          <w:b/>
          <w:bCs/>
          <w:sz w:val="24"/>
          <w:szCs w:val="24"/>
        </w:rPr>
        <w:footnoteReference w:id="2"/>
      </w:r>
      <w:r w:rsidRPr="00923D89">
        <w:rPr>
          <w:rFonts w:cstheme="minorHAnsi"/>
          <w:b/>
          <w:bCs/>
          <w:sz w:val="24"/>
          <w:szCs w:val="24"/>
        </w:rPr>
        <w:t xml:space="preserve">. </w:t>
      </w:r>
      <w:r w:rsidRPr="00923D89">
        <w:rPr>
          <w:rFonts w:cstheme="minorHAnsi"/>
          <w:sz w:val="24"/>
          <w:szCs w:val="24"/>
        </w:rPr>
        <w:t>Tarnyba rekomenduoja, atsižvelgiant į Pirkimo sąlygų 2.2.1 puntą (</w:t>
      </w:r>
      <w:r w:rsidRPr="00923D89">
        <w:rPr>
          <w:rFonts w:cstheme="minorHAnsi"/>
          <w:b/>
          <w:bCs/>
          <w:sz w:val="24"/>
          <w:szCs w:val="24"/>
        </w:rPr>
        <w:t>Kitos paskirties statiniai</w:t>
      </w:r>
      <w:r w:rsidRPr="00923D89">
        <w:rPr>
          <w:rFonts w:cstheme="minorHAnsi"/>
          <w:sz w:val="24"/>
          <w:szCs w:val="24"/>
        </w:rPr>
        <w:t xml:space="preserve">: pastatas – operatorinė, statinys – degalų saugojimo ir įpylimo modulis. </w:t>
      </w:r>
      <w:r w:rsidRPr="00923D89">
        <w:rPr>
          <w:rFonts w:cstheme="minorHAnsi"/>
          <w:b/>
          <w:bCs/>
          <w:sz w:val="24"/>
          <w:szCs w:val="24"/>
        </w:rPr>
        <w:t>Kitos paskirties inžinerinis statinys</w:t>
      </w:r>
      <w:r w:rsidRPr="00923D89">
        <w:rPr>
          <w:rFonts w:cstheme="minorHAnsi"/>
          <w:sz w:val="24"/>
          <w:szCs w:val="24"/>
        </w:rPr>
        <w:t>: betoninė aikštelė</w:t>
      </w:r>
      <w:r>
        <w:rPr>
          <w:rFonts w:cstheme="minorHAnsi"/>
          <w:sz w:val="24"/>
          <w:szCs w:val="24"/>
        </w:rPr>
        <w:t>) bei Technini projektą</w:t>
      </w:r>
      <w:r>
        <w:rPr>
          <w:rStyle w:val="Puslapioinaosnuoroda"/>
          <w:rFonts w:cstheme="minorHAnsi"/>
          <w:sz w:val="24"/>
          <w:szCs w:val="24"/>
        </w:rPr>
        <w:footnoteReference w:id="3"/>
      </w:r>
      <w:r>
        <w:rPr>
          <w:rFonts w:cstheme="minorHAnsi"/>
          <w:sz w:val="24"/>
          <w:szCs w:val="24"/>
        </w:rPr>
        <w:t>,</w:t>
      </w:r>
      <w:r w:rsidRPr="00685649">
        <w:rPr>
          <w:rFonts w:cstheme="minorHAnsi"/>
          <w:sz w:val="24"/>
          <w:szCs w:val="24"/>
        </w:rPr>
        <w:t xml:space="preserve"> peržiūrėti kvalifikacijos reikalavimus</w:t>
      </w:r>
      <w:r>
        <w:rPr>
          <w:rFonts w:cstheme="minorHAnsi"/>
          <w:sz w:val="24"/>
          <w:szCs w:val="24"/>
        </w:rPr>
        <w:t xml:space="preserve"> ir</w:t>
      </w:r>
      <w:r w:rsidRPr="00685649">
        <w:rPr>
          <w:rFonts w:cstheme="minorHAnsi"/>
          <w:sz w:val="24"/>
          <w:szCs w:val="24"/>
        </w:rPr>
        <w:t xml:space="preserve"> įsivertinti, ar tikrai šiuo atveju tiek tiekėjui, tiek tiekėjo specialistui</w:t>
      </w:r>
      <w:r>
        <w:rPr>
          <w:rFonts w:cstheme="minorHAnsi"/>
          <w:sz w:val="24"/>
          <w:szCs w:val="24"/>
        </w:rPr>
        <w:t xml:space="preserve"> (statinio statybos vadovui)</w:t>
      </w:r>
      <w:r w:rsidRPr="00685649">
        <w:rPr>
          <w:rFonts w:cstheme="minorHAnsi"/>
          <w:sz w:val="24"/>
          <w:szCs w:val="24"/>
        </w:rPr>
        <w:t xml:space="preserve"> būtina turėti teisę visoje Kitų inžinerinių statinių grupėje, įskaitant ir sporto paskirties statinius?</w:t>
      </w:r>
    </w:p>
    <w:p w14:paraId="08218498" w14:textId="77777777" w:rsidR="00FD1721" w:rsidRDefault="00FD1721" w:rsidP="00FD1721">
      <w:pPr>
        <w:autoSpaceDE w:val="0"/>
        <w:autoSpaceDN w:val="0"/>
        <w:adjustRightInd w:val="0"/>
        <w:spacing w:after="0" w:line="276" w:lineRule="auto"/>
        <w:rPr>
          <w:rFonts w:cstheme="minorHAnsi"/>
          <w:sz w:val="24"/>
          <w:szCs w:val="24"/>
        </w:rPr>
      </w:pPr>
      <w:r>
        <w:rPr>
          <w:rFonts w:cstheme="minorHAnsi"/>
          <w:sz w:val="24"/>
          <w:szCs w:val="24"/>
        </w:rPr>
        <w:t xml:space="preserve">Atkreiptinas dėmesys į tai, kad aukščiau nurodyti reikalavimai tiekėjui dėl teisės būti rangovu, taip pat tiekėjo specialistui (statinio statybos vadovui) dėl teisės eiti statinio statybos vadovo pareigas nustatyti </w:t>
      </w:r>
      <w:r w:rsidRPr="00DB61AB">
        <w:rPr>
          <w:rFonts w:cstheme="minorHAnsi"/>
          <w:b/>
          <w:bCs/>
          <w:sz w:val="24"/>
          <w:szCs w:val="24"/>
        </w:rPr>
        <w:t>plačiai</w:t>
      </w:r>
      <w:r>
        <w:rPr>
          <w:rFonts w:cstheme="minorHAnsi"/>
          <w:sz w:val="24"/>
          <w:szCs w:val="24"/>
        </w:rPr>
        <w:t>, t. y. nurodyta visa Kitų inžinerinių statinių grupė, kurią sudaro du pogrupiai. Tačiau, įvertinus Kvalifikacijos reikalavimų 2 eilutėje nustatytą kvalifikacijos reikalavimą dėl tiekėjo patirties: „</w:t>
      </w:r>
      <w:r w:rsidRPr="00DB61AB">
        <w:rPr>
          <w:sz w:val="24"/>
          <w:szCs w:val="24"/>
        </w:rPr>
        <w:t xml:space="preserve">Tiekėjas, </w:t>
      </w:r>
      <w:r>
        <w:rPr>
          <w:sz w:val="24"/>
          <w:szCs w:val="24"/>
        </w:rPr>
        <w:t>&lt;...&gt;</w:t>
      </w:r>
      <w:r w:rsidRPr="00DB61AB">
        <w:rPr>
          <w:sz w:val="24"/>
          <w:szCs w:val="24"/>
        </w:rPr>
        <w:t xml:space="preserve">, yra atlikęs bent vieno ypatingojo </w:t>
      </w:r>
      <w:r w:rsidRPr="00DB61AB">
        <w:rPr>
          <w:b/>
          <w:bCs/>
          <w:sz w:val="24"/>
          <w:szCs w:val="24"/>
        </w:rPr>
        <w:t>kitos paskirties inžinerinio statinio</w:t>
      </w:r>
      <w:r w:rsidRPr="00DB61AB">
        <w:rPr>
          <w:sz w:val="24"/>
          <w:szCs w:val="24"/>
        </w:rPr>
        <w:t xml:space="preserve"> naujos statybos ir/ar rekonstravimo darbus, kurių vertė ne mažesnė kaip 235 537,19 Eur (be PVM) ir galutiniai rezultatai buvo tinkami</w:t>
      </w:r>
      <w:r>
        <w:rPr>
          <w:sz w:val="24"/>
          <w:szCs w:val="24"/>
        </w:rPr>
        <w:t xml:space="preserve">“, </w:t>
      </w:r>
      <w:r w:rsidRPr="00BD581E">
        <w:rPr>
          <w:sz w:val="24"/>
          <w:szCs w:val="24"/>
        </w:rPr>
        <w:t xml:space="preserve">matyti, </w:t>
      </w:r>
      <w:r w:rsidRPr="00DB61AB">
        <w:rPr>
          <w:sz w:val="24"/>
          <w:szCs w:val="24"/>
        </w:rPr>
        <w:t>šiuo atveju reikalaujama patirties ne abiejuose Kitų inžinerinių statinių grupės pogrupiuose (</w:t>
      </w:r>
      <w:r w:rsidRPr="00DB61AB">
        <w:rPr>
          <w:rFonts w:cstheme="minorHAnsi"/>
          <w:sz w:val="24"/>
          <w:szCs w:val="24"/>
        </w:rPr>
        <w:t>Sporto paskirties statiniai ir Kitos paskirties inžineriniai statiniai), o tik viename – Kitos paskirties inžinerinių statinių pogrupyje.</w:t>
      </w:r>
      <w:r>
        <w:rPr>
          <w:rFonts w:cstheme="minorHAnsi"/>
          <w:sz w:val="24"/>
          <w:szCs w:val="24"/>
        </w:rPr>
        <w:t xml:space="preserve"> Skiriasi nurodyti statinių pogrupiai. Atsižvelgiant į tai, rekomenduotina </w:t>
      </w:r>
      <w:r w:rsidRPr="00DB61AB">
        <w:rPr>
          <w:sz w:val="24"/>
          <w:szCs w:val="24"/>
        </w:rPr>
        <w:t>peržiūrėti kvalifikacijos reikalavimą dėl tiekėjo patirties ir dar kartą</w:t>
      </w:r>
      <w:r>
        <w:rPr>
          <w:sz w:val="24"/>
          <w:szCs w:val="24"/>
        </w:rPr>
        <w:t xml:space="preserve"> jį</w:t>
      </w:r>
      <w:r w:rsidRPr="00DB61AB">
        <w:rPr>
          <w:sz w:val="24"/>
          <w:szCs w:val="24"/>
        </w:rPr>
        <w:t xml:space="preserve"> įsivertinti</w:t>
      </w:r>
      <w:r>
        <w:rPr>
          <w:sz w:val="24"/>
          <w:szCs w:val="24"/>
        </w:rPr>
        <w:t>. Tarnyba taip pat prašo pateikti paaiškinimą, kodėl kvalifikacijos reikalavimuose skiriasi nurodytos inžinerinių statinių grupės/pogrupiai?</w:t>
      </w:r>
    </w:p>
    <w:p w14:paraId="5827D19E" w14:textId="77777777" w:rsidR="00FD1721" w:rsidRPr="00685649" w:rsidRDefault="00FD1721" w:rsidP="00FD1721">
      <w:pPr>
        <w:spacing w:after="0" w:line="276" w:lineRule="auto"/>
        <w:rPr>
          <w:rFonts w:cstheme="minorHAnsi"/>
          <w:sz w:val="24"/>
          <w:szCs w:val="24"/>
        </w:rPr>
      </w:pPr>
      <w:r w:rsidRPr="00685649">
        <w:rPr>
          <w:rFonts w:cstheme="minorHAnsi"/>
          <w:sz w:val="24"/>
          <w:szCs w:val="24"/>
        </w:rPr>
        <w:t>Atsižvelgdama į tai, kas nurodyta, Tarnyba rekomenduoja peržiūrėti ir patikslinti Pirkimų dokumentus pagal šioje Rekomendacijoje pateiktas pastabas. Primename, kad Perkančioji organizacija, patikslinusi Pirkimų dokumentus, turi visus pakeitimus paskelbti viešai Centrinėje viešųjų pirkimų informacinėje sistemoje (CVP IS) ir pratęsti pasiūlymų pateikimo terminą protingam laikotarpiui, per kurį potencialūs tiekėjai galėtų susipažinti su patikslintais ir pakeistais Pirkimo dokumentais.</w:t>
      </w:r>
    </w:p>
    <w:p w14:paraId="0AA19057" w14:textId="77777777" w:rsidR="00FD1721" w:rsidRPr="00685649" w:rsidRDefault="00FD1721" w:rsidP="00FD1721">
      <w:pPr>
        <w:spacing w:after="0" w:line="276" w:lineRule="auto"/>
        <w:rPr>
          <w:rFonts w:cstheme="minorHAnsi"/>
          <w:sz w:val="24"/>
          <w:szCs w:val="24"/>
        </w:rPr>
      </w:pPr>
      <w:r w:rsidRPr="00685649">
        <w:rPr>
          <w:sz w:val="24"/>
          <w:szCs w:val="24"/>
        </w:rPr>
        <w:lastRenderedPageBreak/>
        <w:t>Pažymėtina, kad visais atvejais sprendimą dėl tolimesnio Pirkimų procedūrų vykdymo ar nutraukimo priima pati Perkančioji organizacija, vadovaudamasi Įstatymo 29 straipsnio 3</w:t>
      </w:r>
      <w:r w:rsidRPr="00230F9F">
        <w:rPr>
          <w:rFonts w:cstheme="minorHAnsi"/>
          <w:vertAlign w:val="superscript"/>
        </w:rPr>
        <w:footnoteReference w:id="4"/>
      </w:r>
      <w:r w:rsidRPr="00685649">
        <w:rPr>
          <w:sz w:val="24"/>
          <w:szCs w:val="24"/>
        </w:rPr>
        <w:t xml:space="preserve"> ir 4</w:t>
      </w:r>
      <w:r w:rsidRPr="00230F9F">
        <w:rPr>
          <w:rFonts w:cstheme="minorHAnsi"/>
          <w:vertAlign w:val="superscript"/>
        </w:rPr>
        <w:footnoteReference w:id="5"/>
      </w:r>
      <w:r w:rsidRPr="00685649">
        <w:rPr>
          <w:sz w:val="24"/>
          <w:szCs w:val="24"/>
          <w:vertAlign w:val="superscript"/>
        </w:rPr>
        <w:t xml:space="preserve"> </w:t>
      </w:r>
      <w:r w:rsidRPr="00685649">
        <w:rPr>
          <w:sz w:val="24"/>
          <w:szCs w:val="24"/>
        </w:rPr>
        <w:t>dalių nuostatomis.</w:t>
      </w:r>
    </w:p>
    <w:sectPr w:rsidR="00FD1721" w:rsidRPr="00685649" w:rsidSect="00FD17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DA9BA" w14:textId="77777777" w:rsidR="00FD1721" w:rsidRDefault="00FD1721" w:rsidP="00FD1721">
      <w:pPr>
        <w:spacing w:after="0" w:line="240" w:lineRule="auto"/>
      </w:pPr>
      <w:r>
        <w:separator/>
      </w:r>
    </w:p>
  </w:endnote>
  <w:endnote w:type="continuationSeparator" w:id="0">
    <w:p w14:paraId="12A9BF18" w14:textId="77777777" w:rsidR="00FD1721" w:rsidRDefault="00FD1721" w:rsidP="00FD1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59F14" w14:textId="77777777" w:rsidR="00FD1721" w:rsidRDefault="00FD1721" w:rsidP="00FD1721">
      <w:pPr>
        <w:spacing w:after="0" w:line="240" w:lineRule="auto"/>
      </w:pPr>
      <w:r>
        <w:separator/>
      </w:r>
    </w:p>
  </w:footnote>
  <w:footnote w:type="continuationSeparator" w:id="0">
    <w:p w14:paraId="046699B3" w14:textId="77777777" w:rsidR="00FD1721" w:rsidRDefault="00FD1721" w:rsidP="00FD1721">
      <w:pPr>
        <w:spacing w:after="0" w:line="240" w:lineRule="auto"/>
      </w:pPr>
      <w:r>
        <w:continuationSeparator/>
      </w:r>
    </w:p>
  </w:footnote>
  <w:footnote w:id="1">
    <w:p w14:paraId="57A43ADF" w14:textId="77777777" w:rsidR="00FD1721" w:rsidRDefault="00FD1721" w:rsidP="00FD1721">
      <w:pPr>
        <w:pStyle w:val="Puslapioinaostekstas"/>
      </w:pPr>
      <w:r>
        <w:rPr>
          <w:rStyle w:val="Puslapioinaosnuoroda"/>
        </w:rPr>
        <w:footnoteRef/>
      </w:r>
      <w:r>
        <w:t xml:space="preserve"> „</w:t>
      </w:r>
      <w:r>
        <w:rPr>
          <w:color w:val="000000"/>
        </w:rPr>
        <w:t>11</w:t>
      </w:r>
      <w:r w:rsidRPr="009659E9">
        <w:rPr>
          <w:b/>
          <w:bCs/>
          <w:color w:val="000000"/>
        </w:rPr>
        <w:t>. Sporto paskirties inžineriniai statiniai</w:t>
      </w:r>
      <w:r>
        <w:rPr>
          <w:color w:val="000000"/>
        </w:rPr>
        <w:t xml:space="preserve"> [3.26] − sporto aikštynai, naudojami žaidimams atvirame ore (futbolui, krepšiniui, beisbolui, regbiui, vandens sportui ir panašiai), mašinų, dviračių ar arklių lenktynių keliai ir kiti inžineriniai statiniai, kurie nėra pastatai“.</w:t>
      </w:r>
    </w:p>
  </w:footnote>
  <w:footnote w:id="2">
    <w:p w14:paraId="52735F64" w14:textId="77777777" w:rsidR="00FD1721" w:rsidRDefault="00FD1721" w:rsidP="00FD1721">
      <w:pPr>
        <w:pStyle w:val="Puslapioinaostekstas"/>
      </w:pPr>
      <w:r>
        <w:rPr>
          <w:rStyle w:val="Puslapioinaosnuoroda"/>
        </w:rPr>
        <w:footnoteRef/>
      </w:r>
      <w:r>
        <w:t xml:space="preserve"> „</w:t>
      </w:r>
      <w:r>
        <w:rPr>
          <w:color w:val="000000"/>
        </w:rPr>
        <w:t xml:space="preserve">12. </w:t>
      </w:r>
      <w:r w:rsidRPr="009659E9">
        <w:rPr>
          <w:b/>
          <w:bCs/>
          <w:color w:val="000000"/>
        </w:rPr>
        <w:t>Kitos paskirties inžineriniai statiniai</w:t>
      </w:r>
      <w:r>
        <w:rPr>
          <w:b/>
          <w:bCs/>
          <w:color w:val="000000"/>
        </w:rPr>
        <w:t> </w:t>
      </w:r>
      <w:r>
        <w:rPr>
          <w:color w:val="000000"/>
        </w:rPr>
        <w:t>[3.26] − fortai, bunkeriai, šaudyklos, techniniai stebėjimo bokštai, sąvartynai, atsinaujinančių išteklių energiją naudojantys energijos gamybos statiniai (vėjo elektrinės, saulės šviesos energijos elektrinės, saulės šilumos energijos kolektoriai ir kiti), transporterių galerijos, estrados, nuotekų valyklos statiniai ir kiti inžineriniai statiniai, neturintys aiškios funkcinės priklausomybės ar apibrėžto naudojimo, kurie tarnauja pagrindiniam daiktui (tvoros, kiemo aikštelės, lauko tualetai, stoginės, pavėsinės, atraminės sienelės, šachtiniai šuliniai, lieptai, mėšlidės, aplinkos tvarkymo elementai ir panašiai)“.</w:t>
      </w:r>
    </w:p>
  </w:footnote>
  <w:footnote w:id="3">
    <w:p w14:paraId="2F1F6C20" w14:textId="77777777" w:rsidR="00FD1721" w:rsidRPr="00923D89" w:rsidRDefault="00FD1721" w:rsidP="00FD1721">
      <w:pPr>
        <w:pStyle w:val="Puslapioinaostekstas"/>
      </w:pPr>
      <w:r w:rsidRPr="00923D89">
        <w:rPr>
          <w:rStyle w:val="Puslapioinaosnuoroda"/>
        </w:rPr>
        <w:footnoteRef/>
      </w:r>
      <w:r w:rsidRPr="00923D89">
        <w:t xml:space="preserve"> UAB „PROVIVO LT“ 2023 m. parengta</w:t>
      </w:r>
      <w:r>
        <w:t>s</w:t>
      </w:r>
      <w:r w:rsidRPr="00923D89">
        <w:t xml:space="preserve"> technini</w:t>
      </w:r>
      <w:r>
        <w:t>s</w:t>
      </w:r>
      <w:r w:rsidRPr="00923D89">
        <w:t xml:space="preserve"> projekt</w:t>
      </w:r>
      <w:r>
        <w:t>as</w:t>
      </w:r>
      <w:r w:rsidRPr="00923D89">
        <w:t xml:space="preserve"> „Degalinės J. Kairiūkščio g. 14, Vilnius statybos projektas“</w:t>
      </w:r>
      <w:r>
        <w:t xml:space="preserve"> </w:t>
      </w:r>
    </w:p>
  </w:footnote>
  <w:footnote w:id="4">
    <w:p w14:paraId="6383D792" w14:textId="77777777" w:rsidR="00FD1721" w:rsidRPr="00914700" w:rsidRDefault="00FD1721" w:rsidP="00FD1721">
      <w:pPr>
        <w:pStyle w:val="Puslapioinaostekstas"/>
        <w:rPr>
          <w:rFonts w:cstheme="minorHAnsi"/>
        </w:rPr>
      </w:pPr>
      <w:r w:rsidRPr="00914700">
        <w:rPr>
          <w:rStyle w:val="Puslapioinaosnuoroda"/>
          <w:rFonts w:cstheme="minorHAnsi"/>
        </w:rPr>
        <w:footnoteRef/>
      </w:r>
      <w:r w:rsidRPr="00914700">
        <w:rPr>
          <w:rFonts w:cstheme="minorHAnsi"/>
        </w:rPr>
        <w:t xml:space="preserve"> Įstatymo 29 straipsnio 3 dalis „</w:t>
      </w:r>
      <w:r w:rsidRPr="007A6426">
        <w:rPr>
          <w:rFonts w:cstheme="minorHAnsi"/>
          <w:i/>
          <w:iCs/>
        </w:rPr>
        <w:t>Perkančioji organizacija privalo nutraukti pradėtas pirkimo ar projekto konkurso procedūras, jeigu buvo pažeisti šio įstatymo 17 straipsnio 1 dalyje nustatyti principai ir atitinkamos padėties negalima ištaisyti</w:t>
      </w:r>
      <w:r w:rsidRPr="00914700">
        <w:rPr>
          <w:rFonts w:cstheme="minorHAnsi"/>
        </w:rPr>
        <w:t>“.</w:t>
      </w:r>
    </w:p>
  </w:footnote>
  <w:footnote w:id="5">
    <w:p w14:paraId="53F1F4F9" w14:textId="77777777" w:rsidR="00FD1721" w:rsidRPr="00914700" w:rsidRDefault="00FD1721" w:rsidP="00FD1721">
      <w:pPr>
        <w:pStyle w:val="Puslapioinaostekstas"/>
        <w:rPr>
          <w:rFonts w:cstheme="minorHAnsi"/>
        </w:rPr>
      </w:pPr>
      <w:r w:rsidRPr="00914700">
        <w:rPr>
          <w:rStyle w:val="Puslapioinaosnuoroda"/>
          <w:rFonts w:cstheme="minorHAnsi"/>
        </w:rPr>
        <w:footnoteRef/>
      </w:r>
      <w:r w:rsidRPr="00914700">
        <w:rPr>
          <w:rFonts w:cstheme="minorHAnsi"/>
        </w:rPr>
        <w:t xml:space="preserve"> Įstatymo 29 straipsnio 4 dalis „</w:t>
      </w:r>
      <w:r w:rsidRPr="007A6426">
        <w:rPr>
          <w:rFonts w:cstheme="minorHAnsi"/>
          <w:i/>
          <w:iCs/>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914700">
        <w:rPr>
          <w:rFonts w:cstheme="min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295E3C"/>
    <w:multiLevelType w:val="hybridMultilevel"/>
    <w:tmpl w:val="229063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02820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721"/>
    <w:rsid w:val="005F6BBB"/>
    <w:rsid w:val="00D64E2E"/>
    <w:rsid w:val="00FD1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3D53"/>
  <w15:chartTrackingRefBased/>
  <w15:docId w15:val="{BBA199EE-DC55-4F1E-92E4-8A428231F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1721"/>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D1721"/>
    <w:pPr>
      <w:ind w:left="720"/>
      <w:contextualSpacing/>
    </w:pPr>
  </w:style>
  <w:style w:type="character" w:styleId="Hipersaitas">
    <w:name w:val="Hyperlink"/>
    <w:basedOn w:val="Numatytasispastraiposriftas"/>
    <w:uiPriority w:val="99"/>
    <w:unhideWhenUsed/>
    <w:rsid w:val="00FD1721"/>
    <w:rPr>
      <w:color w:val="0563C1" w:themeColor="hyperlink"/>
      <w:u w:val="single"/>
    </w:rPr>
  </w:style>
  <w:style w:type="character" w:customStyle="1" w:styleId="normaltextrun">
    <w:name w:val="normaltextrun"/>
    <w:basedOn w:val="Numatytasispastraiposriftas"/>
    <w:rsid w:val="00FD1721"/>
  </w:style>
  <w:style w:type="character" w:customStyle="1" w:styleId="findhit">
    <w:name w:val="findhit"/>
    <w:basedOn w:val="Numatytasispastraiposriftas"/>
    <w:rsid w:val="00FD1721"/>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FD1721"/>
    <w:pPr>
      <w:spacing w:after="0" w:line="240" w:lineRule="auto"/>
    </w:pPr>
    <w:rPr>
      <w:sz w:val="20"/>
      <w:szCs w:val="20"/>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FD1721"/>
    <w:rPr>
      <w:kern w:val="0"/>
      <w:sz w:val="20"/>
      <w:szCs w:val="20"/>
      <w:lang w:val="lt-LT"/>
      <w14:ligatures w14:val="none"/>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FD17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998f6af39c3d11e68adcda1bb2f432d1/mlRoPCgfTn" TargetMode="External"/><Relationship Id="rId3" Type="http://schemas.openxmlformats.org/officeDocument/2006/relationships/settings" Target="settings.xml"/><Relationship Id="rId7" Type="http://schemas.openxmlformats.org/officeDocument/2006/relationships/hyperlink" Target="https://vpt.lrv.lt/lt/metodine-pagalba/pavyzdiniai-dokumentai-3/pasalinimo-pagrindu-lente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3554</Words>
  <Characters>2026</Characters>
  <Application>Microsoft Office Word</Application>
  <DocSecurity>0</DocSecurity>
  <Lines>16</Lines>
  <Paragraphs>11</Paragraphs>
  <ScaleCrop>false</ScaleCrop>
  <Company>VPT</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Spudulytė</dc:creator>
  <cp:keywords/>
  <dc:description/>
  <cp:lastModifiedBy>Eglė Spudulytė</cp:lastModifiedBy>
  <cp:revision>1</cp:revision>
  <dcterms:created xsi:type="dcterms:W3CDTF">2024-04-18T12:56:00Z</dcterms:created>
  <dcterms:modified xsi:type="dcterms:W3CDTF">2024-04-18T12:57:00Z</dcterms:modified>
</cp:coreProperties>
</file>