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CFA7" w14:textId="77777777" w:rsidR="005A25E1" w:rsidRPr="00543F5E" w:rsidRDefault="005A25E1" w:rsidP="00543F5E">
      <w:pPr>
        <w:spacing w:line="276" w:lineRule="auto"/>
        <w:rPr>
          <w:sz w:val="24"/>
          <w:szCs w:val="24"/>
        </w:rPr>
      </w:pPr>
      <w:r w:rsidRPr="00543F5E">
        <w:rPr>
          <w:sz w:val="24"/>
          <w:szCs w:val="24"/>
        </w:rPr>
        <w:t xml:space="preserve">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0ABB34A1" w14:textId="38836F27" w:rsidR="005A25E1" w:rsidRPr="00543F5E" w:rsidRDefault="005A25E1" w:rsidP="00543F5E">
      <w:pPr>
        <w:shd w:val="clear" w:color="auto" w:fill="FFFFFF"/>
        <w:spacing w:after="0" w:line="276" w:lineRule="auto"/>
        <w:rPr>
          <w:rFonts w:ascii="Calibri" w:eastAsia="Times New Roman" w:hAnsi="Calibri" w:cs="Calibri"/>
          <w:color w:val="333333"/>
          <w:kern w:val="0"/>
          <w:sz w:val="24"/>
          <w:szCs w:val="24"/>
          <w14:ligatures w14:val="none"/>
        </w:rPr>
      </w:pPr>
      <w:r w:rsidRPr="00543F5E">
        <w:rPr>
          <w:sz w:val="24"/>
          <w:szCs w:val="24"/>
        </w:rPr>
        <w:t xml:space="preserve">Vadovaujantis Tarnybai Įstatyme nustatyta pažeidimų prevencijos funkcija, šiuo metu atliekama </w:t>
      </w:r>
      <w:r w:rsidR="002A3B20" w:rsidRPr="00543F5E">
        <w:rPr>
          <w:b/>
          <w:bCs/>
          <w:sz w:val="24"/>
          <w:szCs w:val="24"/>
        </w:rPr>
        <w:t>Širvintų</w:t>
      </w:r>
      <w:r w:rsidRPr="00543F5E">
        <w:rPr>
          <w:b/>
          <w:bCs/>
          <w:sz w:val="24"/>
          <w:szCs w:val="24"/>
        </w:rPr>
        <w:t xml:space="preserve"> rajono savivaldybės administracijos </w:t>
      </w:r>
      <w:r w:rsidRPr="00543F5E">
        <w:rPr>
          <w:sz w:val="24"/>
          <w:szCs w:val="24"/>
        </w:rPr>
        <w:t xml:space="preserve">(toliau – Perkančioji organizacija) vykdomo pirkimo </w:t>
      </w:r>
      <w:r w:rsidRPr="00543F5E">
        <w:rPr>
          <w:b/>
          <w:bCs/>
          <w:sz w:val="24"/>
          <w:szCs w:val="24"/>
        </w:rPr>
        <w:t>Nr. 71</w:t>
      </w:r>
      <w:r w:rsidR="009A2C28" w:rsidRPr="00543F5E">
        <w:rPr>
          <w:b/>
          <w:bCs/>
          <w:sz w:val="24"/>
          <w:szCs w:val="24"/>
        </w:rPr>
        <w:t>3620</w:t>
      </w:r>
      <w:r w:rsidR="00C67DD4" w:rsidRPr="00543F5E">
        <w:rPr>
          <w:b/>
          <w:bCs/>
          <w:sz w:val="24"/>
          <w:szCs w:val="24"/>
        </w:rPr>
        <w:t xml:space="preserve"> </w:t>
      </w:r>
      <w:r w:rsidRPr="00543F5E">
        <w:rPr>
          <w:sz w:val="24"/>
          <w:szCs w:val="24"/>
        </w:rPr>
        <w:t>„</w:t>
      </w:r>
      <w:r w:rsidR="00C67DD4" w:rsidRPr="00543F5E">
        <w:rPr>
          <w:rFonts w:ascii="Calibri" w:eastAsia="Times New Roman" w:hAnsi="Calibri" w:cs="Calibri"/>
          <w:b/>
          <w:bCs/>
          <w:color w:val="333333"/>
          <w:kern w:val="0"/>
          <w:sz w:val="24"/>
          <w:szCs w:val="24"/>
          <w14:ligatures w14:val="none"/>
        </w:rPr>
        <w:t>Širvintų miesto ir seniūnijų kelių ir gatvių priežiūros darbai</w:t>
      </w:r>
      <w:r w:rsidRPr="00543F5E">
        <w:rPr>
          <w:sz w:val="24"/>
          <w:szCs w:val="24"/>
        </w:rPr>
        <w:t xml:space="preserve">“ (toliau – Pirkimas) dokumentų atitikties Įstatymui ir su jo įgyvendinimu susijusiems teisės aktams peržiūra (peržiūra prevenciniais tikslais atliekama tam tikra apimtimi). </w:t>
      </w:r>
    </w:p>
    <w:p w14:paraId="4ADEBABC" w14:textId="77777777" w:rsidR="005A25E1" w:rsidRPr="00543F5E" w:rsidRDefault="005A25E1" w:rsidP="00543F5E">
      <w:pPr>
        <w:spacing w:line="276" w:lineRule="auto"/>
        <w:rPr>
          <w:sz w:val="24"/>
          <w:szCs w:val="24"/>
        </w:rPr>
      </w:pPr>
      <w:r w:rsidRPr="00543F5E">
        <w:rPr>
          <w:sz w:val="24"/>
          <w:szCs w:val="24"/>
        </w:rPr>
        <w:t>Tarnyba, prevencine tvarka peržiūrėjusi Pirkimų dokumentus, teikia pastabas ir rekomendacijas (toliau – Rekomendacija) dėl Pirkimo dokumentų nuostatų.</w:t>
      </w:r>
    </w:p>
    <w:p w14:paraId="5DAEAB9E" w14:textId="772CC887" w:rsidR="005A25E1" w:rsidRPr="00543F5E" w:rsidRDefault="005A25E1" w:rsidP="00543F5E">
      <w:pPr>
        <w:spacing w:after="0" w:line="276" w:lineRule="auto"/>
        <w:rPr>
          <w:sz w:val="24"/>
          <w:szCs w:val="24"/>
        </w:rPr>
      </w:pPr>
      <w:r w:rsidRPr="00D35FE7">
        <w:rPr>
          <w:b/>
          <w:bCs/>
          <w:sz w:val="24"/>
          <w:szCs w:val="24"/>
        </w:rPr>
        <w:t xml:space="preserve">      1.</w:t>
      </w:r>
      <w:r w:rsidRPr="00543F5E">
        <w:rPr>
          <w:sz w:val="24"/>
          <w:szCs w:val="24"/>
        </w:rPr>
        <w:t xml:space="preserve"> </w:t>
      </w:r>
      <w:r w:rsidR="00683029" w:rsidRPr="00543F5E">
        <w:rPr>
          <w:sz w:val="24"/>
          <w:szCs w:val="24"/>
        </w:rPr>
        <w:t xml:space="preserve">Skelbimo apie pirkimą </w:t>
      </w:r>
      <w:r w:rsidR="00D86E35" w:rsidRPr="00543F5E">
        <w:rPr>
          <w:sz w:val="24"/>
          <w:szCs w:val="24"/>
        </w:rPr>
        <w:t xml:space="preserve">II.2.13) dalyje nurodyta, kad </w:t>
      </w:r>
      <w:bookmarkStart w:id="0" w:name="_Hlk162439019"/>
      <w:r w:rsidR="00D86E35" w:rsidRPr="00543F5E">
        <w:rPr>
          <w:b/>
          <w:bCs/>
          <w:sz w:val="24"/>
          <w:szCs w:val="24"/>
        </w:rPr>
        <w:t xml:space="preserve">pirkimas nėra </w:t>
      </w:r>
      <w:r w:rsidR="00A62297" w:rsidRPr="00543F5E">
        <w:rPr>
          <w:b/>
          <w:bCs/>
          <w:sz w:val="24"/>
          <w:szCs w:val="24"/>
        </w:rPr>
        <w:t>susijęs su projektu ir (arba) programa, finansuojama Europos Sąjungos lėšomis</w:t>
      </w:r>
      <w:bookmarkEnd w:id="0"/>
      <w:r w:rsidR="00A62297" w:rsidRPr="00543F5E">
        <w:rPr>
          <w:sz w:val="24"/>
          <w:szCs w:val="24"/>
        </w:rPr>
        <w:t xml:space="preserve">. </w:t>
      </w:r>
      <w:r w:rsidR="000947D7" w:rsidRPr="00543F5E">
        <w:rPr>
          <w:sz w:val="24"/>
          <w:szCs w:val="24"/>
        </w:rPr>
        <w:t>Pirkimo sąlygų 8 priedo “Sutarties projektas” (toliau-Sutarties projektas)</w:t>
      </w:r>
      <w:r w:rsidR="00D079A9" w:rsidRPr="00543F5E">
        <w:rPr>
          <w:sz w:val="24"/>
          <w:szCs w:val="24"/>
        </w:rPr>
        <w:t xml:space="preserve"> </w:t>
      </w:r>
      <w:r w:rsidR="00D8738E" w:rsidRPr="00543F5E">
        <w:rPr>
          <w:sz w:val="24"/>
          <w:szCs w:val="24"/>
        </w:rPr>
        <w:t>2.5 papunkt</w:t>
      </w:r>
      <w:r w:rsidR="00D35FE7">
        <w:rPr>
          <w:sz w:val="24"/>
          <w:szCs w:val="24"/>
        </w:rPr>
        <w:t>y</w:t>
      </w:r>
      <w:r w:rsidR="00D8738E" w:rsidRPr="00543F5E">
        <w:rPr>
          <w:sz w:val="24"/>
          <w:szCs w:val="24"/>
        </w:rPr>
        <w:t>je nustatyta, kad</w:t>
      </w:r>
      <w:r w:rsidR="004D3BE5" w:rsidRPr="004D3BE5">
        <w:rPr>
          <w:sz w:val="24"/>
          <w:szCs w:val="24"/>
        </w:rPr>
        <w:t xml:space="preserve"> </w:t>
      </w:r>
      <w:r w:rsidR="004D3BE5" w:rsidRPr="00543F5E">
        <w:rPr>
          <w:sz w:val="24"/>
          <w:szCs w:val="24"/>
        </w:rPr>
        <w:t>„</w:t>
      </w:r>
      <w:r w:rsidR="001832E2" w:rsidRPr="00543F5E">
        <w:rPr>
          <w:sz w:val="24"/>
          <w:szCs w:val="24"/>
        </w:rPr>
        <w:t>Užsakovas Rangovui apmoka</w:t>
      </w:r>
      <w:r w:rsidR="00F2063F">
        <w:rPr>
          <w:sz w:val="24"/>
          <w:szCs w:val="24"/>
        </w:rPr>
        <w:t xml:space="preserve"> </w:t>
      </w:r>
      <w:r w:rsidR="001832E2" w:rsidRPr="00543F5E">
        <w:rPr>
          <w:sz w:val="24"/>
          <w:szCs w:val="24"/>
        </w:rPr>
        <w:t>&lt;…&gt;</w:t>
      </w:r>
      <w:r w:rsidR="00887449" w:rsidRPr="00543F5E">
        <w:rPr>
          <w:sz w:val="24"/>
          <w:szCs w:val="24"/>
        </w:rPr>
        <w:t xml:space="preserve"> per 60 dienų, </w:t>
      </w:r>
      <w:r w:rsidR="00887449" w:rsidRPr="00543F5E">
        <w:rPr>
          <w:b/>
          <w:bCs/>
          <w:sz w:val="24"/>
          <w:szCs w:val="24"/>
        </w:rPr>
        <w:t>kadangi darbai finansuojami ES struktūrinių fondų</w:t>
      </w:r>
      <w:r w:rsidR="00887449" w:rsidRPr="00543F5E">
        <w:rPr>
          <w:sz w:val="24"/>
          <w:szCs w:val="24"/>
        </w:rPr>
        <w:t xml:space="preserve">, valstybės ir Širvintų rajono savivaldybės biudžeto lėšomis, o mokėjimų dokumentų pateikimui, jų patikrinimui ir kitų procedūrų atlikimui būtinos laiko sąnaudos”. </w:t>
      </w:r>
      <w:r w:rsidR="00602152" w:rsidRPr="00543F5E">
        <w:rPr>
          <w:sz w:val="24"/>
          <w:szCs w:val="24"/>
        </w:rPr>
        <w:t xml:space="preserve">Šiuo atveju </w:t>
      </w:r>
      <w:r w:rsidR="00F2063F">
        <w:rPr>
          <w:sz w:val="24"/>
          <w:szCs w:val="24"/>
        </w:rPr>
        <w:t xml:space="preserve">Pirkimo dokumentuose pateikta skirtinga informacija, todėl </w:t>
      </w:r>
      <w:r w:rsidR="00602152" w:rsidRPr="00543F5E">
        <w:rPr>
          <w:sz w:val="24"/>
          <w:szCs w:val="24"/>
        </w:rPr>
        <w:t xml:space="preserve">nėra aišku, ar </w:t>
      </w:r>
      <w:r w:rsidR="00F2063F">
        <w:rPr>
          <w:sz w:val="24"/>
          <w:szCs w:val="24"/>
        </w:rPr>
        <w:t>P</w:t>
      </w:r>
      <w:r w:rsidR="00055632" w:rsidRPr="00543F5E">
        <w:rPr>
          <w:sz w:val="24"/>
          <w:szCs w:val="24"/>
        </w:rPr>
        <w:t xml:space="preserve">irkimas yra </w:t>
      </w:r>
      <w:r w:rsidR="00175F01" w:rsidRPr="00543F5E">
        <w:rPr>
          <w:sz w:val="24"/>
          <w:szCs w:val="24"/>
        </w:rPr>
        <w:t>susijęs su pr</w:t>
      </w:r>
      <w:r w:rsidR="00EA5D1B" w:rsidRPr="00543F5E">
        <w:rPr>
          <w:sz w:val="24"/>
          <w:szCs w:val="24"/>
        </w:rPr>
        <w:t>ojektu</w:t>
      </w:r>
      <w:r w:rsidR="00175F01" w:rsidRPr="00543F5E">
        <w:rPr>
          <w:sz w:val="24"/>
          <w:szCs w:val="24"/>
        </w:rPr>
        <w:t xml:space="preserve"> ir (arba) programa, finansuojama Europos Sąjungos lėšomis, ar ne. </w:t>
      </w:r>
    </w:p>
    <w:p w14:paraId="1D5F5E28" w14:textId="170C203E" w:rsidR="00CF6B4F" w:rsidRPr="00543F5E" w:rsidRDefault="005A25E1" w:rsidP="00543F5E">
      <w:pPr>
        <w:spacing w:after="0" w:line="276" w:lineRule="auto"/>
        <w:rPr>
          <w:sz w:val="24"/>
          <w:szCs w:val="24"/>
        </w:rPr>
      </w:pPr>
      <w:r w:rsidRPr="00543F5E">
        <w:rPr>
          <w:sz w:val="24"/>
          <w:szCs w:val="24"/>
        </w:rPr>
        <w:t xml:space="preserve">    Įstatymo 35 str. 3 d. nustato, jog jeigu yra prieštaravimų tarp skelbime ir kituose pirkimo dokumentuose pateiktos informacijos, teisinga laikoma informacija, nurodyta skelbime apie pirkimą. </w:t>
      </w:r>
      <w:r w:rsidR="00DC68A4" w:rsidRPr="00543F5E">
        <w:rPr>
          <w:sz w:val="24"/>
          <w:szCs w:val="24"/>
        </w:rPr>
        <w:t xml:space="preserve">Atsižvelgiant į nurodyta </w:t>
      </w:r>
      <w:r w:rsidR="0052114D" w:rsidRPr="00543F5E">
        <w:rPr>
          <w:sz w:val="24"/>
          <w:szCs w:val="24"/>
        </w:rPr>
        <w:t xml:space="preserve">rekomenduotina </w:t>
      </w:r>
      <w:r w:rsidR="00F2063F">
        <w:rPr>
          <w:sz w:val="24"/>
          <w:szCs w:val="24"/>
        </w:rPr>
        <w:t xml:space="preserve">Peržiūrėti Pirkimo dokumentus ir juos </w:t>
      </w:r>
      <w:r w:rsidR="0052114D" w:rsidRPr="00543F5E">
        <w:rPr>
          <w:sz w:val="24"/>
          <w:szCs w:val="24"/>
        </w:rPr>
        <w:t>patikslinti</w:t>
      </w:r>
      <w:r w:rsidR="00F2063F">
        <w:rPr>
          <w:sz w:val="24"/>
          <w:szCs w:val="24"/>
        </w:rPr>
        <w:t xml:space="preserve">. </w:t>
      </w:r>
    </w:p>
    <w:p w14:paraId="772E73D7" w14:textId="77777777" w:rsidR="00C0000C" w:rsidRPr="00543F5E" w:rsidRDefault="00C0000C" w:rsidP="00543F5E">
      <w:pPr>
        <w:spacing w:after="0" w:line="276" w:lineRule="auto"/>
        <w:rPr>
          <w:sz w:val="24"/>
          <w:szCs w:val="24"/>
        </w:rPr>
      </w:pPr>
    </w:p>
    <w:p w14:paraId="23044F0A" w14:textId="06394604" w:rsidR="008F4AAA" w:rsidRPr="00543F5E" w:rsidRDefault="008F4AAA" w:rsidP="00543F5E">
      <w:pPr>
        <w:spacing w:after="0" w:line="276" w:lineRule="auto"/>
        <w:rPr>
          <w:sz w:val="24"/>
          <w:szCs w:val="24"/>
        </w:rPr>
      </w:pPr>
      <w:r w:rsidRPr="00543F5E">
        <w:rPr>
          <w:sz w:val="24"/>
          <w:szCs w:val="24"/>
        </w:rPr>
        <w:t xml:space="preserve">     </w:t>
      </w:r>
      <w:r w:rsidR="00C0000C" w:rsidRPr="00D35FE7">
        <w:rPr>
          <w:b/>
          <w:bCs/>
          <w:sz w:val="24"/>
          <w:szCs w:val="24"/>
        </w:rPr>
        <w:t>2.</w:t>
      </w:r>
      <w:r w:rsidR="00C0000C" w:rsidRPr="00543F5E">
        <w:rPr>
          <w:sz w:val="24"/>
          <w:szCs w:val="24"/>
        </w:rPr>
        <w:t xml:space="preserve"> </w:t>
      </w:r>
      <w:r w:rsidR="00AD7C50" w:rsidRPr="00543F5E">
        <w:rPr>
          <w:sz w:val="24"/>
          <w:szCs w:val="24"/>
        </w:rPr>
        <w:t>Sutarties projekto 2.5 papunktyje nustatyta</w:t>
      </w:r>
      <w:r w:rsidR="000366D8" w:rsidRPr="00543F5E">
        <w:rPr>
          <w:sz w:val="24"/>
          <w:szCs w:val="24"/>
        </w:rPr>
        <w:t>s 60 dienų atsiskaitymo už atliktus darbus</w:t>
      </w:r>
      <w:r w:rsidR="009F622C" w:rsidRPr="00543F5E">
        <w:rPr>
          <w:sz w:val="24"/>
          <w:szCs w:val="24"/>
        </w:rPr>
        <w:t xml:space="preserve"> terminas. </w:t>
      </w:r>
      <w:r w:rsidR="003675C7" w:rsidRPr="00543F5E">
        <w:rPr>
          <w:rFonts w:eastAsia="Calibri" w:cstheme="minorHAnsi"/>
          <w:sz w:val="24"/>
          <w:szCs w:val="24"/>
          <w:lang w:val="lt"/>
        </w:rPr>
        <w:t xml:space="preserve">Pažymėtina, kad mokėjimo laikotarpiai (atsiskaitymo terminai) turi atitikti </w:t>
      </w:r>
      <w:hyperlink r:id="rId4">
        <w:r w:rsidR="00953B29" w:rsidRPr="00543F5E">
          <w:rPr>
            <w:rStyle w:val="Hyperlink"/>
            <w:sz w:val="24"/>
            <w:szCs w:val="24"/>
            <w:lang w:val="lt"/>
          </w:rPr>
          <w:t>Lietuvos Respublikos mokėjimų, atliekamų pagal komercines sutartis, vėlavimo prevencijos įstatymo</w:t>
        </w:r>
      </w:hyperlink>
      <w:r w:rsidR="00124682" w:rsidRPr="00543F5E">
        <w:rPr>
          <w:sz w:val="24"/>
          <w:szCs w:val="24"/>
        </w:rPr>
        <w:t xml:space="preserve"> 5 straipsnyje nustatytus reikalavimus. Mokėjimai už perduotas prekes, suteiktas paslaugas ir atliktus darbus turi būti atlikti ne vėliau kaip per 30 kalendorinių dienų nuo dienos, kai prekių pirkėjas, paslaugų gavėjas ar darbų užsakovas gauna sąskaitą faktūrą arba lygiavertį dokumentą, išskyrus atvejus, kai dėl to sutartyje aiškiai susitariama kitaip, jeigu tai yra objektyviai pagrįsta, atsižvelgiant į konkretų sutarties pobūdį ar ypatumus. </w:t>
      </w:r>
      <w:r w:rsidR="00135C9D" w:rsidRPr="00543F5E">
        <w:rPr>
          <w:sz w:val="24"/>
          <w:szCs w:val="24"/>
        </w:rPr>
        <w:t>Šiuo atveju, jei pirkimas nėra susijęs su projektu ir (arba) programa, finansuojama Europos Sąjungos lėšomis</w:t>
      </w:r>
      <w:r w:rsidR="00124682" w:rsidRPr="00543F5E">
        <w:rPr>
          <w:sz w:val="24"/>
          <w:szCs w:val="24"/>
        </w:rPr>
        <w:t>, rekomenduotina įsivertinti nustatytą atsiskaitymo terminą ir jį patikslinti, arba Sutarties projekto nuostatas papildyti paaiškinimu, kodėl atsiskaitymo terminas šiuo atveju yra ilgesnis nei 30 kalendorinių dienų.</w:t>
      </w:r>
    </w:p>
    <w:p w14:paraId="40EA5F0C" w14:textId="3435A481" w:rsidR="005A25E1" w:rsidRPr="00543F5E" w:rsidRDefault="005A25E1" w:rsidP="00543F5E">
      <w:pPr>
        <w:tabs>
          <w:tab w:val="left" w:pos="1134"/>
        </w:tabs>
        <w:spacing w:after="0" w:line="276" w:lineRule="auto"/>
        <w:rPr>
          <w:rFonts w:cstheme="minorHAnsi"/>
          <w:sz w:val="24"/>
          <w:szCs w:val="24"/>
        </w:rPr>
      </w:pPr>
    </w:p>
    <w:p w14:paraId="7C9E6A10" w14:textId="6A1B90EA" w:rsidR="005A25E1" w:rsidRPr="00543F5E" w:rsidRDefault="005A25E1" w:rsidP="00543F5E">
      <w:pPr>
        <w:spacing w:line="276" w:lineRule="auto"/>
        <w:rPr>
          <w:sz w:val="24"/>
          <w:szCs w:val="24"/>
        </w:rPr>
      </w:pPr>
      <w:r w:rsidRPr="00D35FE7">
        <w:rPr>
          <w:b/>
          <w:bCs/>
          <w:sz w:val="24"/>
          <w:szCs w:val="24"/>
        </w:rPr>
        <w:t xml:space="preserve">     </w:t>
      </w:r>
      <w:r w:rsidR="00886C08" w:rsidRPr="00D35FE7">
        <w:rPr>
          <w:b/>
          <w:bCs/>
          <w:sz w:val="24"/>
          <w:szCs w:val="24"/>
        </w:rPr>
        <w:t>3</w:t>
      </w:r>
      <w:r w:rsidRPr="00D35FE7">
        <w:rPr>
          <w:b/>
          <w:bCs/>
          <w:sz w:val="24"/>
          <w:szCs w:val="24"/>
        </w:rPr>
        <w:t>.</w:t>
      </w:r>
      <w:r w:rsidRPr="00543F5E">
        <w:rPr>
          <w:sz w:val="24"/>
          <w:szCs w:val="24"/>
        </w:rPr>
        <w:t xml:space="preserve"> </w:t>
      </w:r>
      <w:r w:rsidR="00776966" w:rsidRPr="00543F5E">
        <w:rPr>
          <w:sz w:val="24"/>
          <w:szCs w:val="24"/>
        </w:rPr>
        <w:t xml:space="preserve">Sutarties projekto </w:t>
      </w:r>
      <w:r w:rsidR="007E5FA7" w:rsidRPr="00543F5E">
        <w:rPr>
          <w:sz w:val="24"/>
          <w:szCs w:val="24"/>
        </w:rPr>
        <w:t>6.4 papunktyje nustatyta</w:t>
      </w:r>
      <w:r w:rsidR="0002016A" w:rsidRPr="00543F5E">
        <w:rPr>
          <w:sz w:val="24"/>
          <w:szCs w:val="24"/>
        </w:rPr>
        <w:t>, kad</w:t>
      </w:r>
      <w:r w:rsidR="007E5FA7" w:rsidRPr="00543F5E">
        <w:rPr>
          <w:sz w:val="24"/>
          <w:szCs w:val="24"/>
        </w:rPr>
        <w:t xml:space="preserve"> </w:t>
      </w:r>
      <w:r w:rsidR="00D0634C" w:rsidRPr="00543F5E">
        <w:rPr>
          <w:sz w:val="24"/>
          <w:szCs w:val="24"/>
        </w:rPr>
        <w:t>„</w:t>
      </w:r>
      <w:r w:rsidR="00262D87" w:rsidRPr="00543F5E">
        <w:rPr>
          <w:sz w:val="24"/>
          <w:szCs w:val="24"/>
        </w:rPr>
        <w:t xml:space="preserve">Papildomai pasitelkiamas subrangovas negali būti viešojo pirkimo dalyvis ar pasiūlymą viešajame pirkime teikusios ūkio subjektų </w:t>
      </w:r>
      <w:r w:rsidR="00262D87" w:rsidRPr="00543F5E">
        <w:rPr>
          <w:sz w:val="24"/>
          <w:szCs w:val="24"/>
        </w:rPr>
        <w:lastRenderedPageBreak/>
        <w:t>grupės partneris”.</w:t>
      </w:r>
      <w:r w:rsidR="002E7A4C" w:rsidRPr="00543F5E">
        <w:rPr>
          <w:sz w:val="24"/>
          <w:szCs w:val="24"/>
        </w:rPr>
        <w:t xml:space="preserve"> Vadovaujantis </w:t>
      </w:r>
      <w:r w:rsidR="00CA5202" w:rsidRPr="00543F5E">
        <w:rPr>
          <w:sz w:val="24"/>
          <w:szCs w:val="24"/>
        </w:rPr>
        <w:t xml:space="preserve">Bendrųjų pirkimo sąlygų </w:t>
      </w:r>
      <w:r w:rsidR="00CF1B29" w:rsidRPr="00543F5E">
        <w:rPr>
          <w:sz w:val="24"/>
          <w:szCs w:val="24"/>
        </w:rPr>
        <w:t xml:space="preserve">12.3 punktu </w:t>
      </w:r>
      <w:r w:rsidR="00EC7C47" w:rsidRPr="00543F5E">
        <w:rPr>
          <w:sz w:val="24"/>
          <w:szCs w:val="24"/>
        </w:rPr>
        <w:t>“</w:t>
      </w:r>
      <w:r w:rsidR="0056342E" w:rsidRPr="00543F5E">
        <w:rPr>
          <w:sz w:val="24"/>
          <w:szCs w:val="24"/>
        </w:rPr>
        <w:t>Tiekėjui, teikiančiam pasiūlymą savarankiškai ar kaip tiekėjų grupės nariui, nedraudžiama būti kito tiekėjo subtiekėju ar ūkio subjektu, kurio pajėgumais remiamasi kitas tiekėjas, tame pačiame pirkime”.</w:t>
      </w:r>
      <w:r w:rsidR="00797A40" w:rsidRPr="00543F5E">
        <w:rPr>
          <w:sz w:val="24"/>
          <w:szCs w:val="24"/>
        </w:rPr>
        <w:t xml:space="preserve"> </w:t>
      </w:r>
      <w:r w:rsidR="00B95495" w:rsidRPr="00543F5E">
        <w:rPr>
          <w:sz w:val="24"/>
          <w:szCs w:val="24"/>
        </w:rPr>
        <w:t xml:space="preserve">Įvertinus </w:t>
      </w:r>
      <w:r w:rsidR="00537CA7" w:rsidRPr="00543F5E">
        <w:rPr>
          <w:sz w:val="24"/>
          <w:szCs w:val="24"/>
        </w:rPr>
        <w:t xml:space="preserve">aukščiau </w:t>
      </w:r>
      <w:r w:rsidR="00015E3B" w:rsidRPr="00543F5E">
        <w:rPr>
          <w:sz w:val="24"/>
          <w:szCs w:val="24"/>
        </w:rPr>
        <w:t>pateiktas nuostatas</w:t>
      </w:r>
      <w:r w:rsidR="00A726D7" w:rsidRPr="00543F5E">
        <w:rPr>
          <w:sz w:val="24"/>
          <w:szCs w:val="24"/>
        </w:rPr>
        <w:t xml:space="preserve"> darytina išvada, kad</w:t>
      </w:r>
      <w:r w:rsidR="00651BF3" w:rsidRPr="00543F5E">
        <w:rPr>
          <w:sz w:val="24"/>
          <w:szCs w:val="24"/>
        </w:rPr>
        <w:t xml:space="preserve"> </w:t>
      </w:r>
      <w:r w:rsidR="001D78C5" w:rsidRPr="00543F5E">
        <w:rPr>
          <w:sz w:val="24"/>
          <w:szCs w:val="24"/>
        </w:rPr>
        <w:t xml:space="preserve">galimybė pasitelkti </w:t>
      </w:r>
      <w:r w:rsidR="00C46CD7" w:rsidRPr="00543F5E">
        <w:rPr>
          <w:sz w:val="24"/>
          <w:szCs w:val="24"/>
        </w:rPr>
        <w:t xml:space="preserve">subrangovus </w:t>
      </w:r>
      <w:r w:rsidR="004B617E">
        <w:rPr>
          <w:sz w:val="24"/>
          <w:szCs w:val="24"/>
        </w:rPr>
        <w:t xml:space="preserve">Pirkimo dokumentuose </w:t>
      </w:r>
      <w:r w:rsidR="00C46CD7" w:rsidRPr="00543F5E">
        <w:rPr>
          <w:sz w:val="24"/>
          <w:szCs w:val="24"/>
        </w:rPr>
        <w:t>apibrėžta skirtingai</w:t>
      </w:r>
      <w:r w:rsidR="00651BF3" w:rsidRPr="00543F5E">
        <w:rPr>
          <w:sz w:val="24"/>
          <w:szCs w:val="24"/>
        </w:rPr>
        <w:t>, o nustatytos nuostatos yra klaidinančios ir prieštaraujančios viena kitai bei neatitinkančios Įstatymo 35 straipsnio 4 dalies, kad pirkimo dokumentai turi būti tikslūs, aiškūs.</w:t>
      </w:r>
      <w:r w:rsidR="004A6C3F" w:rsidRPr="00543F5E">
        <w:rPr>
          <w:sz w:val="24"/>
          <w:szCs w:val="24"/>
        </w:rPr>
        <w:t xml:space="preserve"> </w:t>
      </w:r>
    </w:p>
    <w:p w14:paraId="4AF252C2" w14:textId="1F06F35B" w:rsidR="00322754" w:rsidRPr="00543F5E" w:rsidRDefault="00971465" w:rsidP="00543F5E">
      <w:pPr>
        <w:spacing w:after="0" w:line="276" w:lineRule="auto"/>
        <w:rPr>
          <w:sz w:val="24"/>
          <w:szCs w:val="24"/>
        </w:rPr>
      </w:pPr>
      <w:r w:rsidRPr="00543F5E">
        <w:rPr>
          <w:sz w:val="24"/>
          <w:szCs w:val="24"/>
        </w:rPr>
        <w:t xml:space="preserve">Be kita ko, </w:t>
      </w:r>
      <w:r w:rsidR="00322754" w:rsidRPr="00543F5E">
        <w:rPr>
          <w:sz w:val="24"/>
          <w:szCs w:val="24"/>
        </w:rPr>
        <w:t xml:space="preserve">Tarnyba pažymi, kad vadovaujantis Lietuvos Aukščiausiojo Teismo praktika, suformuota 2018 m. kovo 29 d. nutartyje civilinėje byloje Nr. e3K-3-112-690/2018, tas pats ūkio subjektas gali būti nurodytas skirtingų tiekėjų pasiūlymuose kaip subtiekėjas, taip pat tiekėjas, pateikęs pasiūlymą savarankiškai, ar viešajame pirkime dalyvaujantis jungtinės veiklos pagrindu, gali būti kitos įmonės, pateikusios pasiūlymą tame pačiame viešajame pirkime, subtiekėju. T. y. bendra taisyklė yra ta, jog subranga viešajame pirkime negali būti nepagrįstai ribojama. </w:t>
      </w:r>
    </w:p>
    <w:p w14:paraId="4D5DC168" w14:textId="77777777" w:rsidR="00322754" w:rsidRPr="00543F5E" w:rsidRDefault="00322754" w:rsidP="00543F5E">
      <w:pPr>
        <w:spacing w:after="0" w:line="276" w:lineRule="auto"/>
        <w:rPr>
          <w:sz w:val="24"/>
          <w:szCs w:val="24"/>
        </w:rPr>
      </w:pPr>
      <w:r w:rsidRPr="00543F5E">
        <w:rPr>
          <w:sz w:val="24"/>
          <w:szCs w:val="24"/>
        </w:rPr>
        <w:t>Siūlome susipažinti su Tarnybos pozicija:</w:t>
      </w:r>
    </w:p>
    <w:p w14:paraId="20D17FF6" w14:textId="278B4D27" w:rsidR="00322754" w:rsidRPr="00543F5E" w:rsidRDefault="000A5FD5" w:rsidP="00543F5E">
      <w:pPr>
        <w:spacing w:line="276" w:lineRule="auto"/>
        <w:rPr>
          <w:sz w:val="24"/>
          <w:szCs w:val="24"/>
        </w:rPr>
      </w:pPr>
      <w:hyperlink r:id="rId5" w:history="1">
        <w:r w:rsidR="00322754" w:rsidRPr="00543F5E">
          <w:rPr>
            <w:rStyle w:val="Hyperlink"/>
            <w:sz w:val="24"/>
            <w:szCs w:val="24"/>
          </w:rPr>
          <w:t>https://klausk.vpt.lt/hc/lt/articles/360002236199-Subrangovas-teikiantis-pasi%C5%ABlym%C4%85-ir-savaranki%C5%A1kai</w:t>
        </w:r>
      </w:hyperlink>
      <w:r w:rsidR="00322754" w:rsidRPr="00543F5E">
        <w:rPr>
          <w:sz w:val="24"/>
          <w:szCs w:val="24"/>
        </w:rPr>
        <w:t xml:space="preserve"> </w:t>
      </w:r>
    </w:p>
    <w:p w14:paraId="71E74085" w14:textId="560FD206" w:rsidR="00886C08" w:rsidRPr="00543F5E" w:rsidRDefault="00322754" w:rsidP="00543F5E">
      <w:pPr>
        <w:spacing w:line="276" w:lineRule="auto"/>
        <w:rPr>
          <w:sz w:val="24"/>
          <w:szCs w:val="24"/>
        </w:rPr>
      </w:pPr>
      <w:r w:rsidRPr="00543F5E">
        <w:rPr>
          <w:sz w:val="24"/>
          <w:szCs w:val="24"/>
        </w:rPr>
        <w:t xml:space="preserve">Atsižvelgiant į tai, kas nurodyta, Tarnyba rekomenduoja tikslinti </w:t>
      </w:r>
      <w:r w:rsidR="004E0B91" w:rsidRPr="00543F5E">
        <w:rPr>
          <w:sz w:val="24"/>
          <w:szCs w:val="24"/>
        </w:rPr>
        <w:t>Sutarties projekto</w:t>
      </w:r>
      <w:r w:rsidRPr="00543F5E">
        <w:rPr>
          <w:sz w:val="24"/>
          <w:szCs w:val="24"/>
        </w:rPr>
        <w:t xml:space="preserve"> </w:t>
      </w:r>
      <w:r w:rsidR="004E0B91" w:rsidRPr="00543F5E">
        <w:rPr>
          <w:sz w:val="24"/>
          <w:szCs w:val="24"/>
        </w:rPr>
        <w:t>6.4 papunktį</w:t>
      </w:r>
      <w:r w:rsidRPr="00543F5E">
        <w:rPr>
          <w:sz w:val="24"/>
          <w:szCs w:val="24"/>
        </w:rPr>
        <w:t>, pagal pateiktas pastabas, atsisakant nepagrįsto subrangos ribojimo.</w:t>
      </w:r>
    </w:p>
    <w:p w14:paraId="025D8DD5" w14:textId="22C36D96" w:rsidR="001375FF" w:rsidRDefault="00886C08" w:rsidP="00543F5E">
      <w:pPr>
        <w:spacing w:after="0" w:line="276" w:lineRule="auto"/>
        <w:rPr>
          <w:sz w:val="24"/>
          <w:szCs w:val="24"/>
        </w:rPr>
      </w:pPr>
      <w:r w:rsidRPr="00543F5E">
        <w:rPr>
          <w:sz w:val="24"/>
          <w:szCs w:val="24"/>
        </w:rPr>
        <w:t xml:space="preserve">     </w:t>
      </w:r>
      <w:r w:rsidRPr="00D35FE7">
        <w:rPr>
          <w:b/>
          <w:bCs/>
          <w:sz w:val="24"/>
          <w:szCs w:val="24"/>
        </w:rPr>
        <w:t>4.</w:t>
      </w:r>
      <w:r w:rsidRPr="00543F5E">
        <w:rPr>
          <w:sz w:val="24"/>
          <w:szCs w:val="24"/>
        </w:rPr>
        <w:t xml:space="preserve"> Tarnyba atkreipia dėmesį, kad skelbimo apie </w:t>
      </w:r>
      <w:r w:rsidR="00824F82">
        <w:rPr>
          <w:sz w:val="24"/>
          <w:szCs w:val="24"/>
        </w:rPr>
        <w:t>p</w:t>
      </w:r>
      <w:r w:rsidRPr="00543F5E">
        <w:rPr>
          <w:sz w:val="24"/>
          <w:szCs w:val="24"/>
        </w:rPr>
        <w:t xml:space="preserve">irkimą skiltyje “Žalia informacija” nurodyta, kad aplinkos apsaugos kriterijai nustatyti tiekėjų kvalifikacijos reikalavimuose. Įvertinus Pirkimo dokumentus nustatyta, kad aplinkos apsaugos kriterijai nustatyti </w:t>
      </w:r>
      <w:r w:rsidR="004B617E">
        <w:rPr>
          <w:sz w:val="24"/>
          <w:szCs w:val="24"/>
        </w:rPr>
        <w:t>P</w:t>
      </w:r>
      <w:r w:rsidRPr="00543F5E">
        <w:rPr>
          <w:sz w:val="24"/>
          <w:szCs w:val="24"/>
        </w:rPr>
        <w:t>irkimo sąlygų 4 priede „Tiekėjų kvalifikacijos reikalavimai ir reikalaujami kokybės bei aplinkos apsaugos vadybos sistemų standartai“</w:t>
      </w:r>
      <w:r w:rsidR="00A4298D">
        <w:rPr>
          <w:sz w:val="24"/>
          <w:szCs w:val="24"/>
        </w:rPr>
        <w:t xml:space="preserve">, t.y. </w:t>
      </w:r>
      <w:r w:rsidR="004B617E">
        <w:rPr>
          <w:sz w:val="24"/>
          <w:szCs w:val="24"/>
        </w:rPr>
        <w:t xml:space="preserve">šiuo atveju skelbime </w:t>
      </w:r>
      <w:r w:rsidR="0041290A">
        <w:rPr>
          <w:sz w:val="24"/>
          <w:szCs w:val="24"/>
        </w:rPr>
        <w:t xml:space="preserve">turėjo būti </w:t>
      </w:r>
      <w:r w:rsidR="00B80D52">
        <w:rPr>
          <w:sz w:val="24"/>
          <w:szCs w:val="24"/>
        </w:rPr>
        <w:t xml:space="preserve">pažymėta: </w:t>
      </w:r>
      <w:r w:rsidR="0041290A">
        <w:rPr>
          <w:sz w:val="24"/>
          <w:szCs w:val="24"/>
        </w:rPr>
        <w:t>“</w:t>
      </w:r>
      <w:r w:rsidR="001375FF" w:rsidRPr="001375FF">
        <w:rPr>
          <w:sz w:val="24"/>
          <w:szCs w:val="24"/>
        </w:rPr>
        <w:t>Kituose reikalavimuose tiekėjams (pvz. ISO, EMAS standartai)</w:t>
      </w:r>
      <w:r w:rsidR="001375FF">
        <w:rPr>
          <w:sz w:val="24"/>
          <w:szCs w:val="24"/>
        </w:rPr>
        <w:t>”</w:t>
      </w:r>
      <w:r w:rsidRPr="00543F5E">
        <w:rPr>
          <w:sz w:val="24"/>
          <w:szCs w:val="24"/>
        </w:rPr>
        <w:t>.</w:t>
      </w:r>
    </w:p>
    <w:p w14:paraId="3E1D8574" w14:textId="3E582B6E" w:rsidR="00886C08" w:rsidRPr="00543F5E" w:rsidRDefault="001375FF" w:rsidP="00543F5E">
      <w:pPr>
        <w:spacing w:after="0" w:line="276" w:lineRule="auto"/>
        <w:rPr>
          <w:sz w:val="24"/>
          <w:szCs w:val="24"/>
        </w:rPr>
      </w:pPr>
      <w:r>
        <w:rPr>
          <w:sz w:val="24"/>
          <w:szCs w:val="24"/>
        </w:rPr>
        <w:t xml:space="preserve">     </w:t>
      </w:r>
      <w:r w:rsidR="00886C08" w:rsidRPr="00543F5E">
        <w:rPr>
          <w:sz w:val="24"/>
          <w:szCs w:val="24"/>
        </w:rPr>
        <w:t xml:space="preserve"> Atsižvelgiant į tai, Tarnyba rekomenduoja ateityje vykdant pirkimus skelbimų apie pirkimą skiltyje „Žalia informacija“ pateikti tikslią informaciją apie tai, kokiose pirkimo dokumentų dalyse nustatyti aplinkos apsaugos kriterijai.</w:t>
      </w:r>
    </w:p>
    <w:p w14:paraId="6457D308" w14:textId="27AB783E" w:rsidR="005A25E1" w:rsidRPr="00543F5E" w:rsidRDefault="00886C08" w:rsidP="00543F5E">
      <w:pPr>
        <w:spacing w:after="0" w:line="276" w:lineRule="auto"/>
        <w:rPr>
          <w:sz w:val="24"/>
          <w:szCs w:val="24"/>
        </w:rPr>
      </w:pPr>
      <w:r w:rsidRPr="00543F5E">
        <w:rPr>
          <w:sz w:val="24"/>
          <w:szCs w:val="24"/>
        </w:rPr>
        <w:t xml:space="preserve"> </w:t>
      </w:r>
      <w:r w:rsidR="00B80D52">
        <w:rPr>
          <w:sz w:val="24"/>
          <w:szCs w:val="24"/>
        </w:rPr>
        <w:t xml:space="preserve">     </w:t>
      </w:r>
      <w:r w:rsidR="002A0048" w:rsidRPr="00543F5E">
        <w:rPr>
          <w:sz w:val="24"/>
          <w:szCs w:val="24"/>
        </w:rPr>
        <w:t>Pažymėtina</w:t>
      </w:r>
      <w:r w:rsidRPr="00543F5E">
        <w:rPr>
          <w:sz w:val="24"/>
          <w:szCs w:val="24"/>
        </w:rPr>
        <w:t>, kad perkančiosios organizacijos turi atsakingai Centrinėje viešųjų pirkimų informacinėje sistemoje (CVP IS) pildyti pirkimų skelbimų formas – skelbimo skiltyje „Priedas“ atsakydami į klausimą, ar vykdomas pirkimas yra „žaliasis“, pasirinkę galimą atsakymo variantą „Taip“, ne tik teisingai nurodyti, kokiais Tvarkos aprašo papunkčiais vadovaujantis nustatyti konkretaus pirkimo aplinkos apsaugos kriterijai, bet ir kurioje pirkimo dokumentų dalyje.</w:t>
      </w:r>
    </w:p>
    <w:p w14:paraId="03AB66E9" w14:textId="77777777" w:rsidR="008F761E" w:rsidRPr="00543F5E" w:rsidRDefault="008F761E" w:rsidP="00543F5E">
      <w:pPr>
        <w:spacing w:after="0" w:line="276" w:lineRule="auto"/>
        <w:rPr>
          <w:sz w:val="24"/>
          <w:szCs w:val="24"/>
        </w:rPr>
      </w:pPr>
    </w:p>
    <w:p w14:paraId="1847D76A" w14:textId="77777777" w:rsidR="005A25E1" w:rsidRPr="00543F5E" w:rsidRDefault="005A25E1" w:rsidP="00543F5E">
      <w:pPr>
        <w:spacing w:line="276" w:lineRule="auto"/>
        <w:rPr>
          <w:sz w:val="24"/>
          <w:szCs w:val="24"/>
        </w:rPr>
      </w:pPr>
      <w:r w:rsidRPr="00543F5E">
        <w:rPr>
          <w:sz w:val="24"/>
          <w:szCs w:val="24"/>
        </w:rPr>
        <w:t xml:space="preserve">      Atsižvelgiant į aukščiau išdėstytą, Tarnyba rekomenduoja peržiūrėti ir patikslinti Pirkimo dokumentų nuostatas pagal pateiktą Rekomendaciją. Primename, kad Perkančioji organizacija, patikslinusi Pirkimo dokumentus, turi visus pakeitimus paskelbti viešai CVP IS ir prireikus pratęsti pasiūlymų pateikimo terminą protingumo kriterijų atitinkančiam laikotarpiui, per kurį tiekėjai, </w:t>
      </w:r>
      <w:r w:rsidRPr="00543F5E">
        <w:rPr>
          <w:sz w:val="24"/>
          <w:szCs w:val="24"/>
        </w:rPr>
        <w:lastRenderedPageBreak/>
        <w:t>rengdami pasiūlymus, galėtų atsižvelgti į patikslinimus. Pažymėtina, kad visais atvejais sprendimą dėl tolimesnio Pirkimo procedūrų vykdymo ar nutraukimo priima pati Perkančioji organizacija, vadovaudamasi Įstatymo 29 straipsnio 3  ir 4  dalių nuostatomis.</w:t>
      </w:r>
    </w:p>
    <w:p w14:paraId="374294CC" w14:textId="77777777" w:rsidR="005A25E1" w:rsidRDefault="005A25E1" w:rsidP="005A25E1"/>
    <w:p w14:paraId="60D230D2" w14:textId="77777777" w:rsidR="00C87E6C" w:rsidRDefault="00C87E6C"/>
    <w:sectPr w:rsidR="00C87E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8F"/>
    <w:rsid w:val="000020A9"/>
    <w:rsid w:val="00015E3B"/>
    <w:rsid w:val="0002016A"/>
    <w:rsid w:val="000366D8"/>
    <w:rsid w:val="00047320"/>
    <w:rsid w:val="00055632"/>
    <w:rsid w:val="000947D7"/>
    <w:rsid w:val="000A5FD5"/>
    <w:rsid w:val="00124682"/>
    <w:rsid w:val="00135C9D"/>
    <w:rsid w:val="001375FF"/>
    <w:rsid w:val="00175F01"/>
    <w:rsid w:val="001832E2"/>
    <w:rsid w:val="001A5BB2"/>
    <w:rsid w:val="001D78C5"/>
    <w:rsid w:val="00216BE8"/>
    <w:rsid w:val="0022371E"/>
    <w:rsid w:val="002512F3"/>
    <w:rsid w:val="00262D87"/>
    <w:rsid w:val="002A0048"/>
    <w:rsid w:val="002A3B20"/>
    <w:rsid w:val="002E7A4C"/>
    <w:rsid w:val="00305F91"/>
    <w:rsid w:val="00322754"/>
    <w:rsid w:val="003675C7"/>
    <w:rsid w:val="003D3205"/>
    <w:rsid w:val="003F5DD1"/>
    <w:rsid w:val="0041290A"/>
    <w:rsid w:val="004A6C3F"/>
    <w:rsid w:val="004B617E"/>
    <w:rsid w:val="004D3BE5"/>
    <w:rsid w:val="004D4D1D"/>
    <w:rsid w:val="004D6CC4"/>
    <w:rsid w:val="004E0B91"/>
    <w:rsid w:val="005063C0"/>
    <w:rsid w:val="0052114D"/>
    <w:rsid w:val="00537CA7"/>
    <w:rsid w:val="00543F5E"/>
    <w:rsid w:val="0056342E"/>
    <w:rsid w:val="005937EB"/>
    <w:rsid w:val="005A25E1"/>
    <w:rsid w:val="005D5F95"/>
    <w:rsid w:val="005F316E"/>
    <w:rsid w:val="00602152"/>
    <w:rsid w:val="00651BF3"/>
    <w:rsid w:val="006522F4"/>
    <w:rsid w:val="00680AE5"/>
    <w:rsid w:val="00683029"/>
    <w:rsid w:val="006830BF"/>
    <w:rsid w:val="006922AF"/>
    <w:rsid w:val="006F1B59"/>
    <w:rsid w:val="00776966"/>
    <w:rsid w:val="00797A40"/>
    <w:rsid w:val="007C5987"/>
    <w:rsid w:val="007E373C"/>
    <w:rsid w:val="007E5FA7"/>
    <w:rsid w:val="00824F82"/>
    <w:rsid w:val="00835792"/>
    <w:rsid w:val="00884600"/>
    <w:rsid w:val="00886C08"/>
    <w:rsid w:val="00887449"/>
    <w:rsid w:val="00893169"/>
    <w:rsid w:val="008D6ECB"/>
    <w:rsid w:val="008F4AAA"/>
    <w:rsid w:val="008F761E"/>
    <w:rsid w:val="0093321E"/>
    <w:rsid w:val="00953B29"/>
    <w:rsid w:val="00971465"/>
    <w:rsid w:val="009A2C28"/>
    <w:rsid w:val="009C0CDF"/>
    <w:rsid w:val="009C1DD2"/>
    <w:rsid w:val="009F622C"/>
    <w:rsid w:val="00A4298D"/>
    <w:rsid w:val="00A6148F"/>
    <w:rsid w:val="00A62297"/>
    <w:rsid w:val="00A726D7"/>
    <w:rsid w:val="00AD7C50"/>
    <w:rsid w:val="00B70959"/>
    <w:rsid w:val="00B80D52"/>
    <w:rsid w:val="00B95495"/>
    <w:rsid w:val="00C0000C"/>
    <w:rsid w:val="00C06CD9"/>
    <w:rsid w:val="00C33C2A"/>
    <w:rsid w:val="00C46CD7"/>
    <w:rsid w:val="00C52625"/>
    <w:rsid w:val="00C67DD4"/>
    <w:rsid w:val="00C87E6C"/>
    <w:rsid w:val="00CA1603"/>
    <w:rsid w:val="00CA5202"/>
    <w:rsid w:val="00CC464B"/>
    <w:rsid w:val="00CF1B29"/>
    <w:rsid w:val="00CF6B4F"/>
    <w:rsid w:val="00D0634C"/>
    <w:rsid w:val="00D079A9"/>
    <w:rsid w:val="00D35FE7"/>
    <w:rsid w:val="00D81918"/>
    <w:rsid w:val="00D86E35"/>
    <w:rsid w:val="00D8738E"/>
    <w:rsid w:val="00DC68A4"/>
    <w:rsid w:val="00E159C3"/>
    <w:rsid w:val="00E5081A"/>
    <w:rsid w:val="00E5101E"/>
    <w:rsid w:val="00EA5D1B"/>
    <w:rsid w:val="00EC7C47"/>
    <w:rsid w:val="00EF5958"/>
    <w:rsid w:val="00F2063F"/>
    <w:rsid w:val="00F31974"/>
    <w:rsid w:val="00F43CE1"/>
    <w:rsid w:val="00FA2460"/>
    <w:rsid w:val="00FD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0FE2"/>
  <w15:chartTrackingRefBased/>
  <w15:docId w15:val="{E37462D1-9669-4838-BF64-C03599AE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B29"/>
    <w:rPr>
      <w:color w:val="0563C1" w:themeColor="hyperlink"/>
      <w:u w:val="single"/>
    </w:rPr>
  </w:style>
  <w:style w:type="character" w:styleId="UnresolvedMention">
    <w:name w:val="Unresolved Mention"/>
    <w:basedOn w:val="DefaultParagraphFont"/>
    <w:uiPriority w:val="99"/>
    <w:semiHidden/>
    <w:unhideWhenUsed/>
    <w:rsid w:val="00953B29"/>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5063C0"/>
    <w:pPr>
      <w:ind w:left="720"/>
      <w:contextualSpacing/>
    </w:pPr>
    <w:rPr>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063C0"/>
    <w:rPr>
      <w:kern w:val="0"/>
      <w:lang w:val="lt-LT"/>
      <w14:ligatures w14:val="none"/>
    </w:rPr>
  </w:style>
  <w:style w:type="paragraph" w:styleId="Revision">
    <w:name w:val="Revision"/>
    <w:hidden/>
    <w:uiPriority w:val="99"/>
    <w:semiHidden/>
    <w:rsid w:val="00F20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lausk.vpt.lt/hc/lt/articles/360002236199-Subrangovas-teikiantis-pasi%C5%ABlym%C4%85-ir-savaranki%C5%A1kai" TargetMode="External"/><Relationship Id="rId4" Type="http://schemas.openxmlformats.org/officeDocument/2006/relationships/hyperlink" Target="https://e-seimas.lrs.lt/portal/legalAct/lt/TAD/TAIS.22422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987</Words>
  <Characters>5628</Characters>
  <Application>Microsoft Office Word</Application>
  <DocSecurity>0</DocSecurity>
  <Lines>46</Lines>
  <Paragraphs>13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6</cp:revision>
  <dcterms:created xsi:type="dcterms:W3CDTF">2024-03-28T06:50:00Z</dcterms:created>
  <dcterms:modified xsi:type="dcterms:W3CDTF">2024-04-05T04:56:00Z</dcterms:modified>
</cp:coreProperties>
</file>