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44750" w14:textId="5CE7A6B7" w:rsidR="0028646C" w:rsidRPr="003D3EF8" w:rsidRDefault="0028646C" w:rsidP="00EF5131">
      <w:pPr>
        <w:spacing w:before="100" w:beforeAutospacing="1" w:after="100" w:afterAutospacing="1" w:line="240" w:lineRule="auto"/>
        <w:ind w:firstLine="567"/>
        <w:contextualSpacing/>
        <w:rPr>
          <w:rFonts w:cstheme="minorHAnsi"/>
          <w:sz w:val="24"/>
          <w:szCs w:val="24"/>
          <w:lang w:eastAsia="lt-LT"/>
        </w:rPr>
      </w:pPr>
      <w:r w:rsidRPr="003D3EF8">
        <w:rPr>
          <w:rFonts w:cstheme="minorHAns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0E07C10" w14:textId="2A11FD1A" w:rsidR="0028646C" w:rsidRPr="003D3EF8" w:rsidRDefault="0028646C" w:rsidP="00E94695">
      <w:pPr>
        <w:spacing w:before="100" w:beforeAutospacing="1" w:after="100" w:afterAutospacing="1" w:line="240" w:lineRule="auto"/>
        <w:ind w:firstLine="567"/>
        <w:contextualSpacing/>
        <w:rPr>
          <w:rFonts w:cstheme="minorHAnsi"/>
          <w:b/>
          <w:bCs/>
          <w:sz w:val="24"/>
          <w:szCs w:val="24"/>
          <w:lang w:eastAsia="lt-LT"/>
        </w:rPr>
      </w:pPr>
      <w:r w:rsidRPr="003D3EF8">
        <w:rPr>
          <w:rFonts w:cstheme="minorHAnsi"/>
          <w:sz w:val="24"/>
          <w:szCs w:val="24"/>
          <w:lang w:eastAsia="lt-LT"/>
        </w:rPr>
        <w:t xml:space="preserve">Vadovaujantis Tarnybai Įstatyme nustatyta pažeidimų prevencijos funkcija, šiuo metu atliekama </w:t>
      </w:r>
      <w:r w:rsidR="00963EA5" w:rsidRPr="003D3EF8">
        <w:rPr>
          <w:rFonts w:cstheme="minorHAnsi"/>
          <w:sz w:val="24"/>
          <w:szCs w:val="24"/>
          <w:lang w:eastAsia="lt-LT"/>
        </w:rPr>
        <w:t xml:space="preserve">Kelmės rajono savivaldybės administracijos </w:t>
      </w:r>
      <w:r w:rsidRPr="003D3EF8">
        <w:rPr>
          <w:rFonts w:cstheme="minorHAnsi"/>
          <w:sz w:val="24"/>
          <w:szCs w:val="24"/>
          <w:lang w:eastAsia="lt-LT"/>
        </w:rPr>
        <w:t xml:space="preserve">(toliau – Perkančioji organizacija) </w:t>
      </w:r>
      <w:r w:rsidRPr="003D3EF8">
        <w:rPr>
          <w:rFonts w:cstheme="minorHAnsi"/>
          <w:b/>
          <w:bCs/>
          <w:sz w:val="24"/>
          <w:szCs w:val="24"/>
          <w:lang w:eastAsia="lt-LT"/>
        </w:rPr>
        <w:t xml:space="preserve">vykdomo pirkimo Nr. </w:t>
      </w:r>
      <w:r w:rsidR="00013FB7" w:rsidRPr="003D3EF8">
        <w:rPr>
          <w:rFonts w:cstheme="minorHAnsi"/>
          <w:b/>
          <w:bCs/>
          <w:sz w:val="24"/>
          <w:szCs w:val="24"/>
          <w:lang w:eastAsia="lt-LT"/>
        </w:rPr>
        <w:t xml:space="preserve">713458 </w:t>
      </w:r>
      <w:r w:rsidR="00E94695" w:rsidRPr="003D3EF8">
        <w:rPr>
          <w:rFonts w:cstheme="minorHAnsi"/>
          <w:b/>
          <w:bCs/>
          <w:sz w:val="24"/>
          <w:szCs w:val="24"/>
          <w:lang w:eastAsia="lt-LT"/>
        </w:rPr>
        <w:t xml:space="preserve">„Vietinės reikšmės kelių priežiūra įrengiant skaldos dangą“ </w:t>
      </w:r>
      <w:r w:rsidRPr="003D3EF8">
        <w:rPr>
          <w:rFonts w:cstheme="minorHAnsi"/>
          <w:sz w:val="24"/>
          <w:szCs w:val="24"/>
          <w:lang w:eastAsia="lt-LT"/>
        </w:rPr>
        <w:t>(toliau – Pirkimas) dokumentų</w:t>
      </w:r>
      <w:r w:rsidR="00615EE6" w:rsidRPr="003D3EF8">
        <w:rPr>
          <w:rFonts w:cstheme="minorHAnsi"/>
          <w:sz w:val="24"/>
          <w:szCs w:val="24"/>
          <w:lang w:eastAsia="lt-LT"/>
        </w:rPr>
        <w:t xml:space="preserve"> </w:t>
      </w:r>
      <w:r w:rsidRPr="003D3EF8">
        <w:rPr>
          <w:rFonts w:cstheme="minorHAnsi"/>
          <w:sz w:val="24"/>
          <w:szCs w:val="24"/>
          <w:lang w:eastAsia="lt-LT"/>
        </w:rPr>
        <w:t>atitikties Įstatymui ir su jo įgyvendinimu susijusiems teisės aktams peržiūra (peržiūra prevenciniais tikslais atliekama tam tikra apimtimi).</w:t>
      </w:r>
    </w:p>
    <w:p w14:paraId="5AEF9F28" w14:textId="77777777" w:rsidR="0055586F" w:rsidRDefault="0028646C" w:rsidP="0055586F">
      <w:pPr>
        <w:spacing w:before="100" w:beforeAutospacing="1" w:after="100" w:afterAutospacing="1" w:line="240" w:lineRule="auto"/>
        <w:ind w:firstLine="567"/>
        <w:contextualSpacing/>
        <w:rPr>
          <w:rFonts w:cstheme="minorHAnsi"/>
          <w:sz w:val="24"/>
          <w:szCs w:val="24"/>
          <w:lang w:eastAsia="lt-LT"/>
        </w:rPr>
      </w:pPr>
      <w:r w:rsidRPr="003D3EF8">
        <w:rPr>
          <w:rFonts w:cstheme="minorHAnsi"/>
          <w:sz w:val="24"/>
          <w:szCs w:val="24"/>
          <w:lang w:eastAsia="lt-LT"/>
        </w:rPr>
        <w:t xml:space="preserve">Tarnyba, prevencine tvarka peržiūrėjusi Pirkimo dokumentus </w:t>
      </w:r>
      <w:r w:rsidR="002F351F" w:rsidRPr="003D3EF8">
        <w:rPr>
          <w:rFonts w:cstheme="minorHAnsi"/>
          <w:sz w:val="24"/>
          <w:szCs w:val="24"/>
          <w:lang w:eastAsia="lt-LT"/>
        </w:rPr>
        <w:t xml:space="preserve">ir atsižvelgdama į galiojantį teisinį reglamentavimą, </w:t>
      </w:r>
      <w:r w:rsidRPr="003D3EF8">
        <w:rPr>
          <w:rFonts w:cstheme="minorHAnsi"/>
          <w:sz w:val="24"/>
          <w:szCs w:val="24"/>
          <w:lang w:eastAsia="lt-LT"/>
        </w:rPr>
        <w:t>teikia pastabas ir rekomendacijas (toliau – Rekomendacija) dėl Pirkimo dokumentų nuostatų</w:t>
      </w:r>
      <w:r w:rsidR="00EF5131" w:rsidRPr="003D3EF8">
        <w:rPr>
          <w:rFonts w:cstheme="minorHAnsi"/>
          <w:sz w:val="24"/>
          <w:szCs w:val="24"/>
          <w:lang w:eastAsia="lt-LT"/>
        </w:rPr>
        <w:t>:</w:t>
      </w:r>
    </w:p>
    <w:p w14:paraId="6AB81BB0" w14:textId="7F059E21" w:rsidR="003F3C38" w:rsidRPr="00AD6621" w:rsidRDefault="002F44AE" w:rsidP="002F44AE">
      <w:pPr>
        <w:pStyle w:val="ListParagraph"/>
        <w:numPr>
          <w:ilvl w:val="0"/>
          <w:numId w:val="4"/>
        </w:numPr>
        <w:spacing w:before="100" w:beforeAutospacing="1" w:after="100" w:afterAutospacing="1" w:line="240" w:lineRule="auto"/>
        <w:rPr>
          <w:rFonts w:cstheme="minorHAnsi"/>
          <w:b/>
          <w:bCs/>
          <w:sz w:val="24"/>
          <w:szCs w:val="24"/>
          <w:lang w:eastAsia="lt-LT"/>
        </w:rPr>
      </w:pPr>
      <w:r w:rsidRPr="00AD6621">
        <w:rPr>
          <w:rFonts w:cstheme="minorHAnsi"/>
          <w:b/>
          <w:bCs/>
          <w:sz w:val="24"/>
          <w:szCs w:val="24"/>
          <w:lang w:eastAsia="lt-LT"/>
        </w:rPr>
        <w:t xml:space="preserve">Dėl </w:t>
      </w:r>
      <w:r w:rsidR="00AD6621" w:rsidRPr="00AD6621">
        <w:rPr>
          <w:rFonts w:cstheme="minorHAnsi"/>
          <w:b/>
          <w:bCs/>
          <w:sz w:val="24"/>
          <w:szCs w:val="24"/>
          <w:lang w:eastAsia="lt-LT"/>
        </w:rPr>
        <w:t xml:space="preserve">Pirkimo sąlygose nustatytų </w:t>
      </w:r>
      <w:r w:rsidRPr="00AD6621">
        <w:rPr>
          <w:rFonts w:cstheme="minorHAnsi"/>
          <w:b/>
          <w:bCs/>
          <w:sz w:val="24"/>
          <w:szCs w:val="24"/>
          <w:lang w:eastAsia="lt-LT"/>
        </w:rPr>
        <w:t>kainodaros</w:t>
      </w:r>
      <w:r w:rsidR="004677B3" w:rsidRPr="00AD6621">
        <w:rPr>
          <w:rFonts w:cstheme="minorHAnsi"/>
          <w:b/>
          <w:bCs/>
          <w:sz w:val="24"/>
          <w:szCs w:val="24"/>
          <w:lang w:eastAsia="lt-LT"/>
        </w:rPr>
        <w:t xml:space="preserve"> </w:t>
      </w:r>
      <w:r w:rsidR="00AD6621" w:rsidRPr="00AD6621">
        <w:rPr>
          <w:rFonts w:cstheme="minorHAnsi"/>
          <w:b/>
          <w:bCs/>
          <w:sz w:val="24"/>
          <w:szCs w:val="24"/>
          <w:lang w:eastAsia="lt-LT"/>
        </w:rPr>
        <w:t>taisyklių</w:t>
      </w:r>
    </w:p>
    <w:p w14:paraId="55797228" w14:textId="141317AA" w:rsidR="00BB74B8" w:rsidRDefault="005B33B3" w:rsidP="000D32F5">
      <w:pPr>
        <w:spacing w:before="100" w:beforeAutospacing="1" w:after="100" w:afterAutospacing="1" w:line="240" w:lineRule="auto"/>
        <w:ind w:firstLine="567"/>
        <w:rPr>
          <w:rFonts w:cstheme="minorHAnsi"/>
          <w:sz w:val="24"/>
          <w:szCs w:val="24"/>
          <w:lang w:eastAsia="lt-LT"/>
        </w:rPr>
      </w:pPr>
      <w:r w:rsidRPr="00F54C88">
        <w:rPr>
          <w:rFonts w:cstheme="minorHAnsi"/>
          <w:sz w:val="24"/>
          <w:szCs w:val="24"/>
          <w:lang w:eastAsia="lt-LT"/>
        </w:rPr>
        <w:t xml:space="preserve">Pirkimo sąlygų </w:t>
      </w:r>
      <w:r w:rsidR="00F54C88" w:rsidRPr="00F54C88">
        <w:rPr>
          <w:rFonts w:cstheme="minorHAnsi"/>
          <w:sz w:val="24"/>
          <w:szCs w:val="24"/>
          <w:lang w:eastAsia="lt-LT"/>
        </w:rPr>
        <w:t>4 pried</w:t>
      </w:r>
      <w:r w:rsidR="00483A74">
        <w:rPr>
          <w:rFonts w:cstheme="minorHAnsi"/>
          <w:sz w:val="24"/>
          <w:szCs w:val="24"/>
          <w:lang w:eastAsia="lt-LT"/>
        </w:rPr>
        <w:t>o</w:t>
      </w:r>
      <w:r w:rsidR="00F54C88" w:rsidRPr="00F54C88">
        <w:rPr>
          <w:rFonts w:cstheme="minorHAnsi"/>
          <w:sz w:val="24"/>
          <w:szCs w:val="24"/>
          <w:lang w:eastAsia="lt-LT"/>
        </w:rPr>
        <w:t xml:space="preserve"> </w:t>
      </w:r>
      <w:r w:rsidR="00483A74">
        <w:rPr>
          <w:rFonts w:cstheme="minorHAnsi"/>
          <w:sz w:val="24"/>
          <w:szCs w:val="24"/>
          <w:lang w:eastAsia="lt-LT"/>
        </w:rPr>
        <w:t xml:space="preserve">„Sutarties projektas“ </w:t>
      </w:r>
      <w:r w:rsidR="000F08E5">
        <w:rPr>
          <w:rFonts w:cstheme="minorHAnsi"/>
          <w:sz w:val="24"/>
          <w:szCs w:val="24"/>
          <w:lang w:eastAsia="lt-LT"/>
        </w:rPr>
        <w:t xml:space="preserve">(toliau – Sutarties projektas) </w:t>
      </w:r>
      <w:r w:rsidR="00483A74" w:rsidRPr="00483A74">
        <w:rPr>
          <w:rFonts w:cstheme="minorHAnsi"/>
          <w:sz w:val="24"/>
          <w:szCs w:val="24"/>
          <w:lang w:eastAsia="lt-LT"/>
        </w:rPr>
        <w:t>3.4 papunktyj</w:t>
      </w:r>
      <w:r w:rsidR="00483A74">
        <w:rPr>
          <w:rFonts w:cstheme="minorHAnsi"/>
          <w:sz w:val="24"/>
          <w:szCs w:val="24"/>
          <w:lang w:eastAsia="lt-LT"/>
        </w:rPr>
        <w:t>e nurodyta, jog sutar</w:t>
      </w:r>
      <w:r w:rsidR="000D32F5">
        <w:rPr>
          <w:rFonts w:cstheme="minorHAnsi"/>
          <w:sz w:val="24"/>
          <w:szCs w:val="24"/>
          <w:lang w:eastAsia="lt-LT"/>
        </w:rPr>
        <w:t xml:space="preserve">tis yra fiksuoto įkainio. </w:t>
      </w:r>
      <w:r w:rsidR="008D7EB2">
        <w:rPr>
          <w:rFonts w:cstheme="minorHAnsi"/>
          <w:sz w:val="24"/>
          <w:szCs w:val="24"/>
          <w:lang w:eastAsia="lt-LT"/>
        </w:rPr>
        <w:t xml:space="preserve">Pagal </w:t>
      </w:r>
      <w:hyperlink r:id="rId7" w:history="1">
        <w:r w:rsidR="00EC7652" w:rsidRPr="00EC7652">
          <w:rPr>
            <w:rStyle w:val="Hyperlink"/>
            <w:rFonts w:cstheme="minorHAnsi"/>
            <w:sz w:val="24"/>
            <w:szCs w:val="24"/>
            <w:lang w:eastAsia="lt-LT"/>
          </w:rPr>
          <w:t>Kainodaros taisyklių nustatymo metodikos</w:t>
        </w:r>
      </w:hyperlink>
      <w:r w:rsidR="00EC7652">
        <w:rPr>
          <w:rStyle w:val="FootnoteReference"/>
          <w:rFonts w:cstheme="minorHAnsi"/>
          <w:sz w:val="24"/>
          <w:szCs w:val="24"/>
          <w:lang w:eastAsia="lt-LT"/>
        </w:rPr>
        <w:footnoteReference w:id="1"/>
      </w:r>
      <w:r w:rsidR="005161B6">
        <w:rPr>
          <w:rFonts w:cstheme="minorHAnsi"/>
          <w:sz w:val="24"/>
          <w:szCs w:val="24"/>
          <w:lang w:eastAsia="lt-LT"/>
        </w:rPr>
        <w:t xml:space="preserve"> </w:t>
      </w:r>
      <w:r w:rsidR="00865DD4" w:rsidRPr="00C746D3">
        <w:rPr>
          <w:rFonts w:cstheme="minorHAnsi"/>
          <w:sz w:val="24"/>
          <w:szCs w:val="24"/>
          <w:lang w:eastAsia="lt-LT"/>
        </w:rPr>
        <w:t xml:space="preserve">36 </w:t>
      </w:r>
      <w:r w:rsidR="00C746D3" w:rsidRPr="00C746D3">
        <w:rPr>
          <w:rFonts w:cstheme="minorHAnsi"/>
          <w:sz w:val="24"/>
          <w:szCs w:val="24"/>
          <w:lang w:eastAsia="lt-LT"/>
        </w:rPr>
        <w:t xml:space="preserve">punktas </w:t>
      </w:r>
      <w:r w:rsidR="00865DD4">
        <w:rPr>
          <w:rFonts w:cstheme="minorHAnsi"/>
          <w:sz w:val="24"/>
          <w:szCs w:val="24"/>
          <w:lang w:eastAsia="lt-LT"/>
        </w:rPr>
        <w:t>nus</w:t>
      </w:r>
      <w:r w:rsidR="00C746D3">
        <w:rPr>
          <w:rFonts w:cstheme="minorHAnsi"/>
          <w:sz w:val="24"/>
          <w:szCs w:val="24"/>
          <w:lang w:eastAsia="lt-LT"/>
        </w:rPr>
        <w:t xml:space="preserve">tato </w:t>
      </w:r>
      <w:r w:rsidR="00D86564">
        <w:rPr>
          <w:rFonts w:cstheme="minorHAnsi"/>
          <w:sz w:val="24"/>
          <w:szCs w:val="24"/>
          <w:lang w:eastAsia="lt-LT"/>
        </w:rPr>
        <w:t xml:space="preserve">skirtingas </w:t>
      </w:r>
      <w:r w:rsidR="00C746D3">
        <w:rPr>
          <w:rFonts w:cstheme="minorHAnsi"/>
          <w:sz w:val="24"/>
          <w:szCs w:val="24"/>
          <w:lang w:eastAsia="lt-LT"/>
        </w:rPr>
        <w:t>fiksuoto įkainio taikymo taisykles</w:t>
      </w:r>
      <w:r w:rsidR="00F74E86">
        <w:rPr>
          <w:rFonts w:cstheme="minorHAnsi"/>
          <w:sz w:val="24"/>
          <w:szCs w:val="24"/>
          <w:lang w:eastAsia="lt-LT"/>
        </w:rPr>
        <w:t>, priklausomai nuo to</w:t>
      </w:r>
      <w:r w:rsidR="00E14EF8">
        <w:rPr>
          <w:rFonts w:cstheme="minorHAnsi"/>
          <w:sz w:val="24"/>
          <w:szCs w:val="24"/>
          <w:lang w:eastAsia="lt-LT"/>
        </w:rPr>
        <w:t>,</w:t>
      </w:r>
      <w:r w:rsidR="00F74E86">
        <w:rPr>
          <w:rFonts w:cstheme="minorHAnsi"/>
          <w:sz w:val="24"/>
          <w:szCs w:val="24"/>
          <w:lang w:eastAsia="lt-LT"/>
        </w:rPr>
        <w:t xml:space="preserve"> kiek </w:t>
      </w:r>
      <w:r w:rsidR="00E16F10">
        <w:rPr>
          <w:rFonts w:cstheme="minorHAnsi"/>
          <w:sz w:val="24"/>
          <w:szCs w:val="24"/>
          <w:lang w:eastAsia="lt-LT"/>
        </w:rPr>
        <w:t xml:space="preserve">tiksliai </w:t>
      </w:r>
      <w:r w:rsidR="00256F16">
        <w:rPr>
          <w:rFonts w:cstheme="minorHAnsi"/>
          <w:sz w:val="24"/>
          <w:szCs w:val="24"/>
          <w:lang w:eastAsia="lt-LT"/>
        </w:rPr>
        <w:t xml:space="preserve">pirkimo vykdytojas gali nustatyti </w:t>
      </w:r>
      <w:r w:rsidR="00F74E86">
        <w:rPr>
          <w:rFonts w:cstheme="minorHAnsi"/>
          <w:sz w:val="24"/>
          <w:szCs w:val="24"/>
          <w:lang w:eastAsia="lt-LT"/>
        </w:rPr>
        <w:t>planuojamų įsigyti darbų apimtis ir kiekius</w:t>
      </w:r>
      <w:r w:rsidR="00BB74B8">
        <w:rPr>
          <w:rFonts w:cstheme="minorHAnsi"/>
          <w:sz w:val="24"/>
          <w:szCs w:val="24"/>
          <w:lang w:eastAsia="lt-LT"/>
        </w:rPr>
        <w:t>:</w:t>
      </w:r>
    </w:p>
    <w:p w14:paraId="5D046803" w14:textId="2C146091" w:rsidR="00AD6621" w:rsidRDefault="00B8501F" w:rsidP="006877EE">
      <w:pPr>
        <w:pStyle w:val="ListParagraph"/>
        <w:numPr>
          <w:ilvl w:val="0"/>
          <w:numId w:val="5"/>
        </w:numPr>
        <w:spacing w:before="100" w:beforeAutospacing="1" w:after="100" w:afterAutospacing="1" w:line="240" w:lineRule="auto"/>
        <w:rPr>
          <w:rFonts w:cstheme="minorHAnsi"/>
          <w:sz w:val="24"/>
          <w:szCs w:val="24"/>
          <w:lang w:eastAsia="lt-LT"/>
        </w:rPr>
      </w:pPr>
      <w:r>
        <w:rPr>
          <w:rFonts w:cstheme="minorHAnsi"/>
          <w:sz w:val="24"/>
          <w:szCs w:val="24"/>
          <w:lang w:eastAsia="lt-LT"/>
        </w:rPr>
        <w:t>Jeigu perkam</w:t>
      </w:r>
      <w:r w:rsidR="00E55112">
        <w:rPr>
          <w:rFonts w:cstheme="minorHAnsi"/>
          <w:sz w:val="24"/>
          <w:szCs w:val="24"/>
          <w:lang w:eastAsia="lt-LT"/>
        </w:rPr>
        <w:t>ų</w:t>
      </w:r>
      <w:r>
        <w:rPr>
          <w:rFonts w:cstheme="minorHAnsi"/>
          <w:sz w:val="24"/>
          <w:szCs w:val="24"/>
          <w:lang w:eastAsia="lt-LT"/>
        </w:rPr>
        <w:t xml:space="preserve"> darb</w:t>
      </w:r>
      <w:r w:rsidR="00E55112">
        <w:rPr>
          <w:rFonts w:cstheme="minorHAnsi"/>
          <w:sz w:val="24"/>
          <w:szCs w:val="24"/>
          <w:lang w:eastAsia="lt-LT"/>
        </w:rPr>
        <w:t xml:space="preserve">ų apimtis ir kiekius pirkimo vykdytojas gali nustatyti tiksliai, tuomet </w:t>
      </w:r>
      <w:r w:rsidR="008F68F9" w:rsidRPr="00C70A75">
        <w:rPr>
          <w:rFonts w:cstheme="minorHAnsi"/>
          <w:b/>
          <w:bCs/>
          <w:sz w:val="24"/>
          <w:szCs w:val="24"/>
          <w:lang w:eastAsia="lt-LT"/>
        </w:rPr>
        <w:t>pradinė sutarties vertė bus lygi laimėjusio tiekėjo pasiūlymo kainai be PVM, apskaičiuotai sudauginus darbų kiekius iš laimėjusio tiekėjo pasiūlytų įkainių be PVM</w:t>
      </w:r>
      <w:r w:rsidR="008F68F9" w:rsidRPr="008F68F9">
        <w:rPr>
          <w:rFonts w:cstheme="minorHAnsi"/>
          <w:sz w:val="24"/>
          <w:szCs w:val="24"/>
          <w:lang w:eastAsia="lt-LT"/>
        </w:rPr>
        <w:t>.</w:t>
      </w:r>
      <w:r w:rsidR="00C746D3" w:rsidRPr="00DF563C">
        <w:rPr>
          <w:rFonts w:cstheme="minorHAnsi"/>
          <w:sz w:val="24"/>
          <w:szCs w:val="24"/>
          <w:lang w:eastAsia="lt-LT"/>
        </w:rPr>
        <w:t xml:space="preserve"> </w:t>
      </w:r>
      <w:r w:rsidR="00235B16">
        <w:rPr>
          <w:rFonts w:cstheme="minorHAnsi"/>
          <w:sz w:val="24"/>
          <w:szCs w:val="24"/>
          <w:lang w:eastAsia="lt-LT"/>
        </w:rPr>
        <w:t xml:space="preserve">Tuomet </w:t>
      </w:r>
      <w:r w:rsidR="00235B16" w:rsidRPr="00235B16">
        <w:rPr>
          <w:rFonts w:cstheme="minorHAnsi"/>
          <w:sz w:val="24"/>
          <w:szCs w:val="24"/>
          <w:lang w:eastAsia="lt-LT"/>
        </w:rPr>
        <w:t xml:space="preserve">tiekėjui </w:t>
      </w:r>
      <w:r w:rsidR="00627F6F">
        <w:rPr>
          <w:rFonts w:cstheme="minorHAnsi"/>
          <w:sz w:val="24"/>
          <w:szCs w:val="24"/>
          <w:lang w:eastAsia="lt-LT"/>
        </w:rPr>
        <w:t xml:space="preserve">mokama </w:t>
      </w:r>
      <w:r w:rsidR="00235B16" w:rsidRPr="00235B16">
        <w:rPr>
          <w:rFonts w:cstheme="minorHAnsi"/>
          <w:sz w:val="24"/>
          <w:szCs w:val="24"/>
          <w:lang w:eastAsia="lt-LT"/>
        </w:rPr>
        <w:t>už faktinį atliktų, sutartyje numatytų, darbų kiekį pagal darbų įkainius, neviršijant pradinės sutarties vertės</w:t>
      </w:r>
      <w:r w:rsidR="008542BA">
        <w:rPr>
          <w:rFonts w:cstheme="minorHAnsi"/>
          <w:sz w:val="24"/>
          <w:szCs w:val="24"/>
          <w:lang w:eastAsia="lt-LT"/>
        </w:rPr>
        <w:t>, o</w:t>
      </w:r>
      <w:r w:rsidR="008542BA" w:rsidRPr="008542BA">
        <w:t xml:space="preserve"> </w:t>
      </w:r>
      <w:r w:rsidR="00AC4B72">
        <w:rPr>
          <w:rFonts w:cstheme="minorHAnsi"/>
          <w:sz w:val="24"/>
          <w:szCs w:val="24"/>
          <w:lang w:eastAsia="lt-LT"/>
        </w:rPr>
        <w:t>d</w:t>
      </w:r>
      <w:r w:rsidR="008542BA" w:rsidRPr="008542BA">
        <w:rPr>
          <w:rFonts w:cstheme="minorHAnsi"/>
          <w:sz w:val="24"/>
          <w:szCs w:val="24"/>
          <w:lang w:eastAsia="lt-LT"/>
        </w:rPr>
        <w:t xml:space="preserve">arbai, viršijantys </w:t>
      </w:r>
      <w:r w:rsidR="00AC4B72">
        <w:rPr>
          <w:rFonts w:cstheme="minorHAnsi"/>
          <w:sz w:val="24"/>
          <w:szCs w:val="24"/>
          <w:lang w:eastAsia="lt-LT"/>
        </w:rPr>
        <w:t>pradinę vertę</w:t>
      </w:r>
      <w:r w:rsidR="008542BA" w:rsidRPr="008542BA">
        <w:rPr>
          <w:rFonts w:cstheme="minorHAnsi"/>
          <w:sz w:val="24"/>
          <w:szCs w:val="24"/>
          <w:lang w:eastAsia="lt-LT"/>
        </w:rPr>
        <w:t>, turi būti įsigyjami atliekant sutarties keitimą</w:t>
      </w:r>
      <w:r w:rsidR="006877EE">
        <w:rPr>
          <w:rFonts w:cstheme="minorHAnsi"/>
          <w:sz w:val="24"/>
          <w:szCs w:val="24"/>
          <w:lang w:eastAsia="lt-LT"/>
        </w:rPr>
        <w:t xml:space="preserve"> (detaliau </w:t>
      </w:r>
      <w:bookmarkStart w:id="0" w:name="_Hlk162531013"/>
      <w:r w:rsidR="006877EE">
        <w:rPr>
          <w:rFonts w:cstheme="minorHAnsi"/>
          <w:sz w:val="24"/>
          <w:szCs w:val="24"/>
          <w:lang w:eastAsia="lt-LT"/>
        </w:rPr>
        <w:fldChar w:fldCharType="begin"/>
      </w:r>
      <w:r w:rsidR="006877EE">
        <w:rPr>
          <w:rFonts w:cstheme="minorHAnsi"/>
          <w:sz w:val="24"/>
          <w:szCs w:val="24"/>
          <w:lang w:eastAsia="lt-LT"/>
        </w:rPr>
        <w:instrText>HYPERLINK "https://e-seimas.lrs.lt/portal/legalAct/lt/TAD/daa0e4a05c3c11e7a53b83ca0142260e/asr"</w:instrText>
      </w:r>
      <w:r w:rsidR="006877EE">
        <w:rPr>
          <w:rFonts w:cstheme="minorHAnsi"/>
          <w:sz w:val="24"/>
          <w:szCs w:val="24"/>
          <w:lang w:eastAsia="lt-LT"/>
        </w:rPr>
      </w:r>
      <w:r w:rsidR="006877EE">
        <w:rPr>
          <w:rFonts w:cstheme="minorHAnsi"/>
          <w:sz w:val="24"/>
          <w:szCs w:val="24"/>
          <w:lang w:eastAsia="lt-LT"/>
        </w:rPr>
        <w:fldChar w:fldCharType="separate"/>
      </w:r>
      <w:r w:rsidR="006877EE" w:rsidRPr="006877EE">
        <w:rPr>
          <w:rStyle w:val="Hyperlink"/>
          <w:rFonts w:cstheme="minorHAnsi"/>
          <w:sz w:val="24"/>
          <w:szCs w:val="24"/>
          <w:lang w:eastAsia="lt-LT"/>
        </w:rPr>
        <w:t>Kainodaros taisyklių nustatymo metodikos</w:t>
      </w:r>
      <w:r w:rsidR="006877EE">
        <w:rPr>
          <w:rFonts w:cstheme="minorHAnsi"/>
          <w:sz w:val="24"/>
          <w:szCs w:val="24"/>
          <w:lang w:eastAsia="lt-LT"/>
        </w:rPr>
        <w:fldChar w:fldCharType="end"/>
      </w:r>
      <w:bookmarkEnd w:id="0"/>
      <w:r w:rsidR="006877EE">
        <w:rPr>
          <w:rFonts w:cstheme="minorHAnsi"/>
          <w:sz w:val="24"/>
          <w:szCs w:val="24"/>
          <w:lang w:eastAsia="lt-LT"/>
        </w:rPr>
        <w:t xml:space="preserve"> </w:t>
      </w:r>
      <w:r w:rsidR="006877EE" w:rsidRPr="006877EE">
        <w:rPr>
          <w:rFonts w:cstheme="minorHAnsi"/>
          <w:sz w:val="24"/>
          <w:szCs w:val="24"/>
          <w:lang w:eastAsia="lt-LT"/>
        </w:rPr>
        <w:t>3</w:t>
      </w:r>
      <w:r w:rsidR="006877EE">
        <w:rPr>
          <w:rFonts w:cstheme="minorHAnsi"/>
          <w:sz w:val="24"/>
          <w:szCs w:val="24"/>
          <w:lang w:eastAsia="lt-LT"/>
        </w:rPr>
        <w:t>6.1 papunktis);</w:t>
      </w:r>
    </w:p>
    <w:p w14:paraId="51A77691" w14:textId="5B1D2238" w:rsidR="00430751" w:rsidRDefault="0000454E" w:rsidP="00193BA4">
      <w:pPr>
        <w:pStyle w:val="ListParagraph"/>
        <w:numPr>
          <w:ilvl w:val="0"/>
          <w:numId w:val="5"/>
        </w:numPr>
        <w:spacing w:before="100" w:beforeAutospacing="1" w:after="100" w:afterAutospacing="1" w:line="240" w:lineRule="auto"/>
        <w:rPr>
          <w:rFonts w:cstheme="minorHAnsi"/>
          <w:sz w:val="24"/>
          <w:szCs w:val="24"/>
          <w:lang w:eastAsia="lt-LT"/>
        </w:rPr>
      </w:pPr>
      <w:r>
        <w:rPr>
          <w:rFonts w:cstheme="minorHAnsi"/>
          <w:sz w:val="24"/>
          <w:szCs w:val="24"/>
          <w:lang w:eastAsia="lt-LT"/>
        </w:rPr>
        <w:t xml:space="preserve">Jeigu perkamų darbų apimčių ir kiekių pirkimo vykdytojas negali tiksliai </w:t>
      </w:r>
      <w:r w:rsidR="0097367B">
        <w:rPr>
          <w:rFonts w:cstheme="minorHAnsi"/>
          <w:sz w:val="24"/>
          <w:szCs w:val="24"/>
          <w:lang w:eastAsia="lt-LT"/>
        </w:rPr>
        <w:t xml:space="preserve">prognozuoti, tuomet </w:t>
      </w:r>
      <w:r w:rsidR="001F0140" w:rsidRPr="00C70A75">
        <w:rPr>
          <w:rFonts w:cstheme="minorHAnsi"/>
          <w:b/>
          <w:bCs/>
          <w:sz w:val="24"/>
          <w:szCs w:val="24"/>
          <w:lang w:eastAsia="lt-LT"/>
        </w:rPr>
        <w:t>pradinė sutarties vertė bus lygi maksimaliai pirkimui skirtai lėšų sumai be PVM</w:t>
      </w:r>
      <w:r w:rsidR="00CA2164" w:rsidRPr="00C70A75">
        <w:rPr>
          <w:rFonts w:cstheme="minorHAnsi"/>
          <w:b/>
          <w:bCs/>
          <w:sz w:val="24"/>
          <w:szCs w:val="24"/>
          <w:lang w:eastAsia="lt-LT"/>
        </w:rPr>
        <w:t>.</w:t>
      </w:r>
      <w:r w:rsidR="00CA2164">
        <w:rPr>
          <w:rFonts w:cstheme="minorHAnsi"/>
          <w:sz w:val="24"/>
          <w:szCs w:val="24"/>
          <w:lang w:eastAsia="lt-LT"/>
        </w:rPr>
        <w:t xml:space="preserve"> Tuomet tiek</w:t>
      </w:r>
      <w:r w:rsidR="00FE41E9">
        <w:rPr>
          <w:rFonts w:cstheme="minorHAnsi"/>
          <w:sz w:val="24"/>
          <w:szCs w:val="24"/>
          <w:lang w:eastAsia="lt-LT"/>
        </w:rPr>
        <w:t>ė</w:t>
      </w:r>
      <w:r w:rsidR="00CA2164">
        <w:rPr>
          <w:rFonts w:cstheme="minorHAnsi"/>
          <w:sz w:val="24"/>
          <w:szCs w:val="24"/>
          <w:lang w:eastAsia="lt-LT"/>
        </w:rPr>
        <w:t>jui mokama u</w:t>
      </w:r>
      <w:r w:rsidR="00FE41E9">
        <w:rPr>
          <w:rFonts w:cstheme="minorHAnsi"/>
          <w:sz w:val="24"/>
          <w:szCs w:val="24"/>
          <w:lang w:eastAsia="lt-LT"/>
        </w:rPr>
        <w:t xml:space="preserve">ž faktinį </w:t>
      </w:r>
      <w:r w:rsidR="00E63DE7" w:rsidRPr="001F0140">
        <w:rPr>
          <w:rFonts w:cstheme="minorHAnsi"/>
          <w:sz w:val="24"/>
          <w:szCs w:val="24"/>
          <w:lang w:eastAsia="lt-LT"/>
        </w:rPr>
        <w:t xml:space="preserve">pirkimo dokumentuose ir sutartyje nurodytų darbų </w:t>
      </w:r>
      <w:r w:rsidR="00E63DE7">
        <w:rPr>
          <w:rFonts w:cstheme="minorHAnsi"/>
          <w:sz w:val="24"/>
          <w:szCs w:val="24"/>
          <w:lang w:eastAsia="lt-LT"/>
        </w:rPr>
        <w:t>kiekį</w:t>
      </w:r>
      <w:r w:rsidR="005C04B9">
        <w:rPr>
          <w:rFonts w:cstheme="minorHAnsi"/>
          <w:sz w:val="24"/>
          <w:szCs w:val="24"/>
          <w:lang w:eastAsia="lt-LT"/>
        </w:rPr>
        <w:t xml:space="preserve">, </w:t>
      </w:r>
      <w:r w:rsidR="00FE389C" w:rsidRPr="00FE389C">
        <w:rPr>
          <w:rFonts w:cstheme="minorHAnsi"/>
          <w:sz w:val="24"/>
          <w:szCs w:val="24"/>
          <w:lang w:eastAsia="lt-LT"/>
        </w:rPr>
        <w:t>pagal tiekėjo pasiūlytą įkainį, neviršijant maksimalios pirkimui skirtos lėšų sumos</w:t>
      </w:r>
      <w:r w:rsidR="00193BA4">
        <w:rPr>
          <w:rFonts w:cstheme="minorHAnsi"/>
          <w:sz w:val="24"/>
          <w:szCs w:val="24"/>
          <w:lang w:eastAsia="lt-LT"/>
        </w:rPr>
        <w:t xml:space="preserve"> (detaliau </w:t>
      </w:r>
      <w:hyperlink r:id="rId8" w:history="1">
        <w:r w:rsidR="00193BA4" w:rsidRPr="00193BA4">
          <w:rPr>
            <w:rStyle w:val="Hyperlink"/>
            <w:rFonts w:cstheme="minorHAnsi"/>
            <w:sz w:val="24"/>
            <w:szCs w:val="24"/>
            <w:lang w:eastAsia="lt-LT"/>
          </w:rPr>
          <w:t>Kainodaros taisyklių nustatymo metodikos</w:t>
        </w:r>
      </w:hyperlink>
      <w:r w:rsidR="00193BA4">
        <w:rPr>
          <w:rFonts w:cstheme="minorHAnsi"/>
          <w:sz w:val="24"/>
          <w:szCs w:val="24"/>
          <w:lang w:eastAsia="lt-LT"/>
        </w:rPr>
        <w:t xml:space="preserve"> </w:t>
      </w:r>
      <w:r w:rsidR="00193BA4" w:rsidRPr="00193BA4">
        <w:rPr>
          <w:rFonts w:cstheme="minorHAnsi"/>
          <w:sz w:val="24"/>
          <w:szCs w:val="24"/>
          <w:lang w:eastAsia="lt-LT"/>
        </w:rPr>
        <w:t>36</w:t>
      </w:r>
      <w:r w:rsidR="00193BA4">
        <w:rPr>
          <w:rFonts w:cstheme="minorHAnsi"/>
          <w:sz w:val="24"/>
          <w:szCs w:val="24"/>
          <w:lang w:eastAsia="lt-LT"/>
        </w:rPr>
        <w:t>.2 papunktis)</w:t>
      </w:r>
      <w:r w:rsidR="00FE389C" w:rsidRPr="00FE389C">
        <w:rPr>
          <w:rFonts w:cstheme="minorHAnsi"/>
          <w:sz w:val="24"/>
          <w:szCs w:val="24"/>
          <w:lang w:eastAsia="lt-LT"/>
        </w:rPr>
        <w:t>.</w:t>
      </w:r>
      <w:r w:rsidR="00FE41E9">
        <w:rPr>
          <w:rFonts w:cstheme="minorHAnsi"/>
          <w:sz w:val="24"/>
          <w:szCs w:val="24"/>
          <w:lang w:eastAsia="lt-LT"/>
        </w:rPr>
        <w:t xml:space="preserve"> </w:t>
      </w:r>
    </w:p>
    <w:p w14:paraId="27856BE4" w14:textId="3A5DBBBA" w:rsidR="00144E8A" w:rsidRDefault="000F08E5" w:rsidP="00193BA4">
      <w:pPr>
        <w:spacing w:before="100" w:beforeAutospacing="1" w:after="100" w:afterAutospacing="1" w:line="240" w:lineRule="auto"/>
        <w:ind w:firstLine="567"/>
        <w:rPr>
          <w:rFonts w:cstheme="minorHAnsi"/>
          <w:sz w:val="24"/>
          <w:szCs w:val="24"/>
          <w:lang w:eastAsia="lt-LT"/>
        </w:rPr>
      </w:pPr>
      <w:r>
        <w:rPr>
          <w:rFonts w:cstheme="minorHAnsi"/>
          <w:sz w:val="24"/>
          <w:szCs w:val="24"/>
          <w:lang w:eastAsia="lt-LT"/>
        </w:rPr>
        <w:t xml:space="preserve">Pagal </w:t>
      </w:r>
      <w:r w:rsidR="001F0140" w:rsidRPr="00430751">
        <w:rPr>
          <w:rFonts w:cstheme="minorHAnsi"/>
          <w:sz w:val="24"/>
          <w:szCs w:val="24"/>
          <w:lang w:eastAsia="lt-LT"/>
        </w:rPr>
        <w:t xml:space="preserve"> </w:t>
      </w:r>
      <w:r>
        <w:rPr>
          <w:rFonts w:cstheme="minorHAnsi"/>
          <w:sz w:val="24"/>
          <w:szCs w:val="24"/>
          <w:lang w:eastAsia="lt-LT"/>
        </w:rPr>
        <w:t xml:space="preserve">Sutarties projekto </w:t>
      </w:r>
      <w:r w:rsidR="008F3409" w:rsidRPr="008F3409">
        <w:rPr>
          <w:rFonts w:cstheme="minorHAnsi"/>
          <w:sz w:val="24"/>
          <w:szCs w:val="24"/>
          <w:lang w:eastAsia="lt-LT"/>
        </w:rPr>
        <w:t>3.2, 3.3 papunkčius</w:t>
      </w:r>
      <w:r w:rsidR="00193BA4">
        <w:rPr>
          <w:rFonts w:cstheme="minorHAnsi"/>
          <w:sz w:val="24"/>
          <w:szCs w:val="24"/>
          <w:lang w:eastAsia="lt-LT"/>
        </w:rPr>
        <w:t>,</w:t>
      </w:r>
      <w:r w:rsidR="008F3409" w:rsidRPr="008F3409">
        <w:rPr>
          <w:rFonts w:cstheme="minorHAnsi"/>
          <w:sz w:val="24"/>
          <w:szCs w:val="24"/>
          <w:lang w:eastAsia="lt-LT"/>
        </w:rPr>
        <w:t xml:space="preserve"> nėra </w:t>
      </w:r>
      <w:r w:rsidR="008F3409">
        <w:rPr>
          <w:rFonts w:cstheme="minorHAnsi"/>
          <w:sz w:val="24"/>
          <w:szCs w:val="24"/>
          <w:lang w:eastAsia="lt-LT"/>
        </w:rPr>
        <w:t>vienareikšmiškai aišku</w:t>
      </w:r>
      <w:r w:rsidR="00B46430">
        <w:rPr>
          <w:rFonts w:cstheme="minorHAnsi"/>
          <w:sz w:val="24"/>
          <w:szCs w:val="24"/>
          <w:lang w:eastAsia="lt-LT"/>
        </w:rPr>
        <w:t>,</w:t>
      </w:r>
      <w:r w:rsidR="008F3409">
        <w:rPr>
          <w:rFonts w:cstheme="minorHAnsi"/>
          <w:sz w:val="24"/>
          <w:szCs w:val="24"/>
          <w:lang w:eastAsia="lt-LT"/>
        </w:rPr>
        <w:t xml:space="preserve"> </w:t>
      </w:r>
      <w:r w:rsidR="00193BA4">
        <w:rPr>
          <w:rFonts w:cstheme="minorHAnsi"/>
          <w:sz w:val="24"/>
          <w:szCs w:val="24"/>
          <w:lang w:eastAsia="lt-LT"/>
        </w:rPr>
        <w:t xml:space="preserve">kokias fiksuoto įkainio taisykles </w:t>
      </w:r>
      <w:r w:rsidR="009C22BC">
        <w:rPr>
          <w:rFonts w:cstheme="minorHAnsi"/>
          <w:sz w:val="24"/>
          <w:szCs w:val="24"/>
          <w:lang w:eastAsia="lt-LT"/>
        </w:rPr>
        <w:t xml:space="preserve">pradinei sutarties vertei apibrėžti pasirinko Perkančioji organizacija. </w:t>
      </w:r>
      <w:r w:rsidR="00A9364A">
        <w:rPr>
          <w:rFonts w:cstheme="minorHAnsi"/>
          <w:sz w:val="24"/>
          <w:szCs w:val="24"/>
          <w:lang w:eastAsia="lt-LT"/>
        </w:rPr>
        <w:t xml:space="preserve">Tarnyba rekomenduoja patikslinti Sutarties projekto </w:t>
      </w:r>
      <w:r w:rsidR="00A9364A" w:rsidRPr="00A9364A">
        <w:rPr>
          <w:rFonts w:cstheme="minorHAnsi"/>
          <w:sz w:val="24"/>
          <w:szCs w:val="24"/>
          <w:lang w:eastAsia="lt-LT"/>
        </w:rPr>
        <w:t>3.2, 3.3 papunk</w:t>
      </w:r>
      <w:r w:rsidR="00A9364A">
        <w:rPr>
          <w:rFonts w:cstheme="minorHAnsi"/>
          <w:sz w:val="24"/>
          <w:szCs w:val="24"/>
          <w:lang w:eastAsia="lt-LT"/>
        </w:rPr>
        <w:t>čius, aišk</w:t>
      </w:r>
      <w:r w:rsidR="00144E8A">
        <w:rPr>
          <w:rFonts w:cstheme="minorHAnsi"/>
          <w:sz w:val="24"/>
          <w:szCs w:val="24"/>
          <w:lang w:eastAsia="lt-LT"/>
        </w:rPr>
        <w:t>iai nurodant</w:t>
      </w:r>
      <w:r w:rsidR="00B46430">
        <w:rPr>
          <w:rFonts w:cstheme="minorHAnsi"/>
          <w:sz w:val="24"/>
          <w:szCs w:val="24"/>
          <w:lang w:eastAsia="lt-LT"/>
        </w:rPr>
        <w:t>,</w:t>
      </w:r>
      <w:r w:rsidR="00144E8A">
        <w:rPr>
          <w:rFonts w:cstheme="minorHAnsi"/>
          <w:sz w:val="24"/>
          <w:szCs w:val="24"/>
          <w:lang w:eastAsia="lt-LT"/>
        </w:rPr>
        <w:t xml:space="preserve"> k</w:t>
      </w:r>
      <w:r w:rsidR="00CD2A5F">
        <w:rPr>
          <w:rFonts w:cstheme="minorHAnsi"/>
          <w:sz w:val="24"/>
          <w:szCs w:val="24"/>
          <w:lang w:eastAsia="lt-LT"/>
        </w:rPr>
        <w:t xml:space="preserve">as laikytina šios Sutarties </w:t>
      </w:r>
      <w:r w:rsidR="00271983">
        <w:rPr>
          <w:rFonts w:cstheme="minorHAnsi"/>
          <w:b/>
          <w:bCs/>
          <w:sz w:val="24"/>
          <w:szCs w:val="24"/>
          <w:lang w:eastAsia="lt-LT"/>
        </w:rPr>
        <w:t>p</w:t>
      </w:r>
      <w:r w:rsidR="00CD2A5F" w:rsidRPr="00271983">
        <w:rPr>
          <w:rFonts w:cstheme="minorHAnsi"/>
          <w:b/>
          <w:bCs/>
          <w:sz w:val="24"/>
          <w:szCs w:val="24"/>
          <w:lang w:eastAsia="lt-LT"/>
        </w:rPr>
        <w:t>radine verte</w:t>
      </w:r>
      <w:r w:rsidR="00CD2A5F">
        <w:rPr>
          <w:rFonts w:cstheme="minorHAnsi"/>
          <w:sz w:val="24"/>
          <w:szCs w:val="24"/>
          <w:lang w:eastAsia="lt-LT"/>
        </w:rPr>
        <w:t>:</w:t>
      </w:r>
      <w:r w:rsidR="00BA4549">
        <w:rPr>
          <w:rFonts w:cstheme="minorHAnsi"/>
          <w:sz w:val="24"/>
          <w:szCs w:val="24"/>
          <w:lang w:eastAsia="lt-LT"/>
        </w:rPr>
        <w:t xml:space="preserve"> </w:t>
      </w:r>
      <w:r w:rsidR="00CD2A5F">
        <w:rPr>
          <w:rFonts w:cstheme="minorHAnsi"/>
          <w:sz w:val="24"/>
          <w:szCs w:val="24"/>
          <w:lang w:eastAsia="lt-LT"/>
        </w:rPr>
        <w:t>i) ar</w:t>
      </w:r>
      <w:r w:rsidR="00CD2A5F" w:rsidRPr="00CD2A5F">
        <w:t xml:space="preserve"> </w:t>
      </w:r>
      <w:r w:rsidR="00CD2A5F" w:rsidRPr="00CD2A5F">
        <w:rPr>
          <w:rFonts w:cstheme="minorHAnsi"/>
          <w:sz w:val="24"/>
          <w:szCs w:val="24"/>
          <w:lang w:eastAsia="lt-LT"/>
        </w:rPr>
        <w:t>pradinė sutarties vertė bus lygi laimėjusio tiekėjo pasiūlymo kainai be PVM, apskaičiuotai sudauginus darbų kiekius iš laimėjusio tiekėjo pasiūlytų įkainių be PVM</w:t>
      </w:r>
      <w:r w:rsidR="00CD2A5F">
        <w:rPr>
          <w:rFonts w:cstheme="minorHAnsi"/>
          <w:sz w:val="24"/>
          <w:szCs w:val="24"/>
          <w:lang w:eastAsia="lt-LT"/>
        </w:rPr>
        <w:t xml:space="preserve">, ar  </w:t>
      </w:r>
      <w:r w:rsidR="00BA4549">
        <w:rPr>
          <w:rFonts w:cstheme="minorHAnsi"/>
          <w:sz w:val="24"/>
          <w:szCs w:val="24"/>
          <w:lang w:eastAsia="lt-LT"/>
        </w:rPr>
        <w:t xml:space="preserve">ii) </w:t>
      </w:r>
      <w:r w:rsidR="00BA4549" w:rsidRPr="00BA4549">
        <w:rPr>
          <w:rFonts w:cstheme="minorHAnsi"/>
          <w:sz w:val="24"/>
          <w:szCs w:val="24"/>
          <w:lang w:eastAsia="lt-LT"/>
        </w:rPr>
        <w:t>pradinė sutarties vertė bus lygi maksimaliai pirkimui skirtai lėšų sumai be PVM</w:t>
      </w:r>
      <w:r w:rsidR="00BA4549">
        <w:rPr>
          <w:rFonts w:cstheme="minorHAnsi"/>
          <w:sz w:val="24"/>
          <w:szCs w:val="24"/>
          <w:lang w:eastAsia="lt-LT"/>
        </w:rPr>
        <w:t>.</w:t>
      </w:r>
      <w:r w:rsidR="00762459">
        <w:rPr>
          <w:rFonts w:cstheme="minorHAnsi"/>
          <w:sz w:val="24"/>
          <w:szCs w:val="24"/>
          <w:lang w:eastAsia="lt-LT"/>
        </w:rPr>
        <w:t xml:space="preserve"> Atkreiptinas Perkančiosios organizacijos dėmesys, jog Sutarties projekte </w:t>
      </w:r>
      <w:r w:rsidR="00435026">
        <w:rPr>
          <w:rFonts w:cstheme="minorHAnsi"/>
          <w:sz w:val="24"/>
          <w:szCs w:val="24"/>
          <w:lang w:eastAsia="lt-LT"/>
        </w:rPr>
        <w:t xml:space="preserve">rekomenduotina aiškiai </w:t>
      </w:r>
      <w:r w:rsidR="00435026">
        <w:rPr>
          <w:rFonts w:cstheme="minorHAnsi"/>
          <w:sz w:val="24"/>
          <w:szCs w:val="24"/>
          <w:lang w:eastAsia="lt-LT"/>
        </w:rPr>
        <w:lastRenderedPageBreak/>
        <w:t xml:space="preserve">nurodyti, jog </w:t>
      </w:r>
      <w:r w:rsidR="004F0C99">
        <w:rPr>
          <w:rFonts w:cstheme="minorHAnsi"/>
          <w:sz w:val="24"/>
          <w:szCs w:val="24"/>
          <w:lang w:eastAsia="lt-LT"/>
        </w:rPr>
        <w:t xml:space="preserve">tiekėjui mokama </w:t>
      </w:r>
      <w:r w:rsidR="00E013C1">
        <w:rPr>
          <w:rFonts w:cstheme="minorHAnsi"/>
          <w:sz w:val="24"/>
          <w:szCs w:val="24"/>
          <w:lang w:eastAsia="lt-LT"/>
        </w:rPr>
        <w:t xml:space="preserve">už </w:t>
      </w:r>
      <w:r w:rsidR="007D4B3E">
        <w:rPr>
          <w:rFonts w:cstheme="minorHAnsi"/>
          <w:sz w:val="24"/>
          <w:szCs w:val="24"/>
          <w:lang w:eastAsia="lt-LT"/>
        </w:rPr>
        <w:t>faktiškai atliktų darbų kiekį</w:t>
      </w:r>
      <w:r w:rsidR="006A2E14">
        <w:rPr>
          <w:rFonts w:cstheme="minorHAnsi"/>
          <w:sz w:val="24"/>
          <w:szCs w:val="24"/>
          <w:lang w:eastAsia="lt-LT"/>
        </w:rPr>
        <w:t xml:space="preserve">, pagal tiekėjo pasiūlytą fiksuotą įkainį, </w:t>
      </w:r>
      <w:r w:rsidR="006A2E14" w:rsidRPr="0008132F">
        <w:rPr>
          <w:rFonts w:cstheme="minorHAnsi"/>
          <w:b/>
          <w:bCs/>
          <w:sz w:val="24"/>
          <w:szCs w:val="24"/>
          <w:lang w:eastAsia="lt-LT"/>
        </w:rPr>
        <w:t xml:space="preserve">neviršijant </w:t>
      </w:r>
      <w:r w:rsidR="0008132F" w:rsidRPr="0008132F">
        <w:rPr>
          <w:rFonts w:cstheme="minorHAnsi"/>
          <w:b/>
          <w:bCs/>
          <w:sz w:val="24"/>
          <w:szCs w:val="24"/>
          <w:lang w:eastAsia="lt-LT"/>
        </w:rPr>
        <w:t>pradinės sutarties vertės</w:t>
      </w:r>
      <w:r w:rsidR="0008132F">
        <w:rPr>
          <w:rFonts w:cstheme="minorHAnsi"/>
          <w:sz w:val="24"/>
          <w:szCs w:val="24"/>
          <w:lang w:eastAsia="lt-LT"/>
        </w:rPr>
        <w:t>.</w:t>
      </w:r>
    </w:p>
    <w:p w14:paraId="09D82B99" w14:textId="388D4C27" w:rsidR="0008132F" w:rsidRPr="0052420E" w:rsidRDefault="00DE5A24" w:rsidP="0008132F">
      <w:pPr>
        <w:pStyle w:val="ListParagraph"/>
        <w:numPr>
          <w:ilvl w:val="0"/>
          <w:numId w:val="4"/>
        </w:numPr>
        <w:spacing w:before="100" w:beforeAutospacing="1" w:after="100" w:afterAutospacing="1" w:line="240" w:lineRule="auto"/>
        <w:rPr>
          <w:rFonts w:cstheme="minorHAnsi"/>
          <w:b/>
          <w:bCs/>
          <w:sz w:val="24"/>
          <w:szCs w:val="24"/>
          <w:lang w:val="en-US" w:eastAsia="lt-LT"/>
        </w:rPr>
      </w:pPr>
      <w:r w:rsidRPr="0052420E">
        <w:rPr>
          <w:rFonts w:cstheme="minorHAnsi"/>
          <w:b/>
          <w:bCs/>
          <w:sz w:val="24"/>
          <w:szCs w:val="24"/>
          <w:lang w:val="en-US" w:eastAsia="lt-LT"/>
        </w:rPr>
        <w:t>D</w:t>
      </w:r>
      <w:r w:rsidRPr="0052420E">
        <w:rPr>
          <w:rFonts w:cstheme="minorHAnsi"/>
          <w:b/>
          <w:bCs/>
          <w:sz w:val="24"/>
          <w:szCs w:val="24"/>
          <w:lang w:eastAsia="lt-LT"/>
        </w:rPr>
        <w:t xml:space="preserve">ėl </w:t>
      </w:r>
      <w:r w:rsidR="0052420E" w:rsidRPr="0052420E">
        <w:rPr>
          <w:rFonts w:cstheme="minorHAnsi"/>
          <w:b/>
          <w:bCs/>
          <w:sz w:val="24"/>
          <w:szCs w:val="24"/>
          <w:lang w:eastAsia="lt-LT"/>
        </w:rPr>
        <w:t>kitų Sutarties projekto nuostatų</w:t>
      </w:r>
    </w:p>
    <w:p w14:paraId="60C4BFFA" w14:textId="401CAAB6" w:rsidR="00414401" w:rsidRDefault="00D42A4F" w:rsidP="00EC28BD">
      <w:pPr>
        <w:spacing w:before="100" w:beforeAutospacing="1" w:after="100" w:afterAutospacing="1" w:line="240" w:lineRule="auto"/>
        <w:ind w:firstLine="567"/>
        <w:rPr>
          <w:rFonts w:cstheme="minorHAnsi"/>
          <w:sz w:val="24"/>
          <w:szCs w:val="24"/>
          <w:lang w:eastAsia="lt-LT"/>
        </w:rPr>
      </w:pPr>
      <w:r>
        <w:rPr>
          <w:rFonts w:cstheme="minorHAnsi"/>
          <w:sz w:val="24"/>
          <w:szCs w:val="24"/>
          <w:lang w:eastAsia="lt-LT"/>
        </w:rPr>
        <w:t xml:space="preserve">2.1 </w:t>
      </w:r>
      <w:r w:rsidR="002D65AD">
        <w:rPr>
          <w:rFonts w:cstheme="minorHAnsi"/>
          <w:sz w:val="24"/>
          <w:szCs w:val="24"/>
          <w:lang w:eastAsia="lt-LT"/>
        </w:rPr>
        <w:t>Vadovaujantis Įstatymo 87 straipsnio 2 dalies 7 punk</w:t>
      </w:r>
      <w:r w:rsidR="00A70A01">
        <w:rPr>
          <w:rFonts w:cstheme="minorHAnsi"/>
          <w:sz w:val="24"/>
          <w:szCs w:val="24"/>
          <w:lang w:eastAsia="lt-LT"/>
        </w:rPr>
        <w:t>t</w:t>
      </w:r>
      <w:r w:rsidR="002D65AD">
        <w:rPr>
          <w:rFonts w:cstheme="minorHAnsi"/>
          <w:sz w:val="24"/>
          <w:szCs w:val="24"/>
          <w:lang w:eastAsia="lt-LT"/>
        </w:rPr>
        <w:t>u (</w:t>
      </w:r>
      <w:hyperlink r:id="rId9" w:history="1">
        <w:r w:rsidR="00EC28BD" w:rsidRPr="00EC28BD">
          <w:rPr>
            <w:rStyle w:val="Hyperlink"/>
            <w:rFonts w:cstheme="minorHAnsi"/>
            <w:sz w:val="24"/>
            <w:szCs w:val="24"/>
            <w:lang w:eastAsia="lt-LT"/>
          </w:rPr>
          <w:t>Kainodaros taisyklių nustatymo metodikos</w:t>
        </w:r>
      </w:hyperlink>
      <w:r w:rsidR="00EC28BD">
        <w:rPr>
          <w:rFonts w:cstheme="minorHAnsi"/>
          <w:sz w:val="24"/>
          <w:szCs w:val="24"/>
          <w:lang w:eastAsia="lt-LT"/>
        </w:rPr>
        <w:t xml:space="preserve"> </w:t>
      </w:r>
      <w:r w:rsidRPr="00D42A4F">
        <w:rPr>
          <w:rFonts w:cstheme="minorHAnsi"/>
          <w:sz w:val="24"/>
          <w:szCs w:val="24"/>
          <w:lang w:eastAsia="lt-LT"/>
        </w:rPr>
        <w:t>54</w:t>
      </w:r>
      <w:r w:rsidR="00EC28BD">
        <w:rPr>
          <w:rFonts w:cstheme="minorHAnsi"/>
          <w:sz w:val="24"/>
          <w:szCs w:val="24"/>
          <w:lang w:eastAsia="lt-LT"/>
        </w:rPr>
        <w:t xml:space="preserve"> punkt</w:t>
      </w:r>
      <w:r w:rsidR="00A70A01">
        <w:rPr>
          <w:rFonts w:cstheme="minorHAnsi"/>
          <w:sz w:val="24"/>
          <w:szCs w:val="24"/>
          <w:lang w:eastAsia="lt-LT"/>
        </w:rPr>
        <w:t>u)</w:t>
      </w:r>
      <w:r w:rsidR="00EC28BD">
        <w:rPr>
          <w:rFonts w:cstheme="minorHAnsi"/>
          <w:sz w:val="24"/>
          <w:szCs w:val="24"/>
          <w:lang w:eastAsia="lt-LT"/>
        </w:rPr>
        <w:t>, p</w:t>
      </w:r>
      <w:r w:rsidRPr="00D42A4F">
        <w:rPr>
          <w:rFonts w:cstheme="minorHAnsi"/>
          <w:sz w:val="24"/>
          <w:szCs w:val="24"/>
          <w:lang w:eastAsia="lt-LT"/>
        </w:rPr>
        <w:t>irkimų vykdytojas privalo numatyti su mokesčių pasikeitimu nesusijusią sutarties kainos peržiūros sąlygą, kai prekių tiekimo, paslaugų teikimo ar darbų atlikimo trukmė kartu su numatytu sutarties pratęsimu yra ilgesnė negu 6 (šeši) mėnesiai.</w:t>
      </w:r>
    </w:p>
    <w:p w14:paraId="5E902777" w14:textId="454BFED3" w:rsidR="003F7F29" w:rsidRDefault="006B6EBE" w:rsidP="003F7F29">
      <w:pPr>
        <w:spacing w:before="100" w:beforeAutospacing="1" w:after="100" w:afterAutospacing="1" w:line="240" w:lineRule="auto"/>
        <w:ind w:firstLine="567"/>
        <w:rPr>
          <w:rFonts w:cstheme="minorHAnsi"/>
          <w:sz w:val="24"/>
          <w:szCs w:val="24"/>
          <w:lang w:eastAsia="lt-LT"/>
        </w:rPr>
      </w:pPr>
      <w:r>
        <w:rPr>
          <w:rFonts w:cstheme="minorHAnsi"/>
          <w:sz w:val="24"/>
          <w:szCs w:val="24"/>
          <w:lang w:eastAsia="lt-LT"/>
        </w:rPr>
        <w:t xml:space="preserve">Atsižvelgiant į tai, jog nagrinėjamu atveju darbų trukmės terminas yra </w:t>
      </w:r>
      <w:r w:rsidRPr="006B6EBE">
        <w:rPr>
          <w:rFonts w:cstheme="minorHAnsi"/>
          <w:sz w:val="24"/>
          <w:szCs w:val="24"/>
          <w:lang w:eastAsia="lt-LT"/>
        </w:rPr>
        <w:t>6</w:t>
      </w:r>
      <w:r>
        <w:rPr>
          <w:rFonts w:cstheme="minorHAnsi"/>
          <w:sz w:val="24"/>
          <w:szCs w:val="24"/>
          <w:lang w:eastAsia="lt-LT"/>
        </w:rPr>
        <w:t xml:space="preserve"> mėnesiai ir numatytas galimas </w:t>
      </w:r>
      <w:r w:rsidR="001205F2">
        <w:rPr>
          <w:rFonts w:cstheme="minorHAnsi"/>
          <w:sz w:val="24"/>
          <w:szCs w:val="24"/>
          <w:lang w:eastAsia="lt-LT"/>
        </w:rPr>
        <w:t xml:space="preserve">darbų trukmės partęsimo terminas dar 1 mėnesiui (Pirkimo sąlygų </w:t>
      </w:r>
      <w:r w:rsidR="001205F2" w:rsidRPr="00557437">
        <w:rPr>
          <w:rFonts w:cstheme="minorHAnsi"/>
          <w:sz w:val="24"/>
          <w:szCs w:val="24"/>
          <w:lang w:eastAsia="lt-LT"/>
        </w:rPr>
        <w:t>1</w:t>
      </w:r>
      <w:r w:rsidR="001205F2">
        <w:rPr>
          <w:rFonts w:cstheme="minorHAnsi"/>
          <w:sz w:val="24"/>
          <w:szCs w:val="24"/>
          <w:lang w:eastAsia="lt-LT"/>
        </w:rPr>
        <w:t>2.2 papunktis), rekom</w:t>
      </w:r>
      <w:r w:rsidR="00A80E57">
        <w:rPr>
          <w:rFonts w:cstheme="minorHAnsi"/>
          <w:sz w:val="24"/>
          <w:szCs w:val="24"/>
          <w:lang w:eastAsia="lt-LT"/>
        </w:rPr>
        <w:t xml:space="preserve">enduotina Sutarties projekte nustatyti </w:t>
      </w:r>
      <w:r w:rsidR="00C71DB7">
        <w:rPr>
          <w:rFonts w:cstheme="minorHAnsi"/>
          <w:sz w:val="24"/>
          <w:szCs w:val="24"/>
          <w:lang w:eastAsia="lt-LT"/>
        </w:rPr>
        <w:t>kainos peržiūros sąlygą</w:t>
      </w:r>
      <w:r w:rsidR="00896EEA">
        <w:rPr>
          <w:rFonts w:cstheme="minorHAnsi"/>
          <w:sz w:val="24"/>
          <w:szCs w:val="24"/>
          <w:lang w:eastAsia="lt-LT"/>
        </w:rPr>
        <w:t xml:space="preserve">, nesusijusią su mokesčių pasikeitimu, kaip tai numatyta </w:t>
      </w:r>
      <w:r w:rsidR="00021789">
        <w:rPr>
          <w:rFonts w:cstheme="minorHAnsi"/>
          <w:sz w:val="24"/>
          <w:szCs w:val="24"/>
          <w:lang w:eastAsia="lt-LT"/>
        </w:rPr>
        <w:t xml:space="preserve">Įstatyme ir </w:t>
      </w:r>
      <w:hyperlink r:id="rId10" w:history="1">
        <w:r w:rsidR="00862689" w:rsidRPr="00862689">
          <w:rPr>
            <w:rStyle w:val="Hyperlink"/>
            <w:rFonts w:cstheme="minorHAnsi"/>
            <w:sz w:val="24"/>
            <w:szCs w:val="24"/>
            <w:lang w:eastAsia="lt-LT"/>
          </w:rPr>
          <w:t>Kainodaros taisyklių nustatymo metodiko</w:t>
        </w:r>
        <w:r w:rsidR="00021789">
          <w:rPr>
            <w:rStyle w:val="Hyperlink"/>
            <w:rFonts w:cstheme="minorHAnsi"/>
            <w:sz w:val="24"/>
            <w:szCs w:val="24"/>
            <w:lang w:eastAsia="lt-LT"/>
          </w:rPr>
          <w:t>je</w:t>
        </w:r>
      </w:hyperlink>
      <w:r w:rsidR="00352FCB">
        <w:rPr>
          <w:rFonts w:cstheme="minorHAnsi"/>
          <w:sz w:val="24"/>
          <w:szCs w:val="24"/>
          <w:lang w:eastAsia="lt-LT"/>
        </w:rPr>
        <w:t>.</w:t>
      </w:r>
    </w:p>
    <w:p w14:paraId="486071AA" w14:textId="39B0BDDC" w:rsidR="00370749" w:rsidRDefault="003F7F29" w:rsidP="00043733">
      <w:pPr>
        <w:spacing w:before="100" w:beforeAutospacing="1" w:after="100" w:afterAutospacing="1" w:line="240" w:lineRule="auto"/>
        <w:ind w:firstLine="567"/>
        <w:rPr>
          <w:rFonts w:eastAsia="Times New Roman" w:cstheme="minorHAnsi"/>
          <w:sz w:val="24"/>
          <w:szCs w:val="24"/>
        </w:rPr>
      </w:pPr>
      <w:r w:rsidRPr="00043733">
        <w:rPr>
          <w:rFonts w:cstheme="minorHAnsi"/>
          <w:sz w:val="24"/>
          <w:szCs w:val="24"/>
          <w:lang w:eastAsia="lt-LT"/>
        </w:rPr>
        <w:t xml:space="preserve">2.2 </w:t>
      </w:r>
      <w:r w:rsidRPr="003F7F29">
        <w:rPr>
          <w:rFonts w:cstheme="minorHAnsi"/>
          <w:sz w:val="24"/>
          <w:szCs w:val="24"/>
          <w:lang w:eastAsia="lt-LT"/>
        </w:rPr>
        <w:t xml:space="preserve">Pirkimo sąlygų 40.1 </w:t>
      </w:r>
      <w:r>
        <w:rPr>
          <w:rFonts w:cstheme="minorHAnsi"/>
          <w:sz w:val="24"/>
          <w:szCs w:val="24"/>
          <w:lang w:eastAsia="lt-LT"/>
        </w:rPr>
        <w:t>papunkt</w:t>
      </w:r>
      <w:r w:rsidR="00352E6F">
        <w:rPr>
          <w:rFonts w:cstheme="minorHAnsi"/>
          <w:sz w:val="24"/>
          <w:szCs w:val="24"/>
          <w:lang w:eastAsia="lt-LT"/>
        </w:rPr>
        <w:t xml:space="preserve">is nustato </w:t>
      </w:r>
      <w:r w:rsidR="00043733">
        <w:rPr>
          <w:rFonts w:cstheme="minorHAnsi"/>
          <w:sz w:val="24"/>
          <w:szCs w:val="24"/>
          <w:lang w:eastAsia="lt-LT"/>
        </w:rPr>
        <w:t xml:space="preserve">reikalavimus dėl </w:t>
      </w:r>
      <w:r w:rsidR="00043733" w:rsidRPr="00043733">
        <w:rPr>
          <w:rFonts w:cstheme="minorHAnsi"/>
          <w:sz w:val="24"/>
          <w:szCs w:val="24"/>
          <w:lang w:eastAsia="lt-LT"/>
        </w:rPr>
        <w:t>aplinkos apsaugos vadybos sistemos standart</w:t>
      </w:r>
      <w:r w:rsidR="00043733">
        <w:rPr>
          <w:rFonts w:cstheme="minorHAnsi"/>
          <w:sz w:val="24"/>
          <w:szCs w:val="24"/>
          <w:lang w:eastAsia="lt-LT"/>
        </w:rPr>
        <w:t xml:space="preserve">ų. </w:t>
      </w:r>
      <w:r w:rsidR="00370749" w:rsidRPr="00370749">
        <w:rPr>
          <w:rFonts w:eastAsia="Times New Roman" w:cstheme="minorHAnsi"/>
          <w:sz w:val="24"/>
          <w:szCs w:val="24"/>
        </w:rPr>
        <w:t>Ši</w:t>
      </w:r>
      <w:r w:rsidR="00043733">
        <w:rPr>
          <w:rFonts w:eastAsia="Times New Roman" w:cstheme="minorHAnsi"/>
          <w:sz w:val="24"/>
          <w:szCs w:val="24"/>
        </w:rPr>
        <w:t xml:space="preserve">e reikalavimai tiekėjui </w:t>
      </w:r>
      <w:r w:rsidR="00370749" w:rsidRPr="00370749">
        <w:rPr>
          <w:rFonts w:eastAsia="Times New Roman" w:cstheme="minorHAnsi"/>
          <w:sz w:val="24"/>
          <w:szCs w:val="24"/>
        </w:rPr>
        <w:t>turi būti aiškiai įtvirtint</w:t>
      </w:r>
      <w:r w:rsidR="00043733">
        <w:rPr>
          <w:rFonts w:eastAsia="Times New Roman" w:cstheme="minorHAnsi"/>
          <w:sz w:val="24"/>
          <w:szCs w:val="24"/>
        </w:rPr>
        <w:t>i</w:t>
      </w:r>
      <w:r w:rsidR="00370749" w:rsidRPr="00370749">
        <w:rPr>
          <w:rFonts w:eastAsia="Times New Roman" w:cstheme="minorHAnsi"/>
          <w:sz w:val="24"/>
          <w:szCs w:val="24"/>
        </w:rPr>
        <w:t xml:space="preserve"> ir Sutarties projekte. Perkančioji organizacija, siekdama pirkimą vykdyti kaip žaliąjį pirkimą, neturi nustatyti tik deklaratyvių reikalavimų, o pirkimo dokumentuose turi tiksliai ir aiškiai nustatyti žaliojo pirkimo sąlygas ir užtikrinti jų laikymosi priežiūrą bei kontrolę sutarties vykdymo metu. Sutarties projekte taip pat turi būti numatytas kontrolės mechanizmas, kaip Perkančioji organizacija kontroliuos tiekėjo pareigą sutarties vykdymo metu taikyti aplinkos apsaugos vadybos sistemos reikalavimus ir koks bus sankcijų mechanizmas, jeigu tiekėjas šios pareigos nevykdys. Atsižvelgiant į nurodytą, rekomenduotina tikslinti Sutarties projektą.</w:t>
      </w:r>
    </w:p>
    <w:p w14:paraId="603755F7" w14:textId="2B99A906" w:rsidR="00EA2BF4" w:rsidRPr="00EA2BF4" w:rsidRDefault="00EA2BF4" w:rsidP="00043733">
      <w:pPr>
        <w:spacing w:before="100" w:beforeAutospacing="1" w:after="100" w:afterAutospacing="1" w:line="240" w:lineRule="auto"/>
        <w:ind w:firstLine="567"/>
        <w:rPr>
          <w:rFonts w:eastAsia="Times New Roman" w:cstheme="minorHAnsi"/>
          <w:sz w:val="24"/>
          <w:szCs w:val="24"/>
        </w:rPr>
      </w:pPr>
      <w:r w:rsidRPr="00EA2BF4">
        <w:rPr>
          <w:rFonts w:eastAsia="Times New Roman" w:cstheme="minorHAnsi"/>
          <w:sz w:val="24"/>
          <w:szCs w:val="24"/>
        </w:rPr>
        <w:t>2</w:t>
      </w:r>
      <w:r>
        <w:rPr>
          <w:rFonts w:eastAsia="Times New Roman" w:cstheme="minorHAnsi"/>
          <w:sz w:val="24"/>
          <w:szCs w:val="24"/>
        </w:rPr>
        <w:t xml:space="preserve">.3. </w:t>
      </w:r>
      <w:r w:rsidR="00FD1086" w:rsidRPr="00FD1086">
        <w:rPr>
          <w:rFonts w:eastAsia="Times New Roman" w:cstheme="minorHAnsi"/>
          <w:sz w:val="24"/>
          <w:szCs w:val="24"/>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pagrindai neįtraukti į Sutarties projektą, todėl Tarnyba rekomenduoja papildyti  Sutarties projektą. </w:t>
      </w:r>
    </w:p>
    <w:p w14:paraId="0485C965" w14:textId="2C487C3E" w:rsidR="00F44C69" w:rsidRDefault="00204C9A" w:rsidP="00204C9A">
      <w:pPr>
        <w:spacing w:before="100" w:beforeAutospacing="1" w:after="100" w:afterAutospacing="1" w:line="240" w:lineRule="auto"/>
        <w:ind w:firstLine="567"/>
        <w:rPr>
          <w:rFonts w:eastAsia="Times New Roman" w:cstheme="minorHAnsi"/>
          <w:sz w:val="24"/>
          <w:szCs w:val="24"/>
        </w:rPr>
      </w:pPr>
      <w:r w:rsidRPr="00204C9A">
        <w:rPr>
          <w:rFonts w:eastAsia="Times New Roman" w:cstheme="minorHAnsi"/>
          <w:sz w:val="24"/>
          <w:szCs w:val="24"/>
        </w:rPr>
        <w:t xml:space="preserve">Vykdant pirkimus ateityje, Perkančiajai organizacijai rekomenduotina naudoti Tarnybos parengtas </w:t>
      </w:r>
      <w:hyperlink r:id="rId11" w:history="1">
        <w:r w:rsidRPr="00204C9A">
          <w:rPr>
            <w:rStyle w:val="Hyperlink"/>
            <w:rFonts w:eastAsia="Times New Roman" w:cstheme="minorHAnsi"/>
            <w:sz w:val="24"/>
            <w:szCs w:val="24"/>
          </w:rPr>
          <w:t>Atvirojo konkurso pavyzdines sąlygas</w:t>
        </w:r>
      </w:hyperlink>
      <w:r w:rsidRPr="00204C9A">
        <w:rPr>
          <w:rFonts w:eastAsia="Times New Roman" w:cstheme="minorHAnsi"/>
          <w:sz w:val="24"/>
          <w:szCs w:val="24"/>
        </w:rPr>
        <w:t>, atnaujintas pagal galiojantį viešųjų pirkimų teisinį reglamentavimą ir naujausią teisminę praktiką</w:t>
      </w:r>
      <w:r w:rsidR="00132D73" w:rsidRPr="00132D73">
        <w:t xml:space="preserve"> </w:t>
      </w:r>
      <w:r w:rsidR="00132D73">
        <w:t>(</w:t>
      </w:r>
      <w:r w:rsidR="00FB664A">
        <w:t xml:space="preserve">pvz. </w:t>
      </w:r>
      <w:r w:rsidR="005B5D69">
        <w:rPr>
          <w:rFonts w:eastAsia="Times New Roman" w:cstheme="minorHAnsi"/>
          <w:sz w:val="24"/>
          <w:szCs w:val="24"/>
        </w:rPr>
        <w:t xml:space="preserve">Pirkimo sąlygų </w:t>
      </w:r>
      <w:r w:rsidR="005B5D69" w:rsidRPr="00C236B6">
        <w:rPr>
          <w:rFonts w:eastAsia="Times New Roman" w:cstheme="minorHAnsi"/>
          <w:sz w:val="24"/>
          <w:szCs w:val="24"/>
        </w:rPr>
        <w:t>7</w:t>
      </w:r>
      <w:r w:rsidR="005B5D69">
        <w:rPr>
          <w:rFonts w:eastAsia="Times New Roman" w:cstheme="minorHAnsi"/>
          <w:sz w:val="24"/>
          <w:szCs w:val="24"/>
        </w:rPr>
        <w:t>6.2.2, 79, 80 punktų</w:t>
      </w:r>
      <w:r w:rsidR="00183F6B">
        <w:rPr>
          <w:rFonts w:eastAsia="Times New Roman" w:cstheme="minorHAnsi"/>
          <w:sz w:val="24"/>
          <w:szCs w:val="24"/>
        </w:rPr>
        <w:t xml:space="preserve"> nuostatos neatitinka</w:t>
      </w:r>
      <w:r w:rsidR="005B5D69" w:rsidRPr="00132D73">
        <w:rPr>
          <w:rFonts w:eastAsia="Times New Roman" w:cstheme="minorHAnsi"/>
          <w:sz w:val="24"/>
          <w:szCs w:val="24"/>
        </w:rPr>
        <w:t xml:space="preserve"> </w:t>
      </w:r>
      <w:r w:rsidR="00132D73" w:rsidRPr="00132D73">
        <w:rPr>
          <w:rFonts w:eastAsia="Times New Roman" w:cstheme="minorHAnsi"/>
          <w:sz w:val="24"/>
          <w:szCs w:val="24"/>
        </w:rPr>
        <w:t>nuo 2023-01-01 įsigalioj</w:t>
      </w:r>
      <w:r w:rsidR="00183F6B">
        <w:rPr>
          <w:rFonts w:eastAsia="Times New Roman" w:cstheme="minorHAnsi"/>
          <w:sz w:val="24"/>
          <w:szCs w:val="24"/>
        </w:rPr>
        <w:t>usios</w:t>
      </w:r>
      <w:r w:rsidR="00FB664A">
        <w:rPr>
          <w:rFonts w:eastAsia="Times New Roman" w:cstheme="minorHAnsi"/>
          <w:sz w:val="24"/>
          <w:szCs w:val="24"/>
        </w:rPr>
        <w:t xml:space="preserve"> </w:t>
      </w:r>
      <w:r w:rsidR="00132D73" w:rsidRPr="00132D73">
        <w:rPr>
          <w:rFonts w:eastAsia="Times New Roman" w:cstheme="minorHAnsi"/>
          <w:sz w:val="24"/>
          <w:szCs w:val="24"/>
        </w:rPr>
        <w:t xml:space="preserve">Įstatymo 45 straipsnio 3 dalies </w:t>
      </w:r>
      <w:r w:rsidR="007F062B">
        <w:rPr>
          <w:rFonts w:eastAsia="Times New Roman" w:cstheme="minorHAnsi"/>
          <w:sz w:val="24"/>
          <w:szCs w:val="24"/>
        </w:rPr>
        <w:t>aktuali</w:t>
      </w:r>
      <w:r w:rsidR="00183F6B">
        <w:rPr>
          <w:rFonts w:eastAsia="Times New Roman" w:cstheme="minorHAnsi"/>
          <w:sz w:val="24"/>
          <w:szCs w:val="24"/>
        </w:rPr>
        <w:t>os</w:t>
      </w:r>
      <w:r w:rsidR="007F062B">
        <w:rPr>
          <w:rFonts w:eastAsia="Times New Roman" w:cstheme="minorHAnsi"/>
          <w:sz w:val="24"/>
          <w:szCs w:val="24"/>
        </w:rPr>
        <w:t xml:space="preserve"> </w:t>
      </w:r>
      <w:r w:rsidR="00132D73" w:rsidRPr="00132D73">
        <w:rPr>
          <w:rFonts w:eastAsia="Times New Roman" w:cstheme="minorHAnsi"/>
          <w:sz w:val="24"/>
          <w:szCs w:val="24"/>
        </w:rPr>
        <w:t>redakcij</w:t>
      </w:r>
      <w:r w:rsidR="00183F6B">
        <w:rPr>
          <w:rFonts w:eastAsia="Times New Roman" w:cstheme="minorHAnsi"/>
          <w:sz w:val="24"/>
          <w:szCs w:val="24"/>
        </w:rPr>
        <w:t>os</w:t>
      </w:r>
      <w:r w:rsidR="00F44C69">
        <w:rPr>
          <w:rFonts w:eastAsia="Times New Roman" w:cstheme="minorHAnsi"/>
          <w:sz w:val="24"/>
          <w:szCs w:val="24"/>
        </w:rPr>
        <w:t xml:space="preserve"> dėl </w:t>
      </w:r>
      <w:r w:rsidR="00C21C43" w:rsidRPr="00C21C43">
        <w:rPr>
          <w:rFonts w:eastAsia="Times New Roman" w:cstheme="minorHAnsi"/>
          <w:sz w:val="24"/>
          <w:szCs w:val="24"/>
        </w:rPr>
        <w:t>pateik</w:t>
      </w:r>
      <w:r w:rsidR="00F44C69">
        <w:rPr>
          <w:rFonts w:eastAsia="Times New Roman" w:cstheme="minorHAnsi"/>
          <w:sz w:val="24"/>
          <w:szCs w:val="24"/>
        </w:rPr>
        <w:t>tų</w:t>
      </w:r>
      <w:r w:rsidR="00C21C43" w:rsidRPr="00C21C43">
        <w:rPr>
          <w:rFonts w:eastAsia="Times New Roman" w:cstheme="minorHAnsi"/>
          <w:sz w:val="24"/>
          <w:szCs w:val="24"/>
        </w:rPr>
        <w:t xml:space="preserve"> netiksli</w:t>
      </w:r>
      <w:r w:rsidR="00F44C69">
        <w:rPr>
          <w:rFonts w:eastAsia="Times New Roman" w:cstheme="minorHAnsi"/>
          <w:sz w:val="24"/>
          <w:szCs w:val="24"/>
        </w:rPr>
        <w:t>ų</w:t>
      </w:r>
      <w:r w:rsidR="00C21C43" w:rsidRPr="00C21C43">
        <w:rPr>
          <w:rFonts w:eastAsia="Times New Roman" w:cstheme="minorHAnsi"/>
          <w:sz w:val="24"/>
          <w:szCs w:val="24"/>
        </w:rPr>
        <w:t>, neišsami</w:t>
      </w:r>
      <w:r w:rsidR="00F44C69">
        <w:rPr>
          <w:rFonts w:eastAsia="Times New Roman" w:cstheme="minorHAnsi"/>
          <w:sz w:val="24"/>
          <w:szCs w:val="24"/>
        </w:rPr>
        <w:t>ų</w:t>
      </w:r>
      <w:r w:rsidR="00C21C43" w:rsidRPr="00C21C43">
        <w:rPr>
          <w:rFonts w:eastAsia="Times New Roman" w:cstheme="minorHAnsi"/>
          <w:sz w:val="24"/>
          <w:szCs w:val="24"/>
        </w:rPr>
        <w:t xml:space="preserve"> ar klaiding</w:t>
      </w:r>
      <w:r w:rsidR="00F44C69">
        <w:rPr>
          <w:rFonts w:eastAsia="Times New Roman" w:cstheme="minorHAnsi"/>
          <w:sz w:val="24"/>
          <w:szCs w:val="24"/>
        </w:rPr>
        <w:t>ų</w:t>
      </w:r>
      <w:r w:rsidR="00C21C43" w:rsidRPr="00C21C43">
        <w:rPr>
          <w:rFonts w:eastAsia="Times New Roman" w:cstheme="minorHAnsi"/>
          <w:sz w:val="24"/>
          <w:szCs w:val="24"/>
        </w:rPr>
        <w:t xml:space="preserve"> dokument</w:t>
      </w:r>
      <w:r w:rsidR="00F44C69">
        <w:rPr>
          <w:rFonts w:eastAsia="Times New Roman" w:cstheme="minorHAnsi"/>
          <w:sz w:val="24"/>
          <w:szCs w:val="24"/>
        </w:rPr>
        <w:t>ų</w:t>
      </w:r>
      <w:r w:rsidR="00C21C43" w:rsidRPr="00C21C43">
        <w:rPr>
          <w:rFonts w:eastAsia="Times New Roman" w:cstheme="minorHAnsi"/>
          <w:sz w:val="24"/>
          <w:szCs w:val="24"/>
        </w:rPr>
        <w:t xml:space="preserve"> ar duomen</w:t>
      </w:r>
      <w:r w:rsidR="00F44C69">
        <w:rPr>
          <w:rFonts w:eastAsia="Times New Roman" w:cstheme="minorHAnsi"/>
          <w:sz w:val="24"/>
          <w:szCs w:val="24"/>
        </w:rPr>
        <w:t>ų</w:t>
      </w:r>
      <w:r w:rsidR="00C21C43" w:rsidRPr="00C21C43">
        <w:rPr>
          <w:rFonts w:eastAsia="Times New Roman" w:cstheme="minorHAnsi"/>
          <w:sz w:val="24"/>
          <w:szCs w:val="24"/>
        </w:rPr>
        <w:t xml:space="preserve"> apie atitiktį pirkimo dokumentų reikalavimams </w:t>
      </w:r>
      <w:r w:rsidR="007F062B" w:rsidRPr="007F062B">
        <w:rPr>
          <w:rFonts w:eastAsia="Times New Roman" w:cstheme="minorHAnsi"/>
          <w:sz w:val="24"/>
          <w:szCs w:val="24"/>
        </w:rPr>
        <w:t>patikslin</w:t>
      </w:r>
      <w:r w:rsidR="007F062B">
        <w:rPr>
          <w:rFonts w:eastAsia="Times New Roman" w:cstheme="minorHAnsi"/>
          <w:sz w:val="24"/>
          <w:szCs w:val="24"/>
        </w:rPr>
        <w:t>imo</w:t>
      </w:r>
      <w:r w:rsidR="007F062B" w:rsidRPr="007F062B">
        <w:rPr>
          <w:rFonts w:eastAsia="Times New Roman" w:cstheme="minorHAnsi"/>
          <w:sz w:val="24"/>
          <w:szCs w:val="24"/>
        </w:rPr>
        <w:t>, papildy</w:t>
      </w:r>
      <w:r w:rsidR="007F062B">
        <w:rPr>
          <w:rFonts w:eastAsia="Times New Roman" w:cstheme="minorHAnsi"/>
          <w:sz w:val="24"/>
          <w:szCs w:val="24"/>
        </w:rPr>
        <w:t>mo</w:t>
      </w:r>
      <w:r w:rsidR="007F062B" w:rsidRPr="007F062B">
        <w:rPr>
          <w:rFonts w:eastAsia="Times New Roman" w:cstheme="minorHAnsi"/>
          <w:sz w:val="24"/>
          <w:szCs w:val="24"/>
        </w:rPr>
        <w:t xml:space="preserve"> arba paaiškin</w:t>
      </w:r>
      <w:r w:rsidR="007F062B">
        <w:rPr>
          <w:rFonts w:eastAsia="Times New Roman" w:cstheme="minorHAnsi"/>
          <w:sz w:val="24"/>
          <w:szCs w:val="24"/>
        </w:rPr>
        <w:t>imo</w:t>
      </w:r>
      <w:r w:rsidR="006D753C">
        <w:rPr>
          <w:rFonts w:eastAsia="Times New Roman" w:cstheme="minorHAnsi"/>
          <w:sz w:val="24"/>
          <w:szCs w:val="24"/>
        </w:rPr>
        <w:t xml:space="preserve">, </w:t>
      </w:r>
      <w:r w:rsidR="005D0550" w:rsidRPr="005D0550">
        <w:rPr>
          <w:rFonts w:eastAsia="Times New Roman" w:cstheme="minorHAnsi"/>
          <w:sz w:val="24"/>
          <w:szCs w:val="24"/>
        </w:rPr>
        <w:t xml:space="preserve">nuo 2023-01-01 pasikeitus Įstatymo 103 straipsnio 2 daliai nebeliko reikalavimo stabdyti pirkimo procedūras iki bus išnagrinėta pretenzija, tačiau Pirkimo sąlygų </w:t>
      </w:r>
      <w:r w:rsidR="00B215B8">
        <w:rPr>
          <w:rFonts w:eastAsia="Times New Roman" w:cstheme="minorHAnsi"/>
          <w:sz w:val="24"/>
          <w:szCs w:val="24"/>
        </w:rPr>
        <w:t>9</w:t>
      </w:r>
      <w:r w:rsidR="00B215B8" w:rsidRPr="00B215B8">
        <w:rPr>
          <w:rFonts w:eastAsia="Times New Roman" w:cstheme="minorHAnsi"/>
          <w:sz w:val="24"/>
          <w:szCs w:val="24"/>
        </w:rPr>
        <w:t xml:space="preserve">8 </w:t>
      </w:r>
      <w:r w:rsidR="005D0550" w:rsidRPr="005D0550">
        <w:rPr>
          <w:rFonts w:eastAsia="Times New Roman" w:cstheme="minorHAnsi"/>
          <w:sz w:val="24"/>
          <w:szCs w:val="24"/>
        </w:rPr>
        <w:t>p</w:t>
      </w:r>
      <w:r w:rsidR="00B215B8">
        <w:rPr>
          <w:rFonts w:eastAsia="Times New Roman" w:cstheme="minorHAnsi"/>
          <w:sz w:val="24"/>
          <w:szCs w:val="24"/>
        </w:rPr>
        <w:t>unkte</w:t>
      </w:r>
      <w:r w:rsidR="005D0550" w:rsidRPr="005D0550">
        <w:rPr>
          <w:rFonts w:eastAsia="Times New Roman" w:cstheme="minorHAnsi"/>
          <w:sz w:val="24"/>
          <w:szCs w:val="24"/>
        </w:rPr>
        <w:t xml:space="preserve"> numatyta, jog Perkančioji organizacija, gavusi pretenziją, sustabdo pirkimo procedūrą, kol bus išnagrinėta ši pretenzija ir priimtas sprendimas ir kt.).</w:t>
      </w:r>
    </w:p>
    <w:sectPr w:rsidR="00F44C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0EA47" w14:textId="77777777" w:rsidR="00D739F3" w:rsidRDefault="00D739F3" w:rsidP="00054927">
      <w:pPr>
        <w:spacing w:after="0" w:line="240" w:lineRule="auto"/>
      </w:pPr>
      <w:r>
        <w:separator/>
      </w:r>
    </w:p>
  </w:endnote>
  <w:endnote w:type="continuationSeparator" w:id="0">
    <w:p w14:paraId="06066A46" w14:textId="77777777" w:rsidR="00D739F3" w:rsidRDefault="00D739F3" w:rsidP="0005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2C69" w14:textId="77777777" w:rsidR="00D739F3" w:rsidRDefault="00D739F3" w:rsidP="00054927">
      <w:pPr>
        <w:spacing w:after="0" w:line="240" w:lineRule="auto"/>
      </w:pPr>
      <w:r>
        <w:separator/>
      </w:r>
    </w:p>
  </w:footnote>
  <w:footnote w:type="continuationSeparator" w:id="0">
    <w:p w14:paraId="63BBCC29" w14:textId="77777777" w:rsidR="00D739F3" w:rsidRDefault="00D739F3" w:rsidP="00054927">
      <w:pPr>
        <w:spacing w:after="0" w:line="240" w:lineRule="auto"/>
      </w:pPr>
      <w:r>
        <w:continuationSeparator/>
      </w:r>
    </w:p>
  </w:footnote>
  <w:footnote w:id="1">
    <w:p w14:paraId="5E8EA021" w14:textId="13465961" w:rsidR="00EC7652" w:rsidRPr="0091243A" w:rsidRDefault="00EC7652">
      <w:pPr>
        <w:pStyle w:val="FootnoteText"/>
      </w:pPr>
      <w:r>
        <w:rPr>
          <w:rStyle w:val="FootnoteReference"/>
        </w:rPr>
        <w:footnoteRef/>
      </w:r>
      <w:r>
        <w:t xml:space="preserve"> </w:t>
      </w:r>
      <w:r w:rsidRPr="0091243A">
        <w:t xml:space="preserve">Patvirtinta </w:t>
      </w:r>
      <w:r w:rsidR="00E637E7" w:rsidRPr="0091243A">
        <w:t xml:space="preserve">Tarnybos direktoriaus 2017 m. birželio 28 d. įsakymu Nr. </w:t>
      </w:r>
      <w:r w:rsidR="0091243A" w:rsidRPr="0091243A">
        <w:t>1S-95 “Dėl Kainodaros taisyklių nustatymo metodikos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D55"/>
    <w:multiLevelType w:val="hybridMultilevel"/>
    <w:tmpl w:val="16D42F60"/>
    <w:lvl w:ilvl="0" w:tplc="66647D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AD25CF3"/>
    <w:multiLevelType w:val="multilevel"/>
    <w:tmpl w:val="3D7E74A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B6E0601"/>
    <w:multiLevelType w:val="hybridMultilevel"/>
    <w:tmpl w:val="D288574C"/>
    <w:lvl w:ilvl="0" w:tplc="569AA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DF3F00"/>
    <w:multiLevelType w:val="hybridMultilevel"/>
    <w:tmpl w:val="A7003D4C"/>
    <w:lvl w:ilvl="0" w:tplc="3CD89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8F47295"/>
    <w:multiLevelType w:val="multilevel"/>
    <w:tmpl w:val="CC16EB36"/>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36587056">
    <w:abstractNumId w:val="2"/>
  </w:num>
  <w:num w:numId="2" w16cid:durableId="144709971">
    <w:abstractNumId w:val="1"/>
  </w:num>
  <w:num w:numId="3" w16cid:durableId="1794403475">
    <w:abstractNumId w:val="3"/>
  </w:num>
  <w:num w:numId="4" w16cid:durableId="1146580564">
    <w:abstractNumId w:val="4"/>
  </w:num>
  <w:num w:numId="5" w16cid:durableId="176214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15"/>
    <w:rsid w:val="0000454E"/>
    <w:rsid w:val="00005C17"/>
    <w:rsid w:val="00013FB7"/>
    <w:rsid w:val="00021789"/>
    <w:rsid w:val="00031A27"/>
    <w:rsid w:val="00043733"/>
    <w:rsid w:val="00054927"/>
    <w:rsid w:val="00075BF9"/>
    <w:rsid w:val="0008132F"/>
    <w:rsid w:val="000A6A80"/>
    <w:rsid w:val="000C2C7D"/>
    <w:rsid w:val="000D32F5"/>
    <w:rsid w:val="000E69E0"/>
    <w:rsid w:val="000F08E5"/>
    <w:rsid w:val="00117516"/>
    <w:rsid w:val="001205F2"/>
    <w:rsid w:val="00132D73"/>
    <w:rsid w:val="0013375D"/>
    <w:rsid w:val="00134B4B"/>
    <w:rsid w:val="00144E8A"/>
    <w:rsid w:val="00151755"/>
    <w:rsid w:val="001718AF"/>
    <w:rsid w:val="00183F6B"/>
    <w:rsid w:val="00193BA4"/>
    <w:rsid w:val="001A5267"/>
    <w:rsid w:val="001C4AD6"/>
    <w:rsid w:val="001E2330"/>
    <w:rsid w:val="001E2B27"/>
    <w:rsid w:val="001F0140"/>
    <w:rsid w:val="00204C9A"/>
    <w:rsid w:val="00204E03"/>
    <w:rsid w:val="00207B42"/>
    <w:rsid w:val="00214541"/>
    <w:rsid w:val="00235B16"/>
    <w:rsid w:val="00256F16"/>
    <w:rsid w:val="00271983"/>
    <w:rsid w:val="0028646C"/>
    <w:rsid w:val="002C6814"/>
    <w:rsid w:val="002D65AD"/>
    <w:rsid w:val="002D71C4"/>
    <w:rsid w:val="002D75B2"/>
    <w:rsid w:val="002E3F8A"/>
    <w:rsid w:val="002F351F"/>
    <w:rsid w:val="002F44AE"/>
    <w:rsid w:val="00304EC5"/>
    <w:rsid w:val="0031598C"/>
    <w:rsid w:val="0032725C"/>
    <w:rsid w:val="00352E6F"/>
    <w:rsid w:val="00352FCB"/>
    <w:rsid w:val="00370749"/>
    <w:rsid w:val="0037513A"/>
    <w:rsid w:val="003C0A90"/>
    <w:rsid w:val="003C4D9A"/>
    <w:rsid w:val="003D3EF8"/>
    <w:rsid w:val="003D72A0"/>
    <w:rsid w:val="003E343B"/>
    <w:rsid w:val="003F3C38"/>
    <w:rsid w:val="003F4103"/>
    <w:rsid w:val="003F7F29"/>
    <w:rsid w:val="00414401"/>
    <w:rsid w:val="00430751"/>
    <w:rsid w:val="00435026"/>
    <w:rsid w:val="00446B79"/>
    <w:rsid w:val="00455250"/>
    <w:rsid w:val="0046034C"/>
    <w:rsid w:val="00461481"/>
    <w:rsid w:val="004661C1"/>
    <w:rsid w:val="004677B3"/>
    <w:rsid w:val="00474E2B"/>
    <w:rsid w:val="00477342"/>
    <w:rsid w:val="00483A74"/>
    <w:rsid w:val="004B18DB"/>
    <w:rsid w:val="004C2493"/>
    <w:rsid w:val="004E3616"/>
    <w:rsid w:val="004F0C99"/>
    <w:rsid w:val="005002FC"/>
    <w:rsid w:val="005022E4"/>
    <w:rsid w:val="005161B6"/>
    <w:rsid w:val="0052420E"/>
    <w:rsid w:val="00534451"/>
    <w:rsid w:val="00535E7B"/>
    <w:rsid w:val="00550D68"/>
    <w:rsid w:val="0055586F"/>
    <w:rsid w:val="0055672D"/>
    <w:rsid w:val="00557437"/>
    <w:rsid w:val="00561AB3"/>
    <w:rsid w:val="0056738E"/>
    <w:rsid w:val="005867D1"/>
    <w:rsid w:val="0059448F"/>
    <w:rsid w:val="005951D9"/>
    <w:rsid w:val="005A1E3B"/>
    <w:rsid w:val="005A230F"/>
    <w:rsid w:val="005A6497"/>
    <w:rsid w:val="005B33B3"/>
    <w:rsid w:val="005B5D69"/>
    <w:rsid w:val="005C04B9"/>
    <w:rsid w:val="005C5256"/>
    <w:rsid w:val="005D0550"/>
    <w:rsid w:val="00613296"/>
    <w:rsid w:val="00615EE6"/>
    <w:rsid w:val="00616F00"/>
    <w:rsid w:val="00627D85"/>
    <w:rsid w:val="00627F6F"/>
    <w:rsid w:val="00631FCC"/>
    <w:rsid w:val="0068425F"/>
    <w:rsid w:val="006877EE"/>
    <w:rsid w:val="00692115"/>
    <w:rsid w:val="006A2821"/>
    <w:rsid w:val="006A2E14"/>
    <w:rsid w:val="006B6EBE"/>
    <w:rsid w:val="006D05DE"/>
    <w:rsid w:val="006D38F0"/>
    <w:rsid w:val="006D488E"/>
    <w:rsid w:val="006D753C"/>
    <w:rsid w:val="006F2E80"/>
    <w:rsid w:val="006F3D68"/>
    <w:rsid w:val="007124AE"/>
    <w:rsid w:val="0071485A"/>
    <w:rsid w:val="00716684"/>
    <w:rsid w:val="00732ED4"/>
    <w:rsid w:val="00762459"/>
    <w:rsid w:val="007666BE"/>
    <w:rsid w:val="00766B5E"/>
    <w:rsid w:val="00776514"/>
    <w:rsid w:val="00791D6A"/>
    <w:rsid w:val="0079387D"/>
    <w:rsid w:val="00794B15"/>
    <w:rsid w:val="007D4B3E"/>
    <w:rsid w:val="007F062B"/>
    <w:rsid w:val="007F2454"/>
    <w:rsid w:val="007F2735"/>
    <w:rsid w:val="007F7264"/>
    <w:rsid w:val="007F76C0"/>
    <w:rsid w:val="00810BD5"/>
    <w:rsid w:val="00811F43"/>
    <w:rsid w:val="00813FB8"/>
    <w:rsid w:val="0082196F"/>
    <w:rsid w:val="00827A10"/>
    <w:rsid w:val="00846141"/>
    <w:rsid w:val="008542BA"/>
    <w:rsid w:val="00862689"/>
    <w:rsid w:val="00865DD4"/>
    <w:rsid w:val="008668D9"/>
    <w:rsid w:val="008765BE"/>
    <w:rsid w:val="008819CD"/>
    <w:rsid w:val="008872A3"/>
    <w:rsid w:val="00896EEA"/>
    <w:rsid w:val="008A336C"/>
    <w:rsid w:val="008B3F30"/>
    <w:rsid w:val="008D4614"/>
    <w:rsid w:val="008D7EB2"/>
    <w:rsid w:val="008E1FC6"/>
    <w:rsid w:val="008F3409"/>
    <w:rsid w:val="008F68F9"/>
    <w:rsid w:val="00900897"/>
    <w:rsid w:val="009123FC"/>
    <w:rsid w:val="0091243A"/>
    <w:rsid w:val="00914793"/>
    <w:rsid w:val="00920D60"/>
    <w:rsid w:val="00934F3D"/>
    <w:rsid w:val="0094453A"/>
    <w:rsid w:val="00946373"/>
    <w:rsid w:val="00950921"/>
    <w:rsid w:val="00955180"/>
    <w:rsid w:val="00963EA5"/>
    <w:rsid w:val="00971043"/>
    <w:rsid w:val="0097367B"/>
    <w:rsid w:val="009B67C8"/>
    <w:rsid w:val="009C22BC"/>
    <w:rsid w:val="009C2788"/>
    <w:rsid w:val="009C5040"/>
    <w:rsid w:val="009D1FC4"/>
    <w:rsid w:val="009E4C33"/>
    <w:rsid w:val="009F3D88"/>
    <w:rsid w:val="00A35208"/>
    <w:rsid w:val="00A70A01"/>
    <w:rsid w:val="00A80E57"/>
    <w:rsid w:val="00A9364A"/>
    <w:rsid w:val="00A94836"/>
    <w:rsid w:val="00A9644D"/>
    <w:rsid w:val="00AA3221"/>
    <w:rsid w:val="00AB4FCF"/>
    <w:rsid w:val="00AC4B72"/>
    <w:rsid w:val="00AD3CE6"/>
    <w:rsid w:val="00AD6621"/>
    <w:rsid w:val="00AE0093"/>
    <w:rsid w:val="00AF0F55"/>
    <w:rsid w:val="00AF78B8"/>
    <w:rsid w:val="00B00BE9"/>
    <w:rsid w:val="00B11498"/>
    <w:rsid w:val="00B215B8"/>
    <w:rsid w:val="00B36AAC"/>
    <w:rsid w:val="00B421F8"/>
    <w:rsid w:val="00B455B5"/>
    <w:rsid w:val="00B46430"/>
    <w:rsid w:val="00B46EF5"/>
    <w:rsid w:val="00B5324C"/>
    <w:rsid w:val="00B66478"/>
    <w:rsid w:val="00B731C2"/>
    <w:rsid w:val="00B8501F"/>
    <w:rsid w:val="00B87101"/>
    <w:rsid w:val="00BA4549"/>
    <w:rsid w:val="00BB74B8"/>
    <w:rsid w:val="00BC2261"/>
    <w:rsid w:val="00BC7978"/>
    <w:rsid w:val="00C12213"/>
    <w:rsid w:val="00C12356"/>
    <w:rsid w:val="00C21C43"/>
    <w:rsid w:val="00C236B6"/>
    <w:rsid w:val="00C34BFE"/>
    <w:rsid w:val="00C461E6"/>
    <w:rsid w:val="00C46244"/>
    <w:rsid w:val="00C46564"/>
    <w:rsid w:val="00C578EC"/>
    <w:rsid w:val="00C6697D"/>
    <w:rsid w:val="00C70A75"/>
    <w:rsid w:val="00C71DB7"/>
    <w:rsid w:val="00C746D3"/>
    <w:rsid w:val="00CA2164"/>
    <w:rsid w:val="00CA5CBE"/>
    <w:rsid w:val="00CA617B"/>
    <w:rsid w:val="00CB1C74"/>
    <w:rsid w:val="00CB3B5F"/>
    <w:rsid w:val="00CB501F"/>
    <w:rsid w:val="00CC21C2"/>
    <w:rsid w:val="00CD2A5F"/>
    <w:rsid w:val="00CD6E08"/>
    <w:rsid w:val="00CF03AA"/>
    <w:rsid w:val="00D0127D"/>
    <w:rsid w:val="00D04067"/>
    <w:rsid w:val="00D0449F"/>
    <w:rsid w:val="00D11201"/>
    <w:rsid w:val="00D15007"/>
    <w:rsid w:val="00D33257"/>
    <w:rsid w:val="00D42A4F"/>
    <w:rsid w:val="00D61EB0"/>
    <w:rsid w:val="00D67862"/>
    <w:rsid w:val="00D739F3"/>
    <w:rsid w:val="00D86564"/>
    <w:rsid w:val="00D97AC3"/>
    <w:rsid w:val="00DA28F8"/>
    <w:rsid w:val="00DA3BD2"/>
    <w:rsid w:val="00DA66EE"/>
    <w:rsid w:val="00DB7F7C"/>
    <w:rsid w:val="00DE5A24"/>
    <w:rsid w:val="00DE670F"/>
    <w:rsid w:val="00DF563C"/>
    <w:rsid w:val="00E013C1"/>
    <w:rsid w:val="00E14EF8"/>
    <w:rsid w:val="00E16F10"/>
    <w:rsid w:val="00E1771D"/>
    <w:rsid w:val="00E53A92"/>
    <w:rsid w:val="00E54D2E"/>
    <w:rsid w:val="00E55112"/>
    <w:rsid w:val="00E637E7"/>
    <w:rsid w:val="00E63DE7"/>
    <w:rsid w:val="00E93548"/>
    <w:rsid w:val="00E94695"/>
    <w:rsid w:val="00EA0D92"/>
    <w:rsid w:val="00EA2BF4"/>
    <w:rsid w:val="00EC23A9"/>
    <w:rsid w:val="00EC28BD"/>
    <w:rsid w:val="00EC7652"/>
    <w:rsid w:val="00ED2701"/>
    <w:rsid w:val="00EF5131"/>
    <w:rsid w:val="00F00D42"/>
    <w:rsid w:val="00F07F1A"/>
    <w:rsid w:val="00F2056E"/>
    <w:rsid w:val="00F44C69"/>
    <w:rsid w:val="00F54C88"/>
    <w:rsid w:val="00F74E86"/>
    <w:rsid w:val="00F83801"/>
    <w:rsid w:val="00F92713"/>
    <w:rsid w:val="00FB664A"/>
    <w:rsid w:val="00FD1086"/>
    <w:rsid w:val="00FE20F2"/>
    <w:rsid w:val="00FE389C"/>
    <w:rsid w:val="00FE41E9"/>
    <w:rsid w:val="00FE4C29"/>
    <w:rsid w:val="00FF2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C9C1"/>
  <w15:chartTrackingRefBased/>
  <w15:docId w15:val="{E4255AD3-2257-4FB3-B047-269D786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6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8872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054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927"/>
    <w:rPr>
      <w:sz w:val="20"/>
      <w:szCs w:val="20"/>
      <w:lang w:val="lt-LT"/>
    </w:rPr>
  </w:style>
  <w:style w:type="character" w:styleId="FootnoteReference">
    <w:name w:val="footnote reference"/>
    <w:basedOn w:val="DefaultParagraphFont"/>
    <w:uiPriority w:val="99"/>
    <w:semiHidden/>
    <w:unhideWhenUsed/>
    <w:rsid w:val="00054927"/>
    <w:rPr>
      <w:vertAlign w:val="superscript"/>
    </w:rPr>
  </w:style>
  <w:style w:type="paragraph" w:styleId="Revision">
    <w:name w:val="Revision"/>
    <w:hidden/>
    <w:uiPriority w:val="99"/>
    <w:semiHidden/>
    <w:rsid w:val="004C2493"/>
    <w:pPr>
      <w:spacing w:after="0" w:line="240" w:lineRule="auto"/>
    </w:pPr>
    <w:rPr>
      <w:lang w:val="lt-LT"/>
    </w:rPr>
  </w:style>
  <w:style w:type="character" w:styleId="CommentReference">
    <w:name w:val="annotation reference"/>
    <w:basedOn w:val="DefaultParagraphFont"/>
    <w:uiPriority w:val="99"/>
    <w:semiHidden/>
    <w:unhideWhenUsed/>
    <w:rsid w:val="00F92713"/>
    <w:rPr>
      <w:sz w:val="16"/>
      <w:szCs w:val="16"/>
    </w:rPr>
  </w:style>
  <w:style w:type="paragraph" w:styleId="CommentText">
    <w:name w:val="annotation text"/>
    <w:basedOn w:val="Normal"/>
    <w:link w:val="CommentTextChar"/>
    <w:uiPriority w:val="99"/>
    <w:unhideWhenUsed/>
    <w:rsid w:val="00F92713"/>
    <w:pPr>
      <w:spacing w:line="240" w:lineRule="auto"/>
    </w:pPr>
    <w:rPr>
      <w:sz w:val="20"/>
      <w:szCs w:val="20"/>
    </w:rPr>
  </w:style>
  <w:style w:type="character" w:customStyle="1" w:styleId="CommentTextChar">
    <w:name w:val="Comment Text Char"/>
    <w:basedOn w:val="DefaultParagraphFont"/>
    <w:link w:val="CommentText"/>
    <w:uiPriority w:val="99"/>
    <w:rsid w:val="00F92713"/>
    <w:rPr>
      <w:sz w:val="20"/>
      <w:szCs w:val="20"/>
      <w:lang w:val="lt-LT"/>
    </w:rPr>
  </w:style>
  <w:style w:type="paragraph" w:styleId="CommentSubject">
    <w:name w:val="annotation subject"/>
    <w:basedOn w:val="CommentText"/>
    <w:next w:val="CommentText"/>
    <w:link w:val="CommentSubjectChar"/>
    <w:uiPriority w:val="99"/>
    <w:semiHidden/>
    <w:unhideWhenUsed/>
    <w:rsid w:val="00F92713"/>
    <w:rPr>
      <w:b/>
      <w:bCs/>
    </w:rPr>
  </w:style>
  <w:style w:type="character" w:customStyle="1" w:styleId="CommentSubjectChar">
    <w:name w:val="Comment Subject Char"/>
    <w:basedOn w:val="CommentTextChar"/>
    <w:link w:val="CommentSubject"/>
    <w:uiPriority w:val="99"/>
    <w:semiHidden/>
    <w:rsid w:val="00F92713"/>
    <w:rPr>
      <w:b/>
      <w:bCs/>
      <w:sz w:val="20"/>
      <w:szCs w:val="20"/>
      <w:lang w:val="lt-LT"/>
    </w:rPr>
  </w:style>
  <w:style w:type="paragraph" w:customStyle="1" w:styleId="pf0">
    <w:name w:val="pf0"/>
    <w:basedOn w:val="Normal"/>
    <w:rsid w:val="005567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5672D"/>
    <w:rPr>
      <w:rFonts w:ascii="Segoe UI" w:hAnsi="Segoe UI" w:cs="Segoe UI" w:hint="default"/>
      <w:sz w:val="18"/>
      <w:szCs w:val="18"/>
    </w:rPr>
  </w:style>
  <w:style w:type="character" w:styleId="Hyperlink">
    <w:name w:val="Hyperlink"/>
    <w:basedOn w:val="DefaultParagraphFont"/>
    <w:uiPriority w:val="99"/>
    <w:unhideWhenUsed/>
    <w:rsid w:val="00E1771D"/>
    <w:rPr>
      <w:color w:val="0563C1" w:themeColor="hyperlink"/>
      <w:u w:val="single"/>
    </w:rPr>
  </w:style>
  <w:style w:type="character" w:styleId="UnresolvedMention">
    <w:name w:val="Unresolved Mention"/>
    <w:basedOn w:val="DefaultParagraphFont"/>
    <w:uiPriority w:val="99"/>
    <w:semiHidden/>
    <w:unhideWhenUsed/>
    <w:rsid w:val="00E1771D"/>
    <w:rPr>
      <w:color w:val="605E5C"/>
      <w:shd w:val="clear" w:color="auto" w:fill="E1DFDD"/>
    </w:rPr>
  </w:style>
  <w:style w:type="character" w:styleId="FollowedHyperlink">
    <w:name w:val="FollowedHyperlink"/>
    <w:basedOn w:val="DefaultParagraphFont"/>
    <w:uiPriority w:val="99"/>
    <w:semiHidden/>
    <w:unhideWhenUsed/>
    <w:rsid w:val="00E1771D"/>
    <w:rPr>
      <w:color w:val="954F72" w:themeColor="followedHyperlink"/>
      <w:u w:val="single"/>
    </w:rPr>
  </w:style>
  <w:style w:type="paragraph" w:styleId="ListParagraph">
    <w:name w:val="List Paragraph"/>
    <w:basedOn w:val="Normal"/>
    <w:uiPriority w:val="34"/>
    <w:qFormat/>
    <w:rsid w:val="00AF0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25993">
      <w:bodyDiv w:val="1"/>
      <w:marLeft w:val="0"/>
      <w:marRight w:val="0"/>
      <w:marTop w:val="0"/>
      <w:marBottom w:val="0"/>
      <w:divBdr>
        <w:top w:val="none" w:sz="0" w:space="0" w:color="auto"/>
        <w:left w:val="none" w:sz="0" w:space="0" w:color="auto"/>
        <w:bottom w:val="none" w:sz="0" w:space="0" w:color="auto"/>
        <w:right w:val="none" w:sz="0" w:space="0" w:color="auto"/>
      </w:divBdr>
    </w:div>
    <w:div w:id="887494841">
      <w:bodyDiv w:val="1"/>
      <w:marLeft w:val="0"/>
      <w:marRight w:val="0"/>
      <w:marTop w:val="0"/>
      <w:marBottom w:val="0"/>
      <w:divBdr>
        <w:top w:val="none" w:sz="0" w:space="0" w:color="auto"/>
        <w:left w:val="none" w:sz="0" w:space="0" w:color="auto"/>
        <w:bottom w:val="none" w:sz="0" w:space="0" w:color="auto"/>
        <w:right w:val="none" w:sz="0" w:space="0" w:color="auto"/>
      </w:divBdr>
      <w:divsChild>
        <w:div w:id="1411807682">
          <w:marLeft w:val="0"/>
          <w:marRight w:val="0"/>
          <w:marTop w:val="0"/>
          <w:marBottom w:val="0"/>
          <w:divBdr>
            <w:top w:val="none" w:sz="0" w:space="0" w:color="auto"/>
            <w:left w:val="none" w:sz="0" w:space="0" w:color="auto"/>
            <w:bottom w:val="none" w:sz="0" w:space="0" w:color="auto"/>
            <w:right w:val="none" w:sz="0" w:space="0" w:color="auto"/>
          </w:divBdr>
        </w:div>
      </w:divsChild>
    </w:div>
    <w:div w:id="1199246967">
      <w:bodyDiv w:val="1"/>
      <w:marLeft w:val="0"/>
      <w:marRight w:val="0"/>
      <w:marTop w:val="0"/>
      <w:marBottom w:val="0"/>
      <w:divBdr>
        <w:top w:val="none" w:sz="0" w:space="0" w:color="auto"/>
        <w:left w:val="none" w:sz="0" w:space="0" w:color="auto"/>
        <w:bottom w:val="none" w:sz="0" w:space="0" w:color="auto"/>
        <w:right w:val="none" w:sz="0" w:space="0" w:color="auto"/>
      </w:divBdr>
      <w:divsChild>
        <w:div w:id="248001718">
          <w:marLeft w:val="0"/>
          <w:marRight w:val="0"/>
          <w:marTop w:val="0"/>
          <w:marBottom w:val="0"/>
          <w:divBdr>
            <w:top w:val="none" w:sz="0" w:space="0" w:color="auto"/>
            <w:left w:val="none" w:sz="0" w:space="0" w:color="auto"/>
            <w:bottom w:val="none" w:sz="0" w:space="0" w:color="auto"/>
            <w:right w:val="none" w:sz="0" w:space="0" w:color="auto"/>
          </w:divBdr>
        </w:div>
      </w:divsChild>
    </w:div>
    <w:div w:id="1448894378">
      <w:bodyDiv w:val="1"/>
      <w:marLeft w:val="0"/>
      <w:marRight w:val="0"/>
      <w:marTop w:val="0"/>
      <w:marBottom w:val="0"/>
      <w:divBdr>
        <w:top w:val="none" w:sz="0" w:space="0" w:color="auto"/>
        <w:left w:val="none" w:sz="0" w:space="0" w:color="auto"/>
        <w:bottom w:val="none" w:sz="0" w:space="0" w:color="auto"/>
        <w:right w:val="none" w:sz="0" w:space="0" w:color="auto"/>
      </w:divBdr>
    </w:div>
    <w:div w:id="1512255205">
      <w:bodyDiv w:val="1"/>
      <w:marLeft w:val="0"/>
      <w:marRight w:val="0"/>
      <w:marTop w:val="0"/>
      <w:marBottom w:val="0"/>
      <w:divBdr>
        <w:top w:val="none" w:sz="0" w:space="0" w:color="auto"/>
        <w:left w:val="none" w:sz="0" w:space="0" w:color="auto"/>
        <w:bottom w:val="none" w:sz="0" w:space="0" w:color="auto"/>
        <w:right w:val="none" w:sz="0" w:space="0" w:color="auto"/>
      </w:divBdr>
      <w:divsChild>
        <w:div w:id="1599754169">
          <w:marLeft w:val="0"/>
          <w:marRight w:val="0"/>
          <w:marTop w:val="0"/>
          <w:marBottom w:val="0"/>
          <w:divBdr>
            <w:top w:val="none" w:sz="0" w:space="0" w:color="auto"/>
            <w:left w:val="none" w:sz="0" w:space="0" w:color="auto"/>
            <w:bottom w:val="none" w:sz="0" w:space="0" w:color="auto"/>
            <w:right w:val="none" w:sz="0" w:space="0" w:color="auto"/>
          </w:divBdr>
          <w:divsChild>
            <w:div w:id="28335356">
              <w:marLeft w:val="0"/>
              <w:marRight w:val="0"/>
              <w:marTop w:val="0"/>
              <w:marBottom w:val="0"/>
              <w:divBdr>
                <w:top w:val="none" w:sz="0" w:space="0" w:color="auto"/>
                <w:left w:val="none" w:sz="0" w:space="0" w:color="auto"/>
                <w:bottom w:val="none" w:sz="0" w:space="0" w:color="auto"/>
                <w:right w:val="none" w:sz="0" w:space="0" w:color="auto"/>
              </w:divBdr>
            </w:div>
          </w:divsChild>
        </w:div>
        <w:div w:id="10966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daa0e4a05c3c11e7a53b83ca0142260e/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daa0e4a05c3c11e7a53b83ca0142260e/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metodine-pagalba/pavyzdiniai-dokumentai-3" TargetMode="External"/><Relationship Id="rId5" Type="http://schemas.openxmlformats.org/officeDocument/2006/relationships/footnotes" Target="footnotes.xml"/><Relationship Id="rId10" Type="http://schemas.openxmlformats.org/officeDocument/2006/relationships/hyperlink" Target="https://e-seimas.lrs.lt/portal/legalAct/lt/TAD/daa0e4a05c3c11e7a53b83ca0142260e/asr" TargetMode="External"/><Relationship Id="rId4" Type="http://schemas.openxmlformats.org/officeDocument/2006/relationships/webSettings" Target="webSettings.xml"/><Relationship Id="rId9"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5528</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3</cp:revision>
  <dcterms:created xsi:type="dcterms:W3CDTF">2024-03-29T15:14:00Z</dcterms:created>
  <dcterms:modified xsi:type="dcterms:W3CDTF">2024-03-29T15:25:00Z</dcterms:modified>
</cp:coreProperties>
</file>