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B429A" w14:textId="77777777" w:rsidR="00C43D27" w:rsidRPr="00EA2C78" w:rsidRDefault="00C43D27" w:rsidP="00EA2C78">
      <w:pPr>
        <w:spacing w:line="276" w:lineRule="auto"/>
        <w:rPr>
          <w:sz w:val="24"/>
          <w:szCs w:val="24"/>
        </w:rPr>
      </w:pPr>
      <w:r w:rsidRPr="00EA2C78">
        <w:rPr>
          <w:sz w:val="24"/>
          <w:szCs w:val="24"/>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E96D3B4" w14:textId="08EFF61E" w:rsidR="00C43D27" w:rsidRPr="00EA2C78" w:rsidRDefault="00C43D27" w:rsidP="00EA2C78">
      <w:pPr>
        <w:shd w:val="clear" w:color="auto" w:fill="FFFFFF"/>
        <w:spacing w:after="0" w:line="276" w:lineRule="auto"/>
        <w:rPr>
          <w:rFonts w:ascii="Calibri" w:eastAsia="Times New Roman" w:hAnsi="Calibri" w:cs="Calibri"/>
          <w:color w:val="333333"/>
          <w:kern w:val="0"/>
          <w:sz w:val="24"/>
          <w:szCs w:val="24"/>
          <w14:ligatures w14:val="none"/>
        </w:rPr>
      </w:pPr>
      <w:r w:rsidRPr="00EA2C78">
        <w:rPr>
          <w:sz w:val="24"/>
          <w:szCs w:val="24"/>
        </w:rPr>
        <w:t xml:space="preserve">Vadovaujantis Tarnybai Įstatyme nustatyta pažeidimų prevencijos funkcija, šiuo metu atliekama </w:t>
      </w:r>
      <w:r w:rsidRPr="00EA2C78">
        <w:rPr>
          <w:b/>
          <w:bCs/>
          <w:sz w:val="24"/>
          <w:szCs w:val="24"/>
        </w:rPr>
        <w:t>Alytaus miesto savivaldybės administracijos</w:t>
      </w:r>
      <w:r w:rsidRPr="00EA2C78">
        <w:rPr>
          <w:sz w:val="24"/>
          <w:szCs w:val="24"/>
        </w:rPr>
        <w:t xml:space="preserve"> (toliau – Perkančioji organizacija) vykdomo pirkimo Nr. </w:t>
      </w:r>
      <w:r w:rsidRPr="00EA2C78">
        <w:rPr>
          <w:b/>
          <w:bCs/>
          <w:sz w:val="24"/>
          <w:szCs w:val="24"/>
        </w:rPr>
        <w:t>714403 „</w:t>
      </w:r>
      <w:r w:rsidR="00875A09" w:rsidRPr="00EA2C78">
        <w:rPr>
          <w:rFonts w:ascii="Calibri" w:eastAsia="Times New Roman" w:hAnsi="Calibri" w:cs="Calibri"/>
          <w:b/>
          <w:bCs/>
          <w:color w:val="333333"/>
          <w:kern w:val="0"/>
          <w:sz w:val="24"/>
          <w:szCs w:val="24"/>
          <w14:ligatures w14:val="none"/>
        </w:rPr>
        <w:t>Alytaus Žirgų g. ruožo nuo 1,16 km iki 1,69 km ir Voveraičių g. rekonstravimo darbai</w:t>
      </w:r>
      <w:r w:rsidRPr="00EA2C78">
        <w:rPr>
          <w:b/>
          <w:bCs/>
          <w:sz w:val="24"/>
          <w:szCs w:val="24"/>
        </w:rPr>
        <w:t>“</w:t>
      </w:r>
      <w:r w:rsidRPr="00EA2C78">
        <w:rPr>
          <w:sz w:val="24"/>
          <w:szCs w:val="24"/>
        </w:rPr>
        <w:t xml:space="preserve"> (toliau – Pirkimas) dokumentų atitikties Įstatymui ir jį įgyvendinantiems teisės aktams peržiūra (peržiūra prevenciniais tikslais atliekama tam tikra apimtimi).</w:t>
      </w:r>
    </w:p>
    <w:p w14:paraId="4CCBF38F" w14:textId="6B447E59" w:rsidR="00C87E6C" w:rsidRPr="00EA2C78" w:rsidRDefault="00C43D27" w:rsidP="00EA2C78">
      <w:pPr>
        <w:spacing w:line="276" w:lineRule="auto"/>
        <w:rPr>
          <w:sz w:val="24"/>
          <w:szCs w:val="24"/>
        </w:rPr>
      </w:pPr>
      <w:r w:rsidRPr="00EA2C78">
        <w:rPr>
          <w:sz w:val="24"/>
          <w:szCs w:val="24"/>
        </w:rPr>
        <w:t>Tarnyba, prevencine tvarka peržiūrėjusi Pirkimo dokumentus ir atsižvelgdama į galiojantį teisinį reglamentavimą, teikia klausimus, pastabas ir rekomendacijas (toliau – Rekomendacija) dėl Pirkimo dokumentų nuostatų.</w:t>
      </w:r>
    </w:p>
    <w:p w14:paraId="05590FB1" w14:textId="254186D9" w:rsidR="0076048A" w:rsidRPr="00EA2C78" w:rsidRDefault="00A3054C" w:rsidP="00EA2C78">
      <w:pPr>
        <w:pStyle w:val="paragraph"/>
        <w:numPr>
          <w:ilvl w:val="0"/>
          <w:numId w:val="2"/>
        </w:numPr>
        <w:tabs>
          <w:tab w:val="left" w:pos="1134"/>
        </w:tabs>
        <w:spacing w:before="0" w:beforeAutospacing="0" w:after="0" w:afterAutospacing="0" w:line="276" w:lineRule="auto"/>
        <w:ind w:left="0" w:firstLine="709"/>
        <w:textAlignment w:val="baseline"/>
        <w:rPr>
          <w:rFonts w:asciiTheme="minorHAnsi" w:hAnsiTheme="minorHAnsi" w:cstheme="minorHAnsi"/>
          <w:b/>
          <w:bCs/>
          <w:lang w:val="lt-LT"/>
        </w:rPr>
      </w:pPr>
      <w:r w:rsidRPr="00EA2C78">
        <w:rPr>
          <w:rFonts w:asciiTheme="minorHAnsi" w:hAnsiTheme="minorHAnsi" w:cstheme="minorHAnsi"/>
          <w:b/>
          <w:bCs/>
          <w:lang w:val="lt-LT"/>
        </w:rPr>
        <w:t>Dėl žaliojo pirkimo kriterij</w:t>
      </w:r>
      <w:r w:rsidR="00CF3CDC" w:rsidRPr="00EA2C78">
        <w:rPr>
          <w:rFonts w:asciiTheme="minorHAnsi" w:hAnsiTheme="minorHAnsi" w:cstheme="minorHAnsi"/>
          <w:b/>
          <w:bCs/>
          <w:lang w:val="lt-LT"/>
        </w:rPr>
        <w:t>aus</w:t>
      </w:r>
      <w:r w:rsidRPr="00EA2C78">
        <w:rPr>
          <w:rFonts w:asciiTheme="minorHAnsi" w:hAnsiTheme="minorHAnsi" w:cstheme="minorHAnsi"/>
          <w:b/>
          <w:bCs/>
          <w:lang w:val="lt-LT"/>
        </w:rPr>
        <w:t xml:space="preserve"> taikymo</w:t>
      </w:r>
    </w:p>
    <w:p w14:paraId="21EB6544" w14:textId="77777777" w:rsidR="00E20371" w:rsidRPr="00EA2C78" w:rsidRDefault="00E20371" w:rsidP="00EA2C78">
      <w:pPr>
        <w:pStyle w:val="paragraph"/>
        <w:tabs>
          <w:tab w:val="left" w:pos="1134"/>
        </w:tabs>
        <w:spacing w:before="0" w:beforeAutospacing="0" w:after="0" w:afterAutospacing="0" w:line="276" w:lineRule="auto"/>
        <w:ind w:left="709"/>
        <w:textAlignment w:val="baseline"/>
        <w:rPr>
          <w:rFonts w:asciiTheme="minorHAnsi" w:hAnsiTheme="minorHAnsi" w:cstheme="minorHAnsi"/>
          <w:b/>
          <w:bCs/>
          <w:lang w:val="lt-LT"/>
        </w:rPr>
      </w:pPr>
    </w:p>
    <w:p w14:paraId="2F83FAE1" w14:textId="1DEDA2A1" w:rsidR="0076048A" w:rsidRPr="00EA2C78" w:rsidRDefault="00A60A74" w:rsidP="00EA2C78">
      <w:pPr>
        <w:spacing w:after="0" w:line="276" w:lineRule="auto"/>
        <w:rPr>
          <w:sz w:val="24"/>
          <w:szCs w:val="24"/>
        </w:rPr>
      </w:pPr>
      <w:r w:rsidRPr="00EA2C78">
        <w:rPr>
          <w:b/>
          <w:bCs/>
          <w:sz w:val="24"/>
          <w:szCs w:val="24"/>
        </w:rPr>
        <w:t xml:space="preserve">       </w:t>
      </w:r>
      <w:r w:rsidR="00EA7090" w:rsidRPr="00EA2C78">
        <w:rPr>
          <w:b/>
          <w:bCs/>
          <w:sz w:val="24"/>
          <w:szCs w:val="24"/>
        </w:rPr>
        <w:t>1.1.</w:t>
      </w:r>
      <w:r w:rsidR="00EA7090" w:rsidRPr="00EA2C78">
        <w:rPr>
          <w:sz w:val="24"/>
          <w:szCs w:val="24"/>
        </w:rPr>
        <w:t xml:space="preserve"> </w:t>
      </w:r>
      <w:r w:rsidR="0076048A" w:rsidRPr="00EA2C78">
        <w:rPr>
          <w:sz w:val="24"/>
          <w:szCs w:val="24"/>
        </w:rPr>
        <w:t>Skelbimo apie Pirkimą skiltyje „Žalioji informacija“</w:t>
      </w:r>
      <w:r w:rsidR="008F7187" w:rsidRPr="00EA2C78">
        <w:rPr>
          <w:sz w:val="24"/>
          <w:szCs w:val="24"/>
        </w:rPr>
        <w:t xml:space="preserve"> ir </w:t>
      </w:r>
      <w:r w:rsidR="00B270B3" w:rsidRPr="00EA2C78">
        <w:rPr>
          <w:sz w:val="24"/>
          <w:szCs w:val="24"/>
        </w:rPr>
        <w:t>Specialiųjų pirkimo</w:t>
      </w:r>
      <w:r w:rsidR="0052601F" w:rsidRPr="00EA2C78">
        <w:rPr>
          <w:sz w:val="24"/>
          <w:szCs w:val="24"/>
        </w:rPr>
        <w:t xml:space="preserve"> </w:t>
      </w:r>
      <w:r w:rsidR="0076048A" w:rsidRPr="00EA2C78">
        <w:rPr>
          <w:sz w:val="24"/>
          <w:szCs w:val="24"/>
        </w:rPr>
        <w:t>sąlygų 1.</w:t>
      </w:r>
      <w:r w:rsidR="0052601F" w:rsidRPr="00EA2C78">
        <w:rPr>
          <w:sz w:val="24"/>
          <w:szCs w:val="24"/>
        </w:rPr>
        <w:t>6</w:t>
      </w:r>
      <w:r w:rsidR="00771CE1" w:rsidRPr="00EA2C78">
        <w:rPr>
          <w:sz w:val="24"/>
          <w:szCs w:val="24"/>
        </w:rPr>
        <w:t xml:space="preserve"> punkte </w:t>
      </w:r>
      <w:r w:rsidR="0076048A" w:rsidRPr="00EA2C78">
        <w:rPr>
          <w:sz w:val="24"/>
          <w:szCs w:val="24"/>
        </w:rPr>
        <w:t xml:space="preserve">nurodyta, kad „Vykdomas žaliasis pirkimas pagal Lietuvos Respublikos aplinkos ministro 2011 m. birželio 28 d. įsakymu Nr. D1-508 patvirtintą „Aplinkos apsaugos kriterijų taikymo, vykdant žaliuosius pirkimus, tvarkos aprašą“ (toliau – Tvarkos aprašas)“. Taip pat nurodyta, kad aplinkos apsaugos kriterijai nustatyti </w:t>
      </w:r>
      <w:r w:rsidR="0076048A" w:rsidRPr="00DE1D90">
        <w:rPr>
          <w:b/>
          <w:bCs/>
          <w:sz w:val="24"/>
          <w:szCs w:val="24"/>
        </w:rPr>
        <w:t>pa</w:t>
      </w:r>
      <w:r w:rsidR="00771CE1" w:rsidRPr="00DE1D90">
        <w:rPr>
          <w:b/>
          <w:bCs/>
          <w:sz w:val="24"/>
          <w:szCs w:val="24"/>
        </w:rPr>
        <w:t>gal  Tvarkos aprašo 4.3 punkte</w:t>
      </w:r>
      <w:r w:rsidR="0076048A" w:rsidRPr="00EA2C78">
        <w:rPr>
          <w:sz w:val="24"/>
          <w:szCs w:val="24"/>
        </w:rPr>
        <w:t xml:space="preserve"> („</w:t>
      </w:r>
      <w:r w:rsidR="0076048A" w:rsidRPr="00EA2C78">
        <w:rPr>
          <w:b/>
          <w:bCs/>
          <w:sz w:val="24"/>
          <w:szCs w:val="24"/>
        </w:rPr>
        <w:t>nėra produktų sąraše</w:t>
      </w:r>
      <w:r w:rsidR="0076048A" w:rsidRPr="00EA2C78">
        <w:rPr>
          <w:sz w:val="24"/>
          <w:szCs w:val="24"/>
        </w:rPr>
        <w:t xml:space="preserv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&lt;...&gt;“).  </w:t>
      </w:r>
    </w:p>
    <w:p w14:paraId="753C4754" w14:textId="436A3AEF" w:rsidR="0076048A" w:rsidRPr="00EA2C78" w:rsidRDefault="00A60A74" w:rsidP="00EA2C78">
      <w:pPr>
        <w:spacing w:after="0" w:line="276" w:lineRule="auto"/>
        <w:rPr>
          <w:sz w:val="24"/>
          <w:szCs w:val="24"/>
        </w:rPr>
      </w:pPr>
      <w:r w:rsidRPr="00EA2C78">
        <w:rPr>
          <w:sz w:val="24"/>
          <w:szCs w:val="24"/>
        </w:rPr>
        <w:t xml:space="preserve">       </w:t>
      </w:r>
      <w:r w:rsidR="0076048A" w:rsidRPr="00EA2C78">
        <w:rPr>
          <w:sz w:val="24"/>
          <w:szCs w:val="24"/>
        </w:rPr>
        <w:t xml:space="preserve">Pažymima, kad Pirkimo objektas šiuo atveju </w:t>
      </w:r>
      <w:r w:rsidR="0076048A" w:rsidRPr="00DE1D90">
        <w:rPr>
          <w:b/>
          <w:bCs/>
          <w:sz w:val="24"/>
          <w:szCs w:val="24"/>
        </w:rPr>
        <w:t>patenka į</w:t>
      </w:r>
      <w:r w:rsidR="0076048A" w:rsidRPr="00EA2C78">
        <w:rPr>
          <w:sz w:val="24"/>
          <w:szCs w:val="24"/>
        </w:rPr>
        <w:t xml:space="preserve"> Tvarkos aprašo priede Nr. 1 „Produktų, kurių viešiesiems pirkimams ir pirkimams taikytini minimalūs aplinkos apsaugos kriterijai, sąrašas“ </w:t>
      </w:r>
      <w:r w:rsidR="0076048A" w:rsidRPr="00DE1D90">
        <w:rPr>
          <w:b/>
          <w:bCs/>
          <w:sz w:val="24"/>
          <w:szCs w:val="24"/>
        </w:rPr>
        <w:t>nurodytą sąrašą</w:t>
      </w:r>
      <w:r w:rsidR="0076048A" w:rsidRPr="00EA2C78">
        <w:rPr>
          <w:sz w:val="24"/>
          <w:szCs w:val="24"/>
        </w:rPr>
        <w:t xml:space="preserve">, t. y. taikomas 17.1 papunktis „kelių projektavimo paslaugos ir jų statybos darbai“. Tvarkos aprašo 4 punkte nustatyta, kad pirkimas laikomas žaliuoju, kai perkama prekė, paslauga arba darbas tenkina bent vieną iš žemiau esančių papunkčių:  4.1.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w:t>
      </w:r>
    </w:p>
    <w:p w14:paraId="417D0F5F" w14:textId="50A04D6A" w:rsidR="0076048A" w:rsidRPr="00EA2C78" w:rsidRDefault="00A60A74" w:rsidP="00EA2C78">
      <w:pPr>
        <w:spacing w:line="276" w:lineRule="auto"/>
        <w:rPr>
          <w:sz w:val="24"/>
          <w:szCs w:val="24"/>
        </w:rPr>
      </w:pPr>
      <w:r w:rsidRPr="00EA2C78">
        <w:rPr>
          <w:sz w:val="24"/>
          <w:szCs w:val="24"/>
        </w:rPr>
        <w:t xml:space="preserve">      </w:t>
      </w:r>
      <w:r w:rsidR="0076048A" w:rsidRPr="00EA2C78">
        <w:rPr>
          <w:sz w:val="24"/>
          <w:szCs w:val="24"/>
        </w:rPr>
        <w:t xml:space="preserve">Tvarkos aprašo priedo Nr. 2 „Minimalūs aplinkos </w:t>
      </w:r>
      <w:r w:rsidR="00771CE1" w:rsidRPr="00EA2C78">
        <w:rPr>
          <w:sz w:val="24"/>
          <w:szCs w:val="24"/>
        </w:rPr>
        <w:t>apsaugos kriterijai“ 26.1 punkte</w:t>
      </w:r>
      <w:r w:rsidR="0076048A" w:rsidRPr="00EA2C78">
        <w:rPr>
          <w:sz w:val="24"/>
          <w:szCs w:val="24"/>
        </w:rPr>
        <w:t xml:space="preserve"> nustatyti kelių statybos darbų minimalūs aplinkos apsaugos kriterijai, kuriuos privaloma taikyti vykdant žaliąjį pirkimą. Atsižvelgiant į aukščiau nurodytą, Tarnyba rekomenduoja </w:t>
      </w:r>
      <w:r w:rsidR="008D45CE">
        <w:rPr>
          <w:sz w:val="24"/>
          <w:szCs w:val="24"/>
        </w:rPr>
        <w:t>pa</w:t>
      </w:r>
      <w:r w:rsidR="0076048A" w:rsidRPr="00EA2C78">
        <w:rPr>
          <w:sz w:val="24"/>
          <w:szCs w:val="24"/>
        </w:rPr>
        <w:t xml:space="preserve">tikslinti </w:t>
      </w:r>
      <w:r w:rsidR="00B65705" w:rsidRPr="00EA2C78">
        <w:rPr>
          <w:sz w:val="24"/>
          <w:szCs w:val="24"/>
        </w:rPr>
        <w:t>Specialiųjų pirkimo</w:t>
      </w:r>
      <w:r w:rsidR="00733E91" w:rsidRPr="00EA2C78">
        <w:rPr>
          <w:sz w:val="24"/>
          <w:szCs w:val="24"/>
        </w:rPr>
        <w:t xml:space="preserve"> sąlygų 1.6</w:t>
      </w:r>
      <w:r w:rsidR="00771CE1" w:rsidRPr="00EA2C78">
        <w:rPr>
          <w:sz w:val="24"/>
          <w:szCs w:val="24"/>
        </w:rPr>
        <w:t xml:space="preserve"> punkto</w:t>
      </w:r>
      <w:r w:rsidR="0076048A" w:rsidRPr="00EA2C78">
        <w:rPr>
          <w:sz w:val="24"/>
          <w:szCs w:val="24"/>
        </w:rPr>
        <w:t xml:space="preserve"> informaciją. Tarnyba yra parengusi ir viešai paskelbusi pranešimą </w:t>
      </w:r>
      <w:r w:rsidR="0076048A" w:rsidRPr="00EA2C78">
        <w:rPr>
          <w:sz w:val="24"/>
          <w:szCs w:val="24"/>
        </w:rPr>
        <w:lastRenderedPageBreak/>
        <w:t>„Kelių projektavimo paslaugos ir jų statybos darbai. Minimalių aplinkos apsaugos kriterijų taikymas“ (</w:t>
      </w:r>
      <w:hyperlink r:id="rId8" w:history="1">
        <w:r w:rsidR="00BF0252" w:rsidRPr="00EA2C78">
          <w:rPr>
            <w:rStyle w:val="Hyperlink"/>
            <w:sz w:val="24"/>
            <w:szCs w:val="24"/>
          </w:rPr>
          <w:t>https://vpt.lrv.lt/uploads/vpt/documents/files/DPS/Keliu%20projektavimo%20ir%20statybos%20darbu%20MAAK%20taikymas_PRANESIMAS.pdf</w:t>
        </w:r>
      </w:hyperlink>
      <w:r w:rsidR="0076048A" w:rsidRPr="00EA2C78">
        <w:rPr>
          <w:sz w:val="24"/>
          <w:szCs w:val="24"/>
        </w:rPr>
        <w:t>)</w:t>
      </w:r>
      <w:r w:rsidR="00BF0252" w:rsidRPr="00EA2C78">
        <w:rPr>
          <w:sz w:val="24"/>
          <w:szCs w:val="24"/>
        </w:rPr>
        <w:t xml:space="preserve"> </w:t>
      </w:r>
    </w:p>
    <w:p w14:paraId="431DEC6B" w14:textId="526EE82E" w:rsidR="00790C8E" w:rsidRPr="00EA2C78" w:rsidRDefault="00A60A74" w:rsidP="00EA2C78">
      <w:pPr>
        <w:spacing w:after="0" w:line="276" w:lineRule="auto"/>
        <w:rPr>
          <w:sz w:val="24"/>
          <w:szCs w:val="24"/>
        </w:rPr>
      </w:pPr>
      <w:r w:rsidRPr="00EA2C78">
        <w:rPr>
          <w:rFonts w:ascii="Calibri" w:eastAsia="Calibri" w:hAnsi="Calibri" w:cs="Calibri"/>
          <w:sz w:val="24"/>
          <w:szCs w:val="24"/>
        </w:rPr>
        <w:t xml:space="preserve">       </w:t>
      </w:r>
      <w:r w:rsidR="00790C8E" w:rsidRPr="00EA2C78">
        <w:rPr>
          <w:rFonts w:ascii="Calibri" w:eastAsia="Calibri" w:hAnsi="Calibri" w:cs="Calibri"/>
          <w:sz w:val="24"/>
          <w:szCs w:val="24"/>
        </w:rPr>
        <w:t xml:space="preserve">Papildomai atkreipiame dėmesį, kad perkančiosios organizacijos turi atsakingai Centrinėje viešųjų pirkimų informacinėje sistemoje (CVP IS) pildyti pirkimų skelbimų formas – skelbimo skiltyje „Priedas“ atsakydami į klausimą, ar vykdomas pirkimas yra „žaliasis“, pasirinkę galimą atsakymo variantą „Taip“, teisingai nurodyti, kokiais Tvarkos aprašo papunkčiais vadovaujantis nustatyti konkretaus pirkimo aplinkos pasaugos kriterijai ir kurioje pirkimo dokumentų dalyje. Tai ypač svarbu, kadangi būtent perkančiųjų organizacijų skelbimuose pateiktų duomenų pagrindu įgyvendinama galimybė analizuoti informaciją apie žaliuosius pirkimus Centriniame viešųjų pirkimų portale (CVPP) ir analitiniame stebėsenos įrankyje „Žalieji pirkimai pagal pirkimų skelbimuose pildomą informaciją (daugiau informacijos Tarnybos 2023 m. liepos 24 d. informaciniame pranešime „Dėl pirkimų skelbimuose pildomos „Žalia informacija“ skilties: </w:t>
      </w:r>
    </w:p>
    <w:p w14:paraId="6E0394D1" w14:textId="77777777" w:rsidR="00790C8E" w:rsidRPr="00EA2C78" w:rsidRDefault="00000000" w:rsidP="00EA2C78">
      <w:pPr>
        <w:spacing w:after="0" w:line="276" w:lineRule="auto"/>
        <w:rPr>
          <w:sz w:val="24"/>
          <w:szCs w:val="24"/>
        </w:rPr>
      </w:pPr>
      <w:hyperlink r:id="rId9">
        <w:r w:rsidR="00790C8E" w:rsidRPr="00EA2C78">
          <w:rPr>
            <w:rStyle w:val="Hyperlink"/>
            <w:color w:val="0563C1"/>
            <w:sz w:val="24"/>
            <w:szCs w:val="24"/>
          </w:rPr>
          <w:t>https://vpt.lrv.lt/lt/naujienos-3/del-pirkimu-skelbimuose-pildomos-zalia-informacija-skilties/</w:t>
        </w:r>
      </w:hyperlink>
      <w:r w:rsidR="00790C8E" w:rsidRPr="00EA2C78">
        <w:rPr>
          <w:rFonts w:ascii="Calibri" w:eastAsia="Calibri" w:hAnsi="Calibri" w:cs="Calibri"/>
          <w:sz w:val="24"/>
          <w:szCs w:val="24"/>
        </w:rPr>
        <w:t xml:space="preserve"> </w:t>
      </w:r>
    </w:p>
    <w:p w14:paraId="1A710EDD" w14:textId="093E782C" w:rsidR="00790C8E" w:rsidRPr="00EA2C78" w:rsidRDefault="00A60A74" w:rsidP="00EA2C78">
      <w:pPr>
        <w:spacing w:after="0" w:line="276" w:lineRule="auto"/>
        <w:rPr>
          <w:sz w:val="24"/>
          <w:szCs w:val="24"/>
        </w:rPr>
      </w:pPr>
      <w:r w:rsidRPr="00EA2C78">
        <w:rPr>
          <w:rFonts w:ascii="Calibri" w:eastAsia="Calibri" w:hAnsi="Calibri" w:cs="Calibri"/>
          <w:sz w:val="24"/>
          <w:szCs w:val="24"/>
        </w:rPr>
        <w:t xml:space="preserve">       </w:t>
      </w:r>
      <w:r w:rsidR="00790C8E" w:rsidRPr="00EA2C78">
        <w:rPr>
          <w:rFonts w:ascii="Calibri" w:eastAsia="Calibri" w:hAnsi="Calibri" w:cs="Calibri"/>
          <w:sz w:val="24"/>
          <w:szCs w:val="24"/>
        </w:rPr>
        <w:t xml:space="preserve">Atsižvelgiant į tai, kad šiuo atveju užpildyti ir pateikti Klaidų ištaisymo skelbimo nėra galimybės, rekomenduotina ateityje vykdant pirkimus skelbime apie pirkimą nurodyti teisingą </w:t>
      </w:r>
      <w:r w:rsidR="008D45CE">
        <w:rPr>
          <w:rFonts w:ascii="Calibri" w:eastAsia="Calibri" w:hAnsi="Calibri" w:cs="Calibri"/>
          <w:sz w:val="24"/>
          <w:szCs w:val="24"/>
        </w:rPr>
        <w:t xml:space="preserve">informaciją ir tinkamą </w:t>
      </w:r>
      <w:r w:rsidR="00790C8E" w:rsidRPr="00EA2C78">
        <w:rPr>
          <w:rFonts w:ascii="Calibri" w:eastAsia="Calibri" w:hAnsi="Calibri" w:cs="Calibri"/>
          <w:sz w:val="24"/>
          <w:szCs w:val="24"/>
        </w:rPr>
        <w:t xml:space="preserve">Tvarkos aprašo punktą. </w:t>
      </w:r>
    </w:p>
    <w:p w14:paraId="178CB3B0" w14:textId="6402E982" w:rsidR="003462A2" w:rsidRPr="00EA2C78" w:rsidRDefault="0076048A" w:rsidP="00EA2C78">
      <w:pPr>
        <w:spacing w:line="276" w:lineRule="auto"/>
        <w:rPr>
          <w:sz w:val="24"/>
          <w:szCs w:val="24"/>
        </w:rPr>
      </w:pPr>
      <w:r w:rsidRPr="00EA2C78">
        <w:rPr>
          <w:sz w:val="24"/>
          <w:szCs w:val="24"/>
        </w:rPr>
        <w:t xml:space="preserve">  </w:t>
      </w:r>
    </w:p>
    <w:p w14:paraId="4746DE00" w14:textId="258430A0" w:rsidR="007D2610" w:rsidRPr="00EA2C78" w:rsidRDefault="002C1EB4" w:rsidP="00EA2C78">
      <w:pPr>
        <w:pStyle w:val="ListParagraph"/>
        <w:numPr>
          <w:ilvl w:val="0"/>
          <w:numId w:val="2"/>
        </w:numPr>
        <w:spacing w:line="276" w:lineRule="auto"/>
        <w:rPr>
          <w:b/>
          <w:sz w:val="24"/>
          <w:szCs w:val="24"/>
        </w:rPr>
      </w:pPr>
      <w:r w:rsidRPr="00EA2C78">
        <w:rPr>
          <w:rFonts w:cstheme="minorHAnsi"/>
          <w:b/>
          <w:sz w:val="24"/>
          <w:szCs w:val="24"/>
          <w:lang w:eastAsia="lt-LT"/>
        </w:rPr>
        <w:t>Dėl kvalifikacijos reikalavimų tiekėjui</w:t>
      </w:r>
      <w:r w:rsidR="007D2610" w:rsidRPr="00EA2C78">
        <w:rPr>
          <w:b/>
          <w:sz w:val="24"/>
          <w:szCs w:val="24"/>
        </w:rPr>
        <w:t xml:space="preserve"> </w:t>
      </w:r>
    </w:p>
    <w:p w14:paraId="1AD9469D" w14:textId="112B7628" w:rsidR="005441E1" w:rsidRPr="00EA2C78" w:rsidRDefault="005610A5" w:rsidP="00EA2C78">
      <w:pPr>
        <w:shd w:val="clear" w:color="auto" w:fill="FFFFFF"/>
        <w:spacing w:after="0" w:line="276" w:lineRule="auto"/>
        <w:rPr>
          <w:rFonts w:eastAsia="Times New Roman" w:cstheme="minorHAnsi"/>
          <w:color w:val="333333"/>
          <w:sz w:val="24"/>
          <w:szCs w:val="24"/>
        </w:rPr>
      </w:pPr>
      <w:r w:rsidRPr="00EA2C78">
        <w:rPr>
          <w:b/>
          <w:bCs/>
          <w:sz w:val="24"/>
          <w:szCs w:val="24"/>
        </w:rPr>
        <w:t xml:space="preserve">       </w:t>
      </w:r>
      <w:r w:rsidR="001F7DC2" w:rsidRPr="00EA2C78">
        <w:rPr>
          <w:b/>
          <w:bCs/>
          <w:sz w:val="24"/>
          <w:szCs w:val="24"/>
        </w:rPr>
        <w:t>2.1.</w:t>
      </w:r>
      <w:r w:rsidR="001F7DC2" w:rsidRPr="00EA2C78">
        <w:rPr>
          <w:sz w:val="24"/>
          <w:szCs w:val="24"/>
        </w:rPr>
        <w:t xml:space="preserve"> </w:t>
      </w:r>
      <w:r w:rsidR="000A3978" w:rsidRPr="00EA2C78">
        <w:rPr>
          <w:rFonts w:cstheme="minorHAnsi"/>
          <w:sz w:val="24"/>
          <w:szCs w:val="24"/>
        </w:rPr>
        <w:t>Specialiųjų pirkimo sąlygų 8 priedo „</w:t>
      </w:r>
      <w:r w:rsidR="006F79E9" w:rsidRPr="00EA2C78">
        <w:rPr>
          <w:rFonts w:eastAsia="Calibri" w:cstheme="minorHAnsi"/>
          <w:sz w:val="24"/>
          <w:szCs w:val="24"/>
        </w:rPr>
        <w:t xml:space="preserve"> Tiekėjų kvalifikacijos reikalavimai ir reikalavimai laikytis kokybės vadybos sistemos ir (arba) aplinkos apsaugos vadybos sistemos standartų</w:t>
      </w:r>
      <w:r w:rsidR="000A3978" w:rsidRPr="00EA2C78">
        <w:rPr>
          <w:rFonts w:cstheme="minorHAnsi"/>
          <w:sz w:val="24"/>
          <w:szCs w:val="24"/>
        </w:rPr>
        <w:t xml:space="preserve">“ Tiekėjų kvalifikacijos reikalavimų lentelės (toliau – Kvalifikacijos reikalavimai) 1.1 punkte nurodyta, kad </w:t>
      </w:r>
      <w:r w:rsidR="00A46D6C" w:rsidRPr="00EA2C78">
        <w:rPr>
          <w:rFonts w:cstheme="minorHAnsi"/>
          <w:sz w:val="24"/>
          <w:szCs w:val="24"/>
        </w:rPr>
        <w:t>„</w:t>
      </w:r>
      <w:r w:rsidR="005441E1" w:rsidRPr="00EA2C78">
        <w:rPr>
          <w:rFonts w:cstheme="minorHAnsi"/>
          <w:sz w:val="24"/>
          <w:szCs w:val="24"/>
        </w:rPr>
        <w:t xml:space="preserve">Tiekėjas pirkimo sutarties vykdymui turi turėti bent 1 (vieną) </w:t>
      </w:r>
      <w:r w:rsidR="005441E1" w:rsidRPr="00EA2C78">
        <w:rPr>
          <w:rFonts w:cstheme="minorHAnsi"/>
          <w:sz w:val="24"/>
          <w:szCs w:val="24"/>
          <w:shd w:val="clear" w:color="auto" w:fill="FFFFFF"/>
        </w:rPr>
        <w:t xml:space="preserve">atestuotą </w:t>
      </w:r>
      <w:r w:rsidR="005441E1" w:rsidRPr="00EA2C78">
        <w:rPr>
          <w:rFonts w:cstheme="minorHAnsi"/>
          <w:b/>
          <w:bCs/>
          <w:sz w:val="24"/>
          <w:szCs w:val="24"/>
          <w:shd w:val="clear" w:color="auto" w:fill="FFFFFF"/>
        </w:rPr>
        <w:t>ypatingojo ar neypatingojo</w:t>
      </w:r>
      <w:r w:rsidR="005441E1" w:rsidRPr="00EA2C78">
        <w:rPr>
          <w:rFonts w:cstheme="minorHAnsi"/>
          <w:sz w:val="24"/>
          <w:szCs w:val="24"/>
          <w:shd w:val="clear" w:color="auto" w:fill="FFFFFF"/>
        </w:rPr>
        <w:t xml:space="preserve"> statinio bendrųjų statybos darbų vadovą (Statinių kategorija: Susisiekimo komunikacijos: </w:t>
      </w:r>
      <w:r w:rsidR="005441E1" w:rsidRPr="00EA2C78">
        <w:rPr>
          <w:rFonts w:eastAsia="Times New Roman" w:cstheme="minorHAnsi"/>
          <w:sz w:val="24"/>
          <w:szCs w:val="24"/>
        </w:rPr>
        <w:t>gatvės)</w:t>
      </w:r>
      <w:r w:rsidR="00A46D6C" w:rsidRPr="00EA2C78">
        <w:rPr>
          <w:rFonts w:eastAsia="Times New Roman" w:cstheme="minorHAnsi"/>
          <w:sz w:val="24"/>
          <w:szCs w:val="24"/>
        </w:rPr>
        <w:t>”</w:t>
      </w:r>
      <w:r w:rsidR="005441E1" w:rsidRPr="00EA2C78">
        <w:rPr>
          <w:rFonts w:eastAsia="Times New Roman" w:cstheme="minorHAnsi"/>
          <w:sz w:val="24"/>
          <w:szCs w:val="24"/>
        </w:rPr>
        <w:t>.</w:t>
      </w:r>
    </w:p>
    <w:p w14:paraId="3D8A316D" w14:textId="7CA07791" w:rsidR="001F7DC2" w:rsidRPr="00EA2C78" w:rsidRDefault="00E20371" w:rsidP="00EA2C78">
      <w:pPr>
        <w:spacing w:after="0" w:line="276" w:lineRule="auto"/>
        <w:rPr>
          <w:rFonts w:cstheme="minorHAnsi"/>
          <w:sz w:val="24"/>
          <w:szCs w:val="24"/>
        </w:rPr>
      </w:pPr>
      <w:r w:rsidRPr="00EA2C78">
        <w:rPr>
          <w:rFonts w:cstheme="minorHAnsi"/>
          <w:sz w:val="24"/>
          <w:szCs w:val="24"/>
        </w:rPr>
        <w:t xml:space="preserve">      </w:t>
      </w:r>
      <w:r w:rsidR="000A3978" w:rsidRPr="00EA2C78">
        <w:rPr>
          <w:rFonts w:cstheme="minorHAnsi"/>
          <w:sz w:val="24"/>
          <w:szCs w:val="24"/>
        </w:rPr>
        <w:t xml:space="preserve">Atsižvelgiant į tai, kad </w:t>
      </w:r>
      <w:r w:rsidR="00D8438B" w:rsidRPr="00EA2C78">
        <w:rPr>
          <w:rFonts w:cstheme="minorHAnsi"/>
          <w:sz w:val="24"/>
          <w:szCs w:val="24"/>
        </w:rPr>
        <w:t>Techninio darbo projekt</w:t>
      </w:r>
      <w:r w:rsidR="005E2E06" w:rsidRPr="00EA2C78">
        <w:rPr>
          <w:rFonts w:cstheme="minorHAnsi"/>
          <w:sz w:val="24"/>
          <w:szCs w:val="24"/>
        </w:rPr>
        <w:t>e</w:t>
      </w:r>
      <w:r w:rsidR="00D8438B" w:rsidRPr="00EA2C78">
        <w:rPr>
          <w:rFonts w:cstheme="minorHAnsi"/>
          <w:sz w:val="24"/>
          <w:szCs w:val="24"/>
        </w:rPr>
        <w:t xml:space="preserve"> Nr. </w:t>
      </w:r>
      <w:r w:rsidR="00160224" w:rsidRPr="00EA2C78">
        <w:rPr>
          <w:rFonts w:cstheme="minorHAnsi"/>
          <w:sz w:val="24"/>
          <w:szCs w:val="24"/>
        </w:rPr>
        <w:t>426/ZVG-00-TDP</w:t>
      </w:r>
      <w:r w:rsidR="005E2E06" w:rsidRPr="00EA2C78">
        <w:rPr>
          <w:rFonts w:cstheme="minorHAnsi"/>
          <w:sz w:val="24"/>
          <w:szCs w:val="24"/>
        </w:rPr>
        <w:t xml:space="preserve"> nurodyta</w:t>
      </w:r>
      <w:r w:rsidR="008D45CE">
        <w:rPr>
          <w:rFonts w:cstheme="minorHAnsi"/>
          <w:sz w:val="24"/>
          <w:szCs w:val="24"/>
        </w:rPr>
        <w:t>, kad šiuo atveju</w:t>
      </w:r>
      <w:r w:rsidR="005E2E06" w:rsidRPr="00EA2C78">
        <w:rPr>
          <w:rFonts w:cstheme="minorHAnsi"/>
          <w:sz w:val="24"/>
          <w:szCs w:val="24"/>
        </w:rPr>
        <w:t xml:space="preserve"> stati</w:t>
      </w:r>
      <w:r w:rsidR="006002BD" w:rsidRPr="00EA2C78">
        <w:rPr>
          <w:rFonts w:cstheme="minorHAnsi"/>
          <w:sz w:val="24"/>
          <w:szCs w:val="24"/>
        </w:rPr>
        <w:t>nio kategorija-</w:t>
      </w:r>
      <w:r w:rsidR="006002BD" w:rsidRPr="00EA2C78">
        <w:rPr>
          <w:rFonts w:cstheme="minorHAnsi"/>
          <w:b/>
          <w:bCs/>
          <w:sz w:val="24"/>
          <w:szCs w:val="24"/>
        </w:rPr>
        <w:t>neypatingieji, nesudėtingieji statiniai</w:t>
      </w:r>
      <w:r w:rsidR="002963E3" w:rsidRPr="00EA2C78">
        <w:rPr>
          <w:rFonts w:cstheme="minorHAnsi"/>
          <w:sz w:val="24"/>
          <w:szCs w:val="24"/>
        </w:rPr>
        <w:t xml:space="preserve">, </w:t>
      </w:r>
      <w:r w:rsidR="00544054" w:rsidRPr="00EA2C78">
        <w:rPr>
          <w:rFonts w:cstheme="minorHAnsi"/>
          <w:sz w:val="24"/>
          <w:szCs w:val="24"/>
        </w:rPr>
        <w:t xml:space="preserve">Tarnybos nuomone </w:t>
      </w:r>
      <w:r w:rsidR="00751195" w:rsidRPr="00EA2C78">
        <w:rPr>
          <w:rFonts w:cstheme="minorHAnsi"/>
          <w:sz w:val="24"/>
          <w:szCs w:val="24"/>
        </w:rPr>
        <w:t>nustatytas reikalavimas</w:t>
      </w:r>
      <w:r w:rsidR="008D45CE">
        <w:rPr>
          <w:rFonts w:cstheme="minorHAnsi"/>
          <w:sz w:val="24"/>
          <w:szCs w:val="24"/>
        </w:rPr>
        <w:t xml:space="preserve"> ypatingo statinio darbų vadovui</w:t>
      </w:r>
      <w:r w:rsidR="00751195" w:rsidRPr="00EA2C78">
        <w:rPr>
          <w:rFonts w:cstheme="minorHAnsi"/>
          <w:sz w:val="24"/>
          <w:szCs w:val="24"/>
        </w:rPr>
        <w:t xml:space="preserve"> </w:t>
      </w:r>
      <w:r w:rsidR="00EC3482" w:rsidRPr="00EA2C78">
        <w:rPr>
          <w:rFonts w:cstheme="minorHAnsi"/>
          <w:sz w:val="24"/>
          <w:szCs w:val="24"/>
        </w:rPr>
        <w:t>laikyti</w:t>
      </w:r>
      <w:r w:rsidR="000D1381" w:rsidRPr="00EA2C78">
        <w:rPr>
          <w:rFonts w:cstheme="minorHAnsi"/>
          <w:sz w:val="24"/>
          <w:szCs w:val="24"/>
        </w:rPr>
        <w:t>nas</w:t>
      </w:r>
      <w:r w:rsidR="009C2ACA" w:rsidRPr="00EA2C78">
        <w:rPr>
          <w:rFonts w:cstheme="minorHAnsi"/>
          <w:sz w:val="24"/>
          <w:szCs w:val="24"/>
        </w:rPr>
        <w:t xml:space="preserve"> </w:t>
      </w:r>
      <w:r w:rsidR="000D1381" w:rsidRPr="00EA2C78">
        <w:rPr>
          <w:rFonts w:cstheme="minorHAnsi"/>
          <w:sz w:val="24"/>
          <w:szCs w:val="24"/>
        </w:rPr>
        <w:t xml:space="preserve">pertekliniu ir </w:t>
      </w:r>
      <w:r w:rsidR="009C2ACA" w:rsidRPr="00EA2C78">
        <w:rPr>
          <w:rFonts w:cstheme="minorHAnsi"/>
          <w:sz w:val="24"/>
          <w:szCs w:val="24"/>
        </w:rPr>
        <w:t xml:space="preserve"> neatitinkanči</w:t>
      </w:r>
      <w:r w:rsidR="000D1381" w:rsidRPr="00EA2C78">
        <w:rPr>
          <w:rFonts w:cstheme="minorHAnsi"/>
          <w:sz w:val="24"/>
          <w:szCs w:val="24"/>
        </w:rPr>
        <w:t>u</w:t>
      </w:r>
      <w:r w:rsidR="009C2ACA" w:rsidRPr="00EA2C78">
        <w:rPr>
          <w:rFonts w:cstheme="minorHAnsi"/>
          <w:sz w:val="24"/>
          <w:szCs w:val="24"/>
        </w:rPr>
        <w:t xml:space="preserve"> Įstatymo 47 straipsnio 1 dalies nuostatos, kad „Perkančioji organizacija &lt;...&gt; turi teisę &lt;...&gt; nustatyti būtinus kandidatų ar dalyvių kvalifikacijos reikalavimus ir šių reikalavimų atitiktį patvirtinančius dokumentus ar informaciją. Perkančiosios organizacijos nustatyti kandidatų ar dalyvių kvalifikacijos reikalavimai negali dirbtinai riboti konkurencijos, </w:t>
      </w:r>
      <w:r w:rsidR="009C2ACA" w:rsidRPr="00EA2C78">
        <w:rPr>
          <w:rFonts w:cstheme="minorHAnsi"/>
          <w:b/>
          <w:bCs/>
          <w:sz w:val="24"/>
          <w:szCs w:val="24"/>
        </w:rPr>
        <w:t>turi būti proporcingi ir susiję su pirkimo objektu</w:t>
      </w:r>
      <w:r w:rsidR="009C2ACA" w:rsidRPr="00EA2C78">
        <w:rPr>
          <w:rFonts w:cstheme="minorHAnsi"/>
          <w:sz w:val="24"/>
          <w:szCs w:val="24"/>
        </w:rPr>
        <w:t>, tikslūs ir aiškūs &lt;...&gt;“.</w:t>
      </w:r>
    </w:p>
    <w:p w14:paraId="0AF955DD" w14:textId="19BB4CE7" w:rsidR="00FF5288" w:rsidRPr="0018211B" w:rsidRDefault="00E20371" w:rsidP="0018211B">
      <w:pPr>
        <w:spacing w:after="0" w:line="276" w:lineRule="auto"/>
        <w:rPr>
          <w:rFonts w:eastAsia="Calibri" w:cstheme="minorHAnsi"/>
          <w:sz w:val="24"/>
          <w:szCs w:val="24"/>
          <w:lang w:val="lt"/>
        </w:rPr>
      </w:pPr>
      <w:r w:rsidRPr="00EA2C78">
        <w:rPr>
          <w:rFonts w:eastAsia="Calibri" w:cstheme="minorHAnsi"/>
          <w:sz w:val="24"/>
          <w:szCs w:val="24"/>
          <w:lang w:val="lt"/>
        </w:rPr>
        <w:t xml:space="preserve">      </w:t>
      </w:r>
      <w:r w:rsidR="00EB5748" w:rsidRPr="00EA2C78">
        <w:rPr>
          <w:rFonts w:eastAsia="Calibri" w:cstheme="minorHAnsi"/>
          <w:sz w:val="24"/>
          <w:szCs w:val="24"/>
          <w:lang w:val="lt"/>
        </w:rPr>
        <w:t xml:space="preserve">Įvertinus aukščiau išdėstytą, Tarnyba rekomenduoja patikslinti </w:t>
      </w:r>
      <w:r w:rsidR="00275B9E" w:rsidRPr="00EA2C78">
        <w:rPr>
          <w:rFonts w:eastAsia="Calibri" w:cstheme="minorHAnsi"/>
          <w:sz w:val="24"/>
          <w:szCs w:val="24"/>
          <w:lang w:val="lt"/>
        </w:rPr>
        <w:t xml:space="preserve">kvalifikacinį </w:t>
      </w:r>
      <w:r w:rsidR="00EB5748" w:rsidRPr="00EA2C78">
        <w:rPr>
          <w:rFonts w:eastAsia="Calibri" w:cstheme="minorHAnsi"/>
          <w:sz w:val="24"/>
          <w:szCs w:val="24"/>
          <w:lang w:val="lt"/>
        </w:rPr>
        <w:t>reikalavimą</w:t>
      </w:r>
      <w:r w:rsidR="00AC6905" w:rsidRPr="00EA2C78">
        <w:rPr>
          <w:rFonts w:eastAsia="Calibri" w:cstheme="minorHAnsi"/>
          <w:sz w:val="24"/>
          <w:szCs w:val="24"/>
          <w:lang w:val="lt"/>
        </w:rPr>
        <w:t xml:space="preserve">, o </w:t>
      </w:r>
      <w:r w:rsidR="00AC6905" w:rsidRPr="00EA2C78">
        <w:rPr>
          <w:rFonts w:eastAsia="Calibri" w:cstheme="minorHAnsi"/>
          <w:b/>
          <w:bCs/>
          <w:sz w:val="24"/>
          <w:szCs w:val="24"/>
          <w:lang w:val="lt"/>
        </w:rPr>
        <w:t>g</w:t>
      </w:r>
      <w:r w:rsidR="00EB5748" w:rsidRPr="00EA2C78">
        <w:rPr>
          <w:rFonts w:eastAsia="Calibri" w:cstheme="minorHAnsi"/>
          <w:b/>
          <w:bCs/>
          <w:sz w:val="24"/>
          <w:szCs w:val="24"/>
          <w:lang w:val="lt"/>
        </w:rPr>
        <w:t>alimyb</w:t>
      </w:r>
      <w:r w:rsidR="008D45CE">
        <w:rPr>
          <w:rFonts w:eastAsia="Calibri" w:cstheme="minorHAnsi"/>
          <w:b/>
          <w:bCs/>
          <w:sz w:val="24"/>
          <w:szCs w:val="24"/>
          <w:lang w:val="lt"/>
        </w:rPr>
        <w:t>ę</w:t>
      </w:r>
      <w:r w:rsidR="00EB5748" w:rsidRPr="00EA2C78">
        <w:rPr>
          <w:rFonts w:eastAsia="Calibri" w:cstheme="minorHAnsi"/>
          <w:b/>
          <w:bCs/>
          <w:sz w:val="24"/>
          <w:szCs w:val="24"/>
          <w:lang w:val="lt"/>
        </w:rPr>
        <w:t xml:space="preserve"> (bet ne pareig</w:t>
      </w:r>
      <w:r w:rsidR="008D45CE">
        <w:rPr>
          <w:rFonts w:eastAsia="Calibri" w:cstheme="minorHAnsi"/>
          <w:b/>
          <w:bCs/>
          <w:sz w:val="24"/>
          <w:szCs w:val="24"/>
          <w:lang w:val="lt"/>
        </w:rPr>
        <w:t>ą</w:t>
      </w:r>
      <w:r w:rsidR="00EB5748" w:rsidRPr="00EA2C78">
        <w:rPr>
          <w:rFonts w:eastAsia="Calibri" w:cstheme="minorHAnsi"/>
          <w:b/>
          <w:bCs/>
          <w:sz w:val="24"/>
          <w:szCs w:val="24"/>
          <w:lang w:val="lt"/>
        </w:rPr>
        <w:t>)</w:t>
      </w:r>
      <w:r w:rsidR="00EB5748" w:rsidRPr="00EA2C78">
        <w:rPr>
          <w:rFonts w:eastAsia="Calibri" w:cstheme="minorHAnsi"/>
          <w:sz w:val="24"/>
          <w:szCs w:val="24"/>
          <w:lang w:val="lt"/>
        </w:rPr>
        <w:t xml:space="preserve"> tiekėjui pateikti siūlomo specialisto kvalifikacijos dokumentus </w:t>
      </w:r>
      <w:r w:rsidR="00EB5748" w:rsidRPr="00EA2C78">
        <w:rPr>
          <w:rFonts w:eastAsia="Calibri" w:cstheme="minorHAnsi"/>
          <w:sz w:val="24"/>
          <w:szCs w:val="24"/>
          <w:lang w:val="lt"/>
        </w:rPr>
        <w:lastRenderedPageBreak/>
        <w:t xml:space="preserve">(atestatus ir teisės pripažinimo dokumentus), </w:t>
      </w:r>
      <w:r w:rsidR="00EB5748" w:rsidRPr="00EA2C78">
        <w:rPr>
          <w:rFonts w:eastAsia="Calibri" w:cstheme="minorHAnsi"/>
          <w:b/>
          <w:sz w:val="24"/>
          <w:szCs w:val="24"/>
          <w:lang w:val="lt"/>
        </w:rPr>
        <w:t>įrodančius aukštesnę nei ne</w:t>
      </w:r>
      <w:r w:rsidR="00303AB2" w:rsidRPr="00EA2C78">
        <w:rPr>
          <w:rFonts w:eastAsia="Calibri" w:cstheme="minorHAnsi"/>
          <w:b/>
          <w:sz w:val="24"/>
          <w:szCs w:val="24"/>
          <w:lang w:val="lt"/>
        </w:rPr>
        <w:t>ypa</w:t>
      </w:r>
      <w:r w:rsidR="00EB5748" w:rsidRPr="00EA2C78">
        <w:rPr>
          <w:rFonts w:eastAsia="Calibri" w:cstheme="minorHAnsi"/>
          <w:b/>
          <w:sz w:val="24"/>
          <w:szCs w:val="24"/>
          <w:lang w:val="lt"/>
        </w:rPr>
        <w:t>tingojo</w:t>
      </w:r>
      <w:r w:rsidR="00EB5748" w:rsidRPr="00EA2C78">
        <w:rPr>
          <w:rFonts w:eastAsia="Calibri" w:cstheme="minorHAnsi"/>
          <w:sz w:val="24"/>
          <w:szCs w:val="24"/>
          <w:lang w:val="lt"/>
        </w:rPr>
        <w:t xml:space="preserve"> statinio statybos vadovo kvalifikaciją, </w:t>
      </w:r>
      <w:r w:rsidR="008D45CE">
        <w:rPr>
          <w:rFonts w:eastAsia="Calibri" w:cstheme="minorHAnsi"/>
          <w:sz w:val="24"/>
          <w:szCs w:val="24"/>
          <w:lang w:val="lt"/>
        </w:rPr>
        <w:t xml:space="preserve">rekomenduotina </w:t>
      </w:r>
      <w:r w:rsidR="00EB5748" w:rsidRPr="00EA2C78">
        <w:rPr>
          <w:rFonts w:eastAsia="Calibri" w:cstheme="minorHAnsi"/>
          <w:sz w:val="24"/>
          <w:szCs w:val="24"/>
          <w:lang w:val="lt"/>
        </w:rPr>
        <w:t xml:space="preserve"> nurodyt</w:t>
      </w:r>
      <w:r w:rsidR="008D45CE">
        <w:rPr>
          <w:rFonts w:eastAsia="Calibri" w:cstheme="minorHAnsi"/>
          <w:sz w:val="24"/>
          <w:szCs w:val="24"/>
          <w:lang w:val="lt"/>
        </w:rPr>
        <w:t>i</w:t>
      </w:r>
      <w:r w:rsidR="00EB5748" w:rsidRPr="00EA2C78">
        <w:rPr>
          <w:rFonts w:eastAsia="Calibri" w:cstheme="minorHAnsi"/>
          <w:sz w:val="24"/>
          <w:szCs w:val="24"/>
          <w:lang w:val="lt"/>
        </w:rPr>
        <w:t xml:space="preserve"> pastaboje.</w:t>
      </w:r>
    </w:p>
    <w:p w14:paraId="67679155" w14:textId="2911AF61" w:rsidR="00FF5288" w:rsidRPr="00EA2C78" w:rsidRDefault="00C21011" w:rsidP="00EA2C78">
      <w:pPr>
        <w:spacing w:after="0" w:line="276" w:lineRule="auto"/>
        <w:rPr>
          <w:rFonts w:ascii="Calibri" w:eastAsia="Calibri" w:hAnsi="Calibri" w:cs="Calibri"/>
          <w:sz w:val="24"/>
          <w:szCs w:val="24"/>
          <w:lang w:val="lt"/>
        </w:rPr>
      </w:pPr>
      <w:r w:rsidRPr="00EA2C78">
        <w:rPr>
          <w:rFonts w:ascii="Calibri" w:eastAsia="Calibri" w:hAnsi="Calibri" w:cs="Calibri"/>
          <w:b/>
          <w:sz w:val="24"/>
          <w:szCs w:val="24"/>
          <w:lang w:val="lt"/>
        </w:rPr>
        <w:t xml:space="preserve">       </w:t>
      </w:r>
      <w:r w:rsidR="00FF5288" w:rsidRPr="00EA2C78">
        <w:rPr>
          <w:rFonts w:ascii="Calibri" w:eastAsia="Calibri" w:hAnsi="Calibri" w:cs="Calibri"/>
          <w:b/>
          <w:sz w:val="24"/>
          <w:szCs w:val="24"/>
          <w:lang w:val="lt"/>
        </w:rPr>
        <w:t>2.2</w:t>
      </w:r>
      <w:r w:rsidR="00447A58" w:rsidRPr="00EA2C78">
        <w:rPr>
          <w:rFonts w:ascii="Calibri" w:eastAsia="Calibri" w:hAnsi="Calibri" w:cs="Calibri"/>
          <w:b/>
          <w:sz w:val="24"/>
          <w:szCs w:val="24"/>
          <w:lang w:val="lt"/>
        </w:rPr>
        <w:t>.</w:t>
      </w:r>
      <w:r w:rsidRPr="00EA2C78">
        <w:rPr>
          <w:rFonts w:ascii="Calibri" w:eastAsia="Calibri" w:hAnsi="Calibri" w:cs="Calibri"/>
          <w:sz w:val="24"/>
          <w:szCs w:val="24"/>
          <w:lang w:val="lt"/>
        </w:rPr>
        <w:t xml:space="preserve"> </w:t>
      </w:r>
      <w:r w:rsidR="0032478A" w:rsidRPr="00EA2C78">
        <w:rPr>
          <w:rFonts w:ascii="Calibri" w:eastAsia="Calibri" w:hAnsi="Calibri" w:cs="Calibri"/>
          <w:sz w:val="24"/>
          <w:szCs w:val="24"/>
          <w:lang w:val="lt"/>
        </w:rPr>
        <w:t xml:space="preserve">Kvalifikacijos reikalavimų 1.2 punkte </w:t>
      </w:r>
      <w:r w:rsidR="00837ED5" w:rsidRPr="00EA2C78">
        <w:rPr>
          <w:rFonts w:ascii="Calibri" w:eastAsia="Calibri" w:hAnsi="Calibri" w:cs="Calibri"/>
          <w:sz w:val="24"/>
          <w:szCs w:val="24"/>
          <w:lang w:val="lt"/>
        </w:rPr>
        <w:t xml:space="preserve">nustatytas </w:t>
      </w:r>
      <w:r w:rsidR="00277295" w:rsidRPr="00EA2C78">
        <w:rPr>
          <w:rFonts w:ascii="Calibri" w:eastAsia="Calibri" w:hAnsi="Calibri" w:cs="Calibri"/>
          <w:sz w:val="24"/>
          <w:szCs w:val="24"/>
          <w:lang w:val="lt"/>
        </w:rPr>
        <w:t>reikalavimas</w:t>
      </w:r>
      <w:r w:rsidR="000A72BD" w:rsidRPr="00EA2C78">
        <w:rPr>
          <w:rFonts w:ascii="Calibri" w:eastAsia="Calibri" w:hAnsi="Calibri" w:cs="Calibri"/>
          <w:sz w:val="24"/>
          <w:szCs w:val="24"/>
          <w:lang w:val="lt"/>
        </w:rPr>
        <w:t xml:space="preserve"> tiekėjui: </w:t>
      </w:r>
      <w:r w:rsidR="00062317" w:rsidRPr="00EA2C78">
        <w:rPr>
          <w:rFonts w:ascii="Calibri" w:eastAsia="Calibri" w:hAnsi="Calibri" w:cs="Calibri"/>
          <w:sz w:val="24"/>
          <w:szCs w:val="24"/>
          <w:lang w:val="lt"/>
        </w:rPr>
        <w:t>„</w:t>
      </w:r>
      <w:r w:rsidR="00D32734" w:rsidRPr="00EA2C78">
        <w:rPr>
          <w:rFonts w:ascii="Calibri" w:eastAsia="Calibri" w:hAnsi="Calibri" w:cs="Calibri"/>
          <w:sz w:val="24"/>
          <w:szCs w:val="24"/>
          <w:lang w:val="lt"/>
        </w:rPr>
        <w:t xml:space="preserve">Tiekėjas per paskutinius 5 metus iki pasiūlymo pateikimo termino pabaigos arba per laiką nuo tiekėjo įregistravimo dienos (jeigu tiekėjas vykdė veiklą mažiau nei 5 metus iki pasiūlymų pateikimo termino pabaigos) </w:t>
      </w:r>
      <w:r w:rsidR="00D32734" w:rsidRPr="00EA2C78">
        <w:rPr>
          <w:rFonts w:ascii="Calibri" w:eastAsia="Calibri" w:hAnsi="Calibri" w:cs="Calibri"/>
          <w:b/>
          <w:bCs/>
          <w:sz w:val="24"/>
          <w:szCs w:val="24"/>
          <w:lang w:val="lt"/>
        </w:rPr>
        <w:t>tinkamai atlikęs vieną ar daugiau sutarčių</w:t>
      </w:r>
      <w:r w:rsidR="00D32734" w:rsidRPr="00EA2C78">
        <w:rPr>
          <w:rFonts w:ascii="Calibri" w:eastAsia="Calibri" w:hAnsi="Calibri" w:cs="Calibri"/>
          <w:sz w:val="24"/>
          <w:szCs w:val="24"/>
          <w:lang w:val="lt"/>
        </w:rPr>
        <w:t xml:space="preserve">, susijusių gatvių statybos ir (ar) rekonstrukcijos ir (ar) remonto darbais, </w:t>
      </w:r>
      <w:r w:rsidR="00D32734" w:rsidRPr="00EA2C78">
        <w:rPr>
          <w:rFonts w:ascii="Calibri" w:eastAsia="Calibri" w:hAnsi="Calibri" w:cs="Calibri"/>
          <w:b/>
          <w:bCs/>
          <w:sz w:val="24"/>
          <w:szCs w:val="24"/>
          <w:lang w:val="lt"/>
        </w:rPr>
        <w:t>kurių bendra vertė</w:t>
      </w:r>
      <w:r w:rsidR="00D32734" w:rsidRPr="00EA2C78">
        <w:rPr>
          <w:rFonts w:ascii="Calibri" w:eastAsia="Calibri" w:hAnsi="Calibri" w:cs="Calibri"/>
          <w:sz w:val="24"/>
          <w:szCs w:val="24"/>
          <w:lang w:val="lt"/>
        </w:rPr>
        <w:t xml:space="preserve"> būtų ne mažesnė kaip 600 000, 00 be PVM.“</w:t>
      </w:r>
    </w:p>
    <w:p w14:paraId="34EE895B" w14:textId="79A8C087" w:rsidR="004C76D7" w:rsidRPr="00EA2C78" w:rsidRDefault="00C21011" w:rsidP="00EA2C78">
      <w:pPr>
        <w:tabs>
          <w:tab w:val="left" w:pos="567"/>
          <w:tab w:val="left" w:pos="1843"/>
        </w:tabs>
        <w:spacing w:after="0" w:line="276" w:lineRule="auto"/>
        <w:contextualSpacing/>
        <w:rPr>
          <w:rFonts w:cstheme="minorHAnsi"/>
          <w:sz w:val="24"/>
          <w:szCs w:val="24"/>
        </w:rPr>
      </w:pPr>
      <w:r w:rsidRPr="00EA2C78">
        <w:rPr>
          <w:rFonts w:cstheme="minorHAnsi"/>
          <w:sz w:val="24"/>
          <w:szCs w:val="24"/>
        </w:rPr>
        <w:t xml:space="preserve">        </w:t>
      </w:r>
      <w:r w:rsidR="006B0CEB" w:rsidRPr="00EA2C78">
        <w:rPr>
          <w:rFonts w:cstheme="minorHAnsi"/>
          <w:sz w:val="24"/>
          <w:szCs w:val="24"/>
        </w:rPr>
        <w:t>Tarnyba pažymi, kad Įstatymo 47 straipsnio 7 dalyje nustatyta, kad Tiekėjo kvalifikacijos reikalavimai nustatomi pagal Tiekėjo kvalifikacijos reikalavimų nustatymo metodiką</w:t>
      </w:r>
      <w:r w:rsidR="006B0CEB" w:rsidRPr="00EA2C78">
        <w:rPr>
          <w:rFonts w:cstheme="minorHAnsi"/>
          <w:sz w:val="24"/>
          <w:szCs w:val="24"/>
          <w:vertAlign w:val="superscript"/>
        </w:rPr>
        <w:footnoteReference w:id="1"/>
      </w:r>
      <w:r w:rsidR="006B0CEB" w:rsidRPr="00EA2C78">
        <w:rPr>
          <w:rFonts w:cstheme="minorHAnsi"/>
          <w:sz w:val="24"/>
          <w:szCs w:val="24"/>
        </w:rPr>
        <w:t xml:space="preserve"> (toliau – Metodika). Įstatymo 51 straipsnio 7 dalies 1 punkte ir Metodikos 16.1 punkte nurodyta, kad, kai pirkimo objektas dalus, kvalifikacinis reikalavimas</w:t>
      </w:r>
      <w:r w:rsidR="008D45CE">
        <w:rPr>
          <w:rFonts w:cstheme="minorHAnsi"/>
          <w:sz w:val="24"/>
          <w:szCs w:val="24"/>
        </w:rPr>
        <w:t xml:space="preserve"> yra formuluojamas sekančiai</w:t>
      </w:r>
      <w:r w:rsidR="006B0CEB" w:rsidRPr="00EA2C78">
        <w:rPr>
          <w:rFonts w:cstheme="minorHAnsi"/>
          <w:sz w:val="24"/>
          <w:szCs w:val="24"/>
        </w:rPr>
        <w:t xml:space="preserve">: „Tiekėjas per paskutinius 5* metus iki pasiūlymo pateikimo termino pabaigos pagal vieną ar daugiau sutarčių yra </w:t>
      </w:r>
      <w:r w:rsidR="006B0CEB" w:rsidRPr="00EA2C78">
        <w:rPr>
          <w:rFonts w:cstheme="minorHAnsi"/>
          <w:b/>
          <w:bCs/>
          <w:sz w:val="24"/>
          <w:szCs w:val="24"/>
        </w:rPr>
        <w:t>atlikęs darbų</w:t>
      </w:r>
      <w:r w:rsidR="006B0CEB" w:rsidRPr="00EA2C78">
        <w:rPr>
          <w:rFonts w:cstheme="minorHAnsi"/>
          <w:sz w:val="24"/>
          <w:szCs w:val="24"/>
        </w:rPr>
        <w:t xml:space="preserve"> &lt;...&gt;“</w:t>
      </w:r>
      <w:r w:rsidR="006B0CEB" w:rsidRPr="00EA2C78">
        <w:rPr>
          <w:rFonts w:cstheme="minorHAnsi"/>
          <w:i/>
          <w:iCs/>
          <w:sz w:val="24"/>
          <w:szCs w:val="24"/>
        </w:rPr>
        <w:t xml:space="preserve"> </w:t>
      </w:r>
      <w:r w:rsidR="006B0CEB" w:rsidRPr="00EA2C78">
        <w:rPr>
          <w:rFonts w:cstheme="minorHAnsi"/>
          <w:sz w:val="24"/>
          <w:szCs w:val="24"/>
        </w:rPr>
        <w:t xml:space="preserve">(o ne </w:t>
      </w:r>
      <w:r w:rsidR="005F621D" w:rsidRPr="00EA2C78">
        <w:rPr>
          <w:rFonts w:cstheme="minorHAnsi"/>
          <w:sz w:val="24"/>
          <w:szCs w:val="24"/>
        </w:rPr>
        <w:t>sutarčių</w:t>
      </w:r>
      <w:r w:rsidR="006B0CEB" w:rsidRPr="00EA2C78">
        <w:rPr>
          <w:rFonts w:cstheme="minorHAnsi"/>
          <w:sz w:val="24"/>
          <w:szCs w:val="24"/>
        </w:rPr>
        <w:t xml:space="preserve">), o tiekėjo patirties įrodymui Perkančioji organizacija gali reikalauti </w:t>
      </w:r>
      <w:r w:rsidR="006B0CEB" w:rsidRPr="00EA2C78">
        <w:rPr>
          <w:rFonts w:cstheme="minorHAnsi"/>
          <w:b/>
          <w:bCs/>
          <w:sz w:val="24"/>
          <w:szCs w:val="24"/>
        </w:rPr>
        <w:t>atliktų darbų sąrašo</w:t>
      </w:r>
      <w:r w:rsidR="006B0CEB" w:rsidRPr="00EA2C78">
        <w:rPr>
          <w:rFonts w:cstheme="minorHAnsi"/>
          <w:sz w:val="24"/>
          <w:szCs w:val="24"/>
        </w:rPr>
        <w:t xml:space="preserve"> (o ne sutarčių sąrašo) kartu su užsakovų pažymomis apie tai, kad svarbiausių darbų atlikimas ir galutiniai rezultatai buvo tinkami.</w:t>
      </w:r>
    </w:p>
    <w:p w14:paraId="555B4A9F" w14:textId="44CDC243" w:rsidR="006B0CEB" w:rsidRPr="00EA2C78" w:rsidRDefault="004C76D7" w:rsidP="00EA2C78">
      <w:pPr>
        <w:tabs>
          <w:tab w:val="left" w:pos="567"/>
          <w:tab w:val="left" w:pos="1843"/>
        </w:tabs>
        <w:spacing w:after="0" w:line="276" w:lineRule="auto"/>
        <w:contextualSpacing/>
        <w:rPr>
          <w:rFonts w:cstheme="minorHAnsi"/>
          <w:sz w:val="24"/>
          <w:szCs w:val="24"/>
        </w:rPr>
      </w:pPr>
      <w:r w:rsidRPr="00EA2C78">
        <w:rPr>
          <w:rFonts w:cstheme="minorHAnsi"/>
          <w:sz w:val="24"/>
          <w:szCs w:val="24"/>
        </w:rPr>
        <w:t xml:space="preserve">        </w:t>
      </w:r>
      <w:r w:rsidR="008D45CE">
        <w:rPr>
          <w:rFonts w:cstheme="minorHAnsi"/>
          <w:sz w:val="24"/>
          <w:szCs w:val="24"/>
        </w:rPr>
        <w:t>Atsižvelgiant į nurodytą</w:t>
      </w:r>
      <w:r w:rsidR="006B0CEB" w:rsidRPr="00EA2C78">
        <w:rPr>
          <w:rFonts w:cstheme="minorHAnsi"/>
          <w:sz w:val="24"/>
          <w:szCs w:val="24"/>
        </w:rPr>
        <w:t xml:space="preserve"> rekomenduo</w:t>
      </w:r>
      <w:r w:rsidR="008D45CE">
        <w:rPr>
          <w:rFonts w:cstheme="minorHAnsi"/>
          <w:sz w:val="24"/>
          <w:szCs w:val="24"/>
        </w:rPr>
        <w:t>tina</w:t>
      </w:r>
      <w:r w:rsidR="006B0CEB" w:rsidRPr="00EA2C78">
        <w:rPr>
          <w:rFonts w:cstheme="minorHAnsi"/>
          <w:sz w:val="24"/>
          <w:szCs w:val="24"/>
        </w:rPr>
        <w:t xml:space="preserve"> </w:t>
      </w:r>
      <w:r w:rsidR="008D45CE">
        <w:rPr>
          <w:rFonts w:cstheme="minorHAnsi"/>
          <w:sz w:val="24"/>
          <w:szCs w:val="24"/>
        </w:rPr>
        <w:t>pa</w:t>
      </w:r>
      <w:r w:rsidR="006B0CEB" w:rsidRPr="00EA2C78">
        <w:rPr>
          <w:rFonts w:cstheme="minorHAnsi"/>
          <w:sz w:val="24"/>
          <w:szCs w:val="24"/>
        </w:rPr>
        <w:t>tikslinti  kvalifikacijos reikalavimą</w:t>
      </w:r>
      <w:r w:rsidR="008D45CE">
        <w:rPr>
          <w:rFonts w:cstheme="minorHAnsi"/>
          <w:sz w:val="24"/>
          <w:szCs w:val="24"/>
        </w:rPr>
        <w:t xml:space="preserve"> atsižvelgiant į Me</w:t>
      </w:r>
      <w:r w:rsidR="009D1651">
        <w:rPr>
          <w:rFonts w:cstheme="minorHAnsi"/>
          <w:sz w:val="24"/>
          <w:szCs w:val="24"/>
        </w:rPr>
        <w:t xml:space="preserve">todikos nuostatas. </w:t>
      </w:r>
    </w:p>
    <w:p w14:paraId="032451E9" w14:textId="77777777" w:rsidR="00640443" w:rsidRPr="00EA2C78" w:rsidRDefault="00640443" w:rsidP="00EA2C78">
      <w:pPr>
        <w:spacing w:after="0" w:line="276" w:lineRule="auto"/>
        <w:rPr>
          <w:rFonts w:ascii="Calibri" w:eastAsia="Calibri" w:hAnsi="Calibri" w:cs="Calibri"/>
          <w:b/>
          <w:bCs/>
          <w:sz w:val="24"/>
          <w:szCs w:val="24"/>
          <w:lang w:val="lt"/>
        </w:rPr>
      </w:pPr>
    </w:p>
    <w:p w14:paraId="61AF3230" w14:textId="15C370D7" w:rsidR="00EB5748" w:rsidRPr="00EA2C78" w:rsidRDefault="00640443" w:rsidP="00EA2C78">
      <w:pPr>
        <w:pStyle w:val="ListParagraph"/>
        <w:numPr>
          <w:ilvl w:val="0"/>
          <w:numId w:val="2"/>
        </w:numPr>
        <w:spacing w:after="0" w:line="276" w:lineRule="auto"/>
        <w:rPr>
          <w:b/>
          <w:bCs/>
          <w:sz w:val="24"/>
          <w:szCs w:val="24"/>
        </w:rPr>
      </w:pPr>
      <w:r w:rsidRPr="00EA2C78">
        <w:rPr>
          <w:b/>
          <w:bCs/>
          <w:sz w:val="24"/>
          <w:szCs w:val="24"/>
        </w:rPr>
        <w:t>Dėl skelbime apie Pirkimą paskelbtos informacijos</w:t>
      </w:r>
    </w:p>
    <w:p w14:paraId="144BADE2" w14:textId="77777777" w:rsidR="00BD4E98" w:rsidRPr="00EA2C78" w:rsidRDefault="00BD4E98" w:rsidP="00EA2C78">
      <w:pPr>
        <w:pStyle w:val="ListParagraph"/>
        <w:spacing w:after="0" w:line="276" w:lineRule="auto"/>
        <w:ind w:left="927"/>
        <w:rPr>
          <w:b/>
          <w:bCs/>
          <w:sz w:val="24"/>
          <w:szCs w:val="24"/>
        </w:rPr>
      </w:pPr>
    </w:p>
    <w:p w14:paraId="476366C7" w14:textId="64655E83" w:rsidR="009C2ACA" w:rsidRPr="00EA2C78" w:rsidRDefault="00BD4E98" w:rsidP="00EA2C78">
      <w:pPr>
        <w:spacing w:after="0" w:line="276" w:lineRule="auto"/>
        <w:rPr>
          <w:b/>
          <w:bCs/>
          <w:sz w:val="24"/>
          <w:szCs w:val="24"/>
        </w:rPr>
      </w:pPr>
      <w:r w:rsidRPr="00EA2C78">
        <w:rPr>
          <w:b/>
          <w:sz w:val="24"/>
          <w:szCs w:val="24"/>
        </w:rPr>
        <w:t xml:space="preserve">      </w:t>
      </w:r>
      <w:r w:rsidR="00D348BA" w:rsidRPr="00EA2C78">
        <w:rPr>
          <w:b/>
          <w:sz w:val="24"/>
          <w:szCs w:val="24"/>
        </w:rPr>
        <w:t>3.1.</w:t>
      </w:r>
      <w:r w:rsidR="00D348BA" w:rsidRPr="00EA2C78">
        <w:rPr>
          <w:sz w:val="24"/>
          <w:szCs w:val="24"/>
        </w:rPr>
        <w:t xml:space="preserve"> S</w:t>
      </w:r>
      <w:r w:rsidR="007D4BC6" w:rsidRPr="00EA2C78">
        <w:rPr>
          <w:sz w:val="24"/>
          <w:szCs w:val="24"/>
        </w:rPr>
        <w:t xml:space="preserve">kelbimo apie Pirkimą </w:t>
      </w:r>
      <w:r w:rsidR="00EF20B1" w:rsidRPr="00EA2C78">
        <w:rPr>
          <w:sz w:val="24"/>
          <w:szCs w:val="24"/>
        </w:rPr>
        <w:t xml:space="preserve">IV.1.3 </w:t>
      </w:r>
      <w:r w:rsidR="0049731E" w:rsidRPr="00EA2C78">
        <w:rPr>
          <w:sz w:val="24"/>
          <w:szCs w:val="24"/>
        </w:rPr>
        <w:t>skiltyje</w:t>
      </w:r>
      <w:r w:rsidR="00EF20B1" w:rsidRPr="00EA2C78">
        <w:rPr>
          <w:sz w:val="24"/>
          <w:szCs w:val="24"/>
        </w:rPr>
        <w:t xml:space="preserve"> nurodyta, kad “</w:t>
      </w:r>
      <w:r w:rsidR="008C2C43" w:rsidRPr="00EA2C78">
        <w:rPr>
          <w:sz w:val="24"/>
          <w:szCs w:val="24"/>
        </w:rPr>
        <w:t>Viešasis pirkimas susijęs su preliminariosios sutarties sudarymu”.</w:t>
      </w:r>
      <w:r w:rsidR="004967B7" w:rsidRPr="00EA2C78">
        <w:rPr>
          <w:sz w:val="24"/>
          <w:szCs w:val="24"/>
        </w:rPr>
        <w:t xml:space="preserve"> Specialiųjų pirkimo sąlygų 6 priedo </w:t>
      </w:r>
      <w:r w:rsidR="00671192" w:rsidRPr="00EA2C78">
        <w:rPr>
          <w:sz w:val="24"/>
          <w:szCs w:val="24"/>
        </w:rPr>
        <w:t>„Preliminariosios sutarties projektas“</w:t>
      </w:r>
      <w:r w:rsidR="00E319D5" w:rsidRPr="00EA2C78">
        <w:rPr>
          <w:sz w:val="24"/>
          <w:szCs w:val="24"/>
        </w:rPr>
        <w:t xml:space="preserve"> (toliau-Preliminariosios sutarties projektas)</w:t>
      </w:r>
      <w:r w:rsidR="00671192" w:rsidRPr="00EA2C78">
        <w:rPr>
          <w:sz w:val="24"/>
          <w:szCs w:val="24"/>
        </w:rPr>
        <w:t xml:space="preserve"> 5.2. punkte nustatyta, kad </w:t>
      </w:r>
      <w:r w:rsidR="00972D12" w:rsidRPr="00EA2C78">
        <w:rPr>
          <w:sz w:val="24"/>
          <w:szCs w:val="24"/>
        </w:rPr>
        <w:t xml:space="preserve">„Ši sutartis galioja iki visiško sutartinių įsipareigojimų įvykdymo arba iki pagrindinės sutarties sudarymo, arba šios preliminariosios sutarties nutraukimo, priklausomai nuo to, kas įvyks anksčiau, bet </w:t>
      </w:r>
      <w:r w:rsidR="00972D12" w:rsidRPr="00EA2C78">
        <w:rPr>
          <w:b/>
          <w:bCs/>
          <w:sz w:val="24"/>
          <w:szCs w:val="24"/>
        </w:rPr>
        <w:t xml:space="preserve">ne ilgiau kaip 1 mėnesį”. </w:t>
      </w:r>
    </w:p>
    <w:p w14:paraId="4C2762C6" w14:textId="634C535F" w:rsidR="00D348BA" w:rsidRPr="00EA2C78" w:rsidRDefault="002277C1" w:rsidP="00EA2C78">
      <w:pPr>
        <w:spacing w:after="0" w:line="276" w:lineRule="auto"/>
        <w:rPr>
          <w:sz w:val="24"/>
          <w:szCs w:val="24"/>
        </w:rPr>
      </w:pPr>
      <w:r w:rsidRPr="00EA2C78">
        <w:rPr>
          <w:sz w:val="24"/>
          <w:szCs w:val="24"/>
        </w:rPr>
        <w:t xml:space="preserve">     </w:t>
      </w:r>
      <w:r w:rsidR="00D348BA" w:rsidRPr="00EA2C78">
        <w:rPr>
          <w:sz w:val="24"/>
          <w:szCs w:val="24"/>
        </w:rPr>
        <w:t xml:space="preserve">Tarnyba atkreipia dėmesį, kad </w:t>
      </w:r>
      <w:r w:rsidR="00EA23DD" w:rsidRPr="00EA2C78">
        <w:rPr>
          <w:sz w:val="24"/>
          <w:szCs w:val="24"/>
        </w:rPr>
        <w:t xml:space="preserve">skelbimo apie Pirkimą </w:t>
      </w:r>
      <w:r w:rsidR="0049731E" w:rsidRPr="00EA2C78">
        <w:rPr>
          <w:sz w:val="24"/>
          <w:szCs w:val="24"/>
        </w:rPr>
        <w:t xml:space="preserve">II.2.7 skiltyje nurodytas </w:t>
      </w:r>
      <w:r w:rsidR="009D1651">
        <w:rPr>
          <w:sz w:val="24"/>
          <w:szCs w:val="24"/>
        </w:rPr>
        <w:t xml:space="preserve">sutarties (šiuo atveju preliminariosios sutarties) galiojimo terminas – </w:t>
      </w:r>
      <w:r w:rsidR="00D34722" w:rsidRPr="00EA2C78">
        <w:rPr>
          <w:sz w:val="24"/>
          <w:szCs w:val="24"/>
        </w:rPr>
        <w:t xml:space="preserve">13 mėnesių </w:t>
      </w:r>
      <w:r w:rsidR="00A806AF" w:rsidRPr="00EA2C78">
        <w:rPr>
          <w:sz w:val="24"/>
          <w:szCs w:val="24"/>
        </w:rPr>
        <w:t xml:space="preserve"> </w:t>
      </w:r>
      <w:r w:rsidR="00E319D5" w:rsidRPr="00EA2C78">
        <w:rPr>
          <w:sz w:val="24"/>
          <w:szCs w:val="24"/>
        </w:rPr>
        <w:t xml:space="preserve">neatitinka </w:t>
      </w:r>
      <w:r w:rsidR="00364362" w:rsidRPr="00EA2C78">
        <w:rPr>
          <w:sz w:val="24"/>
          <w:szCs w:val="24"/>
        </w:rPr>
        <w:t>Preliminariosios sutarties projekte nurodyto</w:t>
      </w:r>
      <w:r w:rsidR="004738FD" w:rsidRPr="00EA2C78">
        <w:rPr>
          <w:sz w:val="24"/>
          <w:szCs w:val="24"/>
        </w:rPr>
        <w:t>s trukmės</w:t>
      </w:r>
      <w:r w:rsidR="009D1651">
        <w:rPr>
          <w:sz w:val="24"/>
          <w:szCs w:val="24"/>
        </w:rPr>
        <w:t xml:space="preserve">. Manytina, kad šiuo atveju skelbime nurodytas </w:t>
      </w:r>
      <w:r w:rsidR="00361B57" w:rsidRPr="00EA2C78">
        <w:rPr>
          <w:sz w:val="24"/>
          <w:szCs w:val="24"/>
        </w:rPr>
        <w:t>pagrindinės sutar</w:t>
      </w:r>
      <w:r w:rsidR="004738FD" w:rsidRPr="00EA2C78">
        <w:rPr>
          <w:sz w:val="24"/>
          <w:szCs w:val="24"/>
        </w:rPr>
        <w:t>ties galiojimo terminas.</w:t>
      </w:r>
      <w:r w:rsidR="00F72CB9" w:rsidRPr="00EA2C78">
        <w:rPr>
          <w:sz w:val="24"/>
          <w:szCs w:val="24"/>
        </w:rPr>
        <w:t xml:space="preserve"> </w:t>
      </w:r>
    </w:p>
    <w:p w14:paraId="26A39401" w14:textId="57862CFD" w:rsidR="00C04959" w:rsidRPr="00EA2C78" w:rsidRDefault="002277C1" w:rsidP="00EA2C78">
      <w:pPr>
        <w:tabs>
          <w:tab w:val="left" w:pos="993"/>
        </w:tabs>
        <w:spacing w:after="0" w:line="276" w:lineRule="auto"/>
        <w:rPr>
          <w:rFonts w:cstheme="minorHAnsi"/>
          <w:sz w:val="24"/>
          <w:szCs w:val="24"/>
        </w:rPr>
      </w:pPr>
      <w:r w:rsidRPr="00EA2C78">
        <w:rPr>
          <w:rFonts w:cstheme="minorHAnsi"/>
          <w:sz w:val="24"/>
          <w:szCs w:val="24"/>
          <w:lang w:val="lt"/>
        </w:rPr>
        <w:t xml:space="preserve">    </w:t>
      </w:r>
      <w:r w:rsidR="00C04959" w:rsidRPr="00EA2C78">
        <w:rPr>
          <w:rFonts w:cstheme="minorHAnsi"/>
          <w:sz w:val="24"/>
          <w:szCs w:val="24"/>
          <w:lang w:val="lt"/>
        </w:rPr>
        <w:t xml:space="preserve">Įstatymo 35 str. 3 d. nustato, jog jeigu yra prieštaravimų tarp skelbime ir kituose pirkimo dokumentuose pateiktos informacijos, teisinga laikoma informacija, nurodyta skelbime apie pirkimą. Atsižvelgiant į nurodytą rekomenduotina tikslinti Pirkimo dokumentus, užpildyti ir </w:t>
      </w:r>
      <w:r w:rsidR="00C04959" w:rsidRPr="00EA2C78">
        <w:rPr>
          <w:rFonts w:cstheme="minorHAnsi"/>
          <w:sz w:val="24"/>
          <w:szCs w:val="24"/>
          <w:lang w:val="lt"/>
        </w:rPr>
        <w:lastRenderedPageBreak/>
        <w:t xml:space="preserve">paskelbti klaidų ištaisymo Skelbimą, susijusį su pakeitimais ar papildoma informacija, koreguojant Skelbimo II.2.7 dalyje nurodytą </w:t>
      </w:r>
      <w:r w:rsidR="00DE7C64" w:rsidRPr="00EA2C78">
        <w:rPr>
          <w:rFonts w:cstheme="minorHAnsi"/>
          <w:sz w:val="24"/>
          <w:szCs w:val="24"/>
          <w:lang w:val="lt"/>
        </w:rPr>
        <w:t xml:space="preserve">preliminariosios </w:t>
      </w:r>
      <w:r w:rsidR="00C04959" w:rsidRPr="00EA2C78">
        <w:rPr>
          <w:rFonts w:cstheme="minorHAnsi"/>
          <w:sz w:val="24"/>
          <w:szCs w:val="24"/>
          <w:lang w:val="lt"/>
        </w:rPr>
        <w:t>sutarties trukmę.</w:t>
      </w:r>
    </w:p>
    <w:p w14:paraId="45C4B6BF" w14:textId="77777777" w:rsidR="00C04959" w:rsidRPr="00EA2C78" w:rsidRDefault="00C04959" w:rsidP="00EA2C78">
      <w:pPr>
        <w:spacing w:after="0" w:line="276" w:lineRule="auto"/>
        <w:rPr>
          <w:sz w:val="24"/>
          <w:szCs w:val="24"/>
        </w:rPr>
      </w:pPr>
    </w:p>
    <w:p w14:paraId="5B563AC9" w14:textId="02275CC0" w:rsidR="009C2ACA" w:rsidRPr="00EA2C78" w:rsidRDefault="00CB0F21" w:rsidP="00EA2C78">
      <w:pPr>
        <w:pStyle w:val="ListParagraph"/>
        <w:numPr>
          <w:ilvl w:val="0"/>
          <w:numId w:val="2"/>
        </w:numPr>
        <w:spacing w:line="276" w:lineRule="auto"/>
        <w:rPr>
          <w:b/>
          <w:sz w:val="24"/>
          <w:szCs w:val="24"/>
        </w:rPr>
      </w:pPr>
      <w:r w:rsidRPr="00EA2C78">
        <w:rPr>
          <w:b/>
          <w:sz w:val="24"/>
          <w:szCs w:val="24"/>
        </w:rPr>
        <w:t xml:space="preserve">Dėl kitų </w:t>
      </w:r>
      <w:r w:rsidR="009D1651">
        <w:rPr>
          <w:b/>
          <w:sz w:val="24"/>
          <w:szCs w:val="24"/>
        </w:rPr>
        <w:t>Pirkimo dokumentų</w:t>
      </w:r>
      <w:r w:rsidR="00F862A3" w:rsidRPr="00EA2C78">
        <w:rPr>
          <w:b/>
          <w:sz w:val="24"/>
          <w:szCs w:val="24"/>
        </w:rPr>
        <w:t xml:space="preserve"> nuostatų</w:t>
      </w:r>
    </w:p>
    <w:p w14:paraId="46D16376" w14:textId="5E4A332C" w:rsidR="00832A75" w:rsidRPr="00EA2C78" w:rsidRDefault="00CF0371" w:rsidP="00EA2C78">
      <w:pPr>
        <w:spacing w:after="0" w:line="276" w:lineRule="auto"/>
        <w:rPr>
          <w:rFonts w:eastAsia="Calibri" w:cstheme="minorHAnsi"/>
          <w:kern w:val="0"/>
          <w:sz w:val="24"/>
          <w:szCs w:val="24"/>
          <w14:ligatures w14:val="none"/>
        </w:rPr>
      </w:pPr>
      <w:r w:rsidRPr="00EA2C78">
        <w:rPr>
          <w:b/>
          <w:bCs/>
          <w:sz w:val="24"/>
          <w:szCs w:val="24"/>
        </w:rPr>
        <w:t xml:space="preserve">      </w:t>
      </w:r>
      <w:r w:rsidR="00F862A3" w:rsidRPr="00EA2C78">
        <w:rPr>
          <w:b/>
          <w:bCs/>
          <w:sz w:val="24"/>
          <w:szCs w:val="24"/>
        </w:rPr>
        <w:t>4.</w:t>
      </w:r>
      <w:r w:rsidR="00844D9C" w:rsidRPr="00EA2C78">
        <w:rPr>
          <w:b/>
          <w:bCs/>
          <w:sz w:val="24"/>
          <w:szCs w:val="24"/>
        </w:rPr>
        <w:t>1.</w:t>
      </w:r>
      <w:r w:rsidR="00844D9C" w:rsidRPr="00EA2C78">
        <w:rPr>
          <w:sz w:val="24"/>
          <w:szCs w:val="24"/>
        </w:rPr>
        <w:t xml:space="preserve"> </w:t>
      </w:r>
      <w:r w:rsidR="00832A75" w:rsidRPr="00EA2C78">
        <w:rPr>
          <w:rFonts w:eastAsia="Calibri" w:cstheme="minorHAnsi"/>
          <w:kern w:val="0"/>
          <w:sz w:val="24"/>
          <w:szCs w:val="24"/>
          <w:lang w:val="lt-LT"/>
          <w14:ligatures w14:val="none"/>
        </w:rPr>
        <w:t xml:space="preserve">Specialiųjų pirkimų sąlygų  </w:t>
      </w:r>
      <w:r w:rsidR="00615EF8" w:rsidRPr="00EA2C78">
        <w:rPr>
          <w:rFonts w:eastAsia="Calibri" w:cstheme="minorHAnsi"/>
          <w:kern w:val="0"/>
          <w:sz w:val="24"/>
          <w:szCs w:val="24"/>
          <w:lang w:val="lt-LT"/>
          <w14:ligatures w14:val="none"/>
        </w:rPr>
        <w:t>9 pried</w:t>
      </w:r>
      <w:r w:rsidR="00FE758D" w:rsidRPr="00EA2C78">
        <w:rPr>
          <w:rFonts w:eastAsia="Calibri" w:cstheme="minorHAnsi"/>
          <w:kern w:val="0"/>
          <w:sz w:val="24"/>
          <w:szCs w:val="24"/>
          <w:lang w:val="lt-LT"/>
          <w14:ligatures w14:val="none"/>
        </w:rPr>
        <w:t>o</w:t>
      </w:r>
      <w:r w:rsidR="00615EF8" w:rsidRPr="00EA2C78">
        <w:rPr>
          <w:rFonts w:eastAsia="Calibri" w:cstheme="minorHAnsi"/>
          <w:kern w:val="0"/>
          <w:sz w:val="24"/>
          <w:szCs w:val="24"/>
          <w:lang w:val="lt-LT"/>
          <w14:ligatures w14:val="none"/>
        </w:rPr>
        <w:t xml:space="preserve"> „Pasiūlymų vertinimo kriterijai ir sąlygos“</w:t>
      </w:r>
      <w:r w:rsidR="00E63F09" w:rsidRPr="00EA2C78">
        <w:rPr>
          <w:rFonts w:eastAsia="Calibri" w:cstheme="minorHAnsi"/>
          <w:kern w:val="0"/>
          <w:sz w:val="24"/>
          <w:szCs w:val="24"/>
          <w:lang w:val="lt-LT"/>
          <w14:ligatures w14:val="none"/>
        </w:rPr>
        <w:t xml:space="preserve"> (toliau – Pasiūlymų vertinimo </w:t>
      </w:r>
      <w:r w:rsidR="00375F18" w:rsidRPr="00EA2C78">
        <w:rPr>
          <w:rFonts w:eastAsia="Calibri" w:cstheme="minorHAnsi"/>
          <w:kern w:val="0"/>
          <w:sz w:val="24"/>
          <w:szCs w:val="24"/>
          <w:lang w:val="lt-LT"/>
          <w14:ligatures w14:val="none"/>
        </w:rPr>
        <w:t>kriterijai ir sąlygos)</w:t>
      </w:r>
      <w:r w:rsidR="00FE758D" w:rsidRPr="00EA2C78">
        <w:rPr>
          <w:rFonts w:eastAsia="Calibri" w:cstheme="minorHAnsi"/>
          <w:kern w:val="0"/>
          <w:sz w:val="24"/>
          <w:szCs w:val="24"/>
          <w:lang w:val="lt-LT"/>
          <w14:ligatures w14:val="none"/>
        </w:rPr>
        <w:t xml:space="preserve"> 4</w:t>
      </w:r>
      <w:r w:rsidR="00CD20DC" w:rsidRPr="00EA2C78">
        <w:rPr>
          <w:rFonts w:eastAsia="Calibri" w:cstheme="minorHAnsi"/>
          <w:kern w:val="0"/>
          <w:sz w:val="24"/>
          <w:szCs w:val="24"/>
          <w:lang w:val="lt-LT"/>
          <w14:ligatures w14:val="none"/>
        </w:rPr>
        <w:t xml:space="preserve"> punkto lentelėje</w:t>
      </w:r>
      <w:r w:rsidR="00832A75" w:rsidRPr="00EA2C78">
        <w:rPr>
          <w:rFonts w:eastAsia="Calibri" w:cstheme="minorHAnsi"/>
          <w:kern w:val="0"/>
          <w:sz w:val="24"/>
          <w:szCs w:val="24"/>
          <w:lang w:val="lt-LT"/>
          <w14:ligatures w14:val="none"/>
        </w:rPr>
        <w:t xml:space="preserve"> nurodyt</w:t>
      </w:r>
      <w:r w:rsidR="00065D5D" w:rsidRPr="00EA2C78">
        <w:rPr>
          <w:rFonts w:eastAsia="Calibri" w:cstheme="minorHAnsi"/>
          <w:kern w:val="0"/>
          <w:sz w:val="24"/>
          <w:szCs w:val="24"/>
          <w:lang w:val="lt-LT"/>
          <w14:ligatures w14:val="none"/>
        </w:rPr>
        <w:t>i</w:t>
      </w:r>
      <w:r w:rsidR="00832A75" w:rsidRPr="00EA2C78">
        <w:rPr>
          <w:rFonts w:eastAsia="Calibri" w:cstheme="minorHAnsi"/>
          <w:kern w:val="0"/>
          <w:sz w:val="24"/>
          <w:szCs w:val="24"/>
          <w:lang w:val="lt-LT"/>
          <w14:ligatures w14:val="none"/>
        </w:rPr>
        <w:t xml:space="preserve"> ekonominio naudingumo vertinimo kriterijai ir jų įvertinimo tvarka, kainos kriterijui (</w:t>
      </w:r>
      <w:r w:rsidR="00065D5D" w:rsidRPr="00EA2C78">
        <w:rPr>
          <w:rFonts w:eastAsia="Calibri" w:cstheme="minorHAnsi"/>
          <w:kern w:val="0"/>
          <w:sz w:val="24"/>
          <w:szCs w:val="24"/>
          <w:lang w:val="lt-LT"/>
          <w14:ligatures w14:val="none"/>
        </w:rPr>
        <w:t>K</w:t>
      </w:r>
      <w:r w:rsidR="00832A75" w:rsidRPr="00EA2C78">
        <w:rPr>
          <w:rFonts w:eastAsia="Calibri" w:cstheme="minorHAnsi"/>
          <w:kern w:val="0"/>
          <w:sz w:val="24"/>
          <w:szCs w:val="24"/>
          <w:lang w:val="lt-LT"/>
          <w14:ligatures w14:val="none"/>
        </w:rPr>
        <w:t xml:space="preserve">) suteikiant lyginamąjį svorį </w:t>
      </w:r>
      <w:r w:rsidR="00CE6FAC" w:rsidRPr="00EA2C78">
        <w:rPr>
          <w:rFonts w:eastAsia="Calibri" w:cstheme="minorHAnsi"/>
          <w:kern w:val="0"/>
          <w:sz w:val="24"/>
          <w:szCs w:val="24"/>
          <w:lang w:val="lt-LT"/>
          <w14:ligatures w14:val="none"/>
        </w:rPr>
        <w:t xml:space="preserve">95 </w:t>
      </w:r>
      <w:r w:rsidR="00832A75" w:rsidRPr="00EA2C78">
        <w:rPr>
          <w:rFonts w:eastAsia="Calibri" w:cstheme="minorHAnsi"/>
          <w:kern w:val="0"/>
          <w:sz w:val="24"/>
          <w:szCs w:val="24"/>
          <w:lang w:val="lt-LT"/>
          <w14:ligatures w14:val="none"/>
        </w:rPr>
        <w:t xml:space="preserve">ir </w:t>
      </w:r>
      <w:r w:rsidR="00832A75" w:rsidRPr="00EA2C78">
        <w:rPr>
          <w:rFonts w:eastAsia="Calibri" w:cstheme="minorHAnsi"/>
          <w:b/>
          <w:bCs/>
          <w:kern w:val="0"/>
          <w:sz w:val="24"/>
          <w:szCs w:val="24"/>
          <w:lang w:val="lt-LT"/>
          <w14:ligatures w14:val="none"/>
        </w:rPr>
        <w:t>papildoma statinio garantinio termino trukmei metais</w:t>
      </w:r>
      <w:r w:rsidR="00832A75" w:rsidRPr="00EA2C78">
        <w:rPr>
          <w:rFonts w:eastAsia="Calibri" w:cstheme="minorHAnsi"/>
          <w:kern w:val="0"/>
          <w:sz w:val="24"/>
          <w:szCs w:val="24"/>
          <w:lang w:val="lt-LT"/>
          <w14:ligatures w14:val="none"/>
        </w:rPr>
        <w:t xml:space="preserve"> (</w:t>
      </w:r>
      <w:r w:rsidR="00CE6FAC" w:rsidRPr="00EA2C78">
        <w:rPr>
          <w:rFonts w:eastAsia="Calibri" w:cstheme="minorHAnsi"/>
          <w:kern w:val="0"/>
          <w:sz w:val="24"/>
          <w:szCs w:val="24"/>
          <w:lang w:val="lt-LT"/>
          <w14:ligatures w14:val="none"/>
        </w:rPr>
        <w:t>GT</w:t>
      </w:r>
      <w:r w:rsidR="00832A75" w:rsidRPr="00EA2C78">
        <w:rPr>
          <w:rFonts w:eastAsia="Calibri" w:cstheme="minorHAnsi"/>
          <w:kern w:val="0"/>
          <w:sz w:val="24"/>
          <w:szCs w:val="24"/>
          <w:lang w:val="lt-LT"/>
          <w14:ligatures w14:val="none"/>
        </w:rPr>
        <w:t>)</w:t>
      </w:r>
      <w:r w:rsidR="00832A75" w:rsidRPr="00EA2C78">
        <w:rPr>
          <w:rFonts w:eastAsia="Calibri" w:cstheme="minorHAnsi"/>
          <w:kern w:val="0"/>
          <w:sz w:val="24"/>
          <w:szCs w:val="24"/>
          <w:vertAlign w:val="subscript"/>
          <w:lang w:val="lt-LT"/>
          <w14:ligatures w14:val="none"/>
        </w:rPr>
        <w:t xml:space="preserve"> </w:t>
      </w:r>
      <w:r w:rsidR="00832A75" w:rsidRPr="00EA2C78">
        <w:rPr>
          <w:rFonts w:eastAsia="Calibri" w:cstheme="minorHAnsi"/>
          <w:kern w:val="0"/>
          <w:sz w:val="24"/>
          <w:szCs w:val="24"/>
          <w:lang w:val="lt-LT"/>
          <w14:ligatures w14:val="none"/>
        </w:rPr>
        <w:t>suteikiant lyginamąjį</w:t>
      </w:r>
      <w:r w:rsidR="00832A75" w:rsidRPr="00EA2C78">
        <w:rPr>
          <w:rFonts w:eastAsia="Calibri" w:cstheme="minorHAnsi"/>
          <w:kern w:val="0"/>
          <w:sz w:val="24"/>
          <w:szCs w:val="24"/>
          <w:vertAlign w:val="subscript"/>
          <w:lang w:val="lt-LT"/>
          <w14:ligatures w14:val="none"/>
        </w:rPr>
        <w:t xml:space="preserve"> </w:t>
      </w:r>
      <w:r w:rsidR="00832A75" w:rsidRPr="00EA2C78">
        <w:rPr>
          <w:rFonts w:eastAsia="Calibri" w:cstheme="minorHAnsi"/>
          <w:kern w:val="0"/>
          <w:sz w:val="24"/>
          <w:szCs w:val="24"/>
          <w:lang w:val="lt-LT"/>
          <w14:ligatures w14:val="none"/>
        </w:rPr>
        <w:t xml:space="preserve">svorį 5. </w:t>
      </w:r>
      <w:r w:rsidR="00D44366" w:rsidRPr="00EA2C78">
        <w:rPr>
          <w:rFonts w:eastAsia="Calibri" w:cstheme="minorHAnsi"/>
          <w:kern w:val="0"/>
          <w:sz w:val="24"/>
          <w:szCs w:val="24"/>
          <w:lang w:val="lt-LT"/>
          <w14:ligatures w14:val="none"/>
        </w:rPr>
        <w:t xml:space="preserve">Pasiūlymų vertinimo kriterijų ir sąlygų </w:t>
      </w:r>
      <w:r w:rsidR="007B1756" w:rsidRPr="00EA2C78">
        <w:rPr>
          <w:rFonts w:eastAsia="Calibri" w:cstheme="minorHAnsi"/>
          <w:kern w:val="0"/>
          <w:sz w:val="24"/>
          <w:szCs w:val="24"/>
          <w:lang w:val="lt-LT"/>
          <w14:ligatures w14:val="none"/>
        </w:rPr>
        <w:t xml:space="preserve">7 punkte nustatyta, kad </w:t>
      </w:r>
      <w:r w:rsidR="006848DE" w:rsidRPr="00EA2C78">
        <w:rPr>
          <w:rFonts w:eastAsia="Calibri" w:cstheme="minorHAnsi"/>
          <w:kern w:val="0"/>
          <w:sz w:val="24"/>
          <w:szCs w:val="24"/>
          <w:lang w:val="lt-LT"/>
          <w14:ligatures w14:val="none"/>
        </w:rPr>
        <w:t>„T</w:t>
      </w:r>
      <w:r w:rsidR="007B1756" w:rsidRPr="00EA2C78">
        <w:rPr>
          <w:rFonts w:eastAsia="Calibri" w:cstheme="minorHAnsi"/>
          <w:kern w:val="0"/>
          <w:sz w:val="24"/>
          <w:szCs w:val="24"/>
          <w:lang w:val="lt-LT"/>
          <w14:ligatures w14:val="none"/>
        </w:rPr>
        <w:t>iekėjas siūlo suteikti</w:t>
      </w:r>
      <w:r w:rsidR="00463CEC" w:rsidRPr="00EA2C78">
        <w:rPr>
          <w:rFonts w:eastAsia="Calibri" w:cstheme="minorHAnsi"/>
          <w:kern w:val="0"/>
          <w:sz w:val="24"/>
          <w:szCs w:val="24"/>
          <w:lang w:val="lt-LT"/>
          <w14:ligatures w14:val="none"/>
        </w:rPr>
        <w:t xml:space="preserve"> papildomą terminą</w:t>
      </w:r>
      <w:r w:rsidR="00344465" w:rsidRPr="00EA2C78">
        <w:rPr>
          <w:rFonts w:eastAsia="Calibri" w:cstheme="minorHAnsi"/>
          <w:kern w:val="0"/>
          <w:sz w:val="24"/>
          <w:szCs w:val="24"/>
          <w:lang w:val="lt-LT"/>
          <w14:ligatures w14:val="none"/>
        </w:rPr>
        <w:t>, viršijantį minimalų nustatytą&lt;...&gt; 5 metų garantinį terminą“</w:t>
      </w:r>
      <w:r w:rsidR="009D319E" w:rsidRPr="00EA2C78">
        <w:rPr>
          <w:rFonts w:eastAsia="Calibri" w:cstheme="minorHAnsi"/>
          <w:kern w:val="0"/>
          <w:sz w:val="24"/>
          <w:szCs w:val="24"/>
          <w:lang w:val="lt-LT"/>
          <w14:ligatures w14:val="none"/>
        </w:rPr>
        <w:t xml:space="preserve">, </w:t>
      </w:r>
      <w:r w:rsidR="008C067F" w:rsidRPr="00EA2C78">
        <w:rPr>
          <w:rFonts w:eastAsia="Calibri" w:cstheme="minorHAnsi"/>
          <w:kern w:val="0"/>
          <w:sz w:val="24"/>
          <w:szCs w:val="24"/>
          <w:lang w:val="lt-LT"/>
          <w14:ligatures w14:val="none"/>
        </w:rPr>
        <w:t>t.y.</w:t>
      </w:r>
      <w:r w:rsidR="009629F6" w:rsidRPr="00EA2C78">
        <w:rPr>
          <w:rFonts w:eastAsia="Calibri" w:cstheme="minorHAnsi"/>
          <w:kern w:val="0"/>
          <w:sz w:val="24"/>
          <w:szCs w:val="24"/>
          <w:lang w:val="lt-LT"/>
          <w14:ligatures w14:val="none"/>
        </w:rPr>
        <w:t xml:space="preserve"> minimalus</w:t>
      </w:r>
      <w:r w:rsidR="008C067F" w:rsidRPr="00EA2C78">
        <w:rPr>
          <w:rFonts w:eastAsia="Calibri" w:cstheme="minorHAnsi"/>
          <w:kern w:val="0"/>
          <w:sz w:val="24"/>
          <w:szCs w:val="24"/>
          <w:lang w:val="lt-LT"/>
          <w14:ligatures w14:val="none"/>
        </w:rPr>
        <w:t xml:space="preserve"> </w:t>
      </w:r>
      <w:r w:rsidR="00146C65" w:rsidRPr="00EA2C78">
        <w:rPr>
          <w:rFonts w:eastAsia="Calibri" w:cstheme="minorHAnsi"/>
          <w:kern w:val="0"/>
          <w:sz w:val="24"/>
          <w:szCs w:val="24"/>
          <w:lang w:val="lt-LT"/>
          <w14:ligatures w14:val="none"/>
        </w:rPr>
        <w:t xml:space="preserve">0,5 balo suteikiama už </w:t>
      </w:r>
      <w:r w:rsidR="0017762B" w:rsidRPr="00EA2C78">
        <w:rPr>
          <w:rFonts w:eastAsia="Calibri" w:cstheme="minorHAnsi"/>
          <w:kern w:val="0"/>
          <w:sz w:val="24"/>
          <w:szCs w:val="24"/>
          <w:lang w:val="lt-LT"/>
          <w14:ligatures w14:val="none"/>
        </w:rPr>
        <w:t>1 metų papildomos garantijos terminą</w:t>
      </w:r>
      <w:r w:rsidR="00465A24" w:rsidRPr="00EA2C78">
        <w:rPr>
          <w:rFonts w:eastAsia="Calibri" w:cstheme="minorHAnsi"/>
          <w:kern w:val="0"/>
          <w:sz w:val="24"/>
          <w:szCs w:val="24"/>
          <w:lang w:val="lt-LT"/>
          <w14:ligatures w14:val="none"/>
        </w:rPr>
        <w:t>, ir maksimal</w:t>
      </w:r>
      <w:r w:rsidR="009D5800" w:rsidRPr="00EA2C78">
        <w:rPr>
          <w:rFonts w:eastAsia="Calibri" w:cstheme="minorHAnsi"/>
          <w:kern w:val="0"/>
          <w:sz w:val="24"/>
          <w:szCs w:val="24"/>
          <w:lang w:val="lt-LT"/>
          <w14:ligatures w14:val="none"/>
        </w:rPr>
        <w:t>ūs 5 balai suteikiami už 10</w:t>
      </w:r>
      <w:r w:rsidR="000C1CF5" w:rsidRPr="00EA2C78">
        <w:rPr>
          <w:rFonts w:eastAsia="Calibri" w:cstheme="minorHAnsi"/>
          <w:kern w:val="0"/>
          <w:sz w:val="24"/>
          <w:szCs w:val="24"/>
          <w:lang w:val="lt-LT"/>
          <w14:ligatures w14:val="none"/>
        </w:rPr>
        <w:t xml:space="preserve"> ir daugiau</w:t>
      </w:r>
      <w:r w:rsidR="009D5800" w:rsidRPr="00EA2C78">
        <w:rPr>
          <w:rFonts w:eastAsia="Calibri" w:cstheme="minorHAnsi"/>
          <w:kern w:val="0"/>
          <w:sz w:val="24"/>
          <w:szCs w:val="24"/>
          <w:lang w:val="lt-LT"/>
          <w14:ligatures w14:val="none"/>
        </w:rPr>
        <w:t xml:space="preserve"> metų papildomos garantijos terminą</w:t>
      </w:r>
      <w:r w:rsidR="00452C10" w:rsidRPr="00EA2C78">
        <w:rPr>
          <w:rFonts w:eastAsia="Calibri" w:cstheme="minorHAnsi"/>
          <w:kern w:val="0"/>
          <w:sz w:val="24"/>
          <w:szCs w:val="24"/>
          <w:lang w:val="lt-LT"/>
          <w14:ligatures w14:val="none"/>
        </w:rPr>
        <w:t>.</w:t>
      </w:r>
    </w:p>
    <w:p w14:paraId="328FFF1E" w14:textId="50FF9314" w:rsidR="00F0545D" w:rsidRPr="00EA2C78" w:rsidRDefault="007F7FDE" w:rsidP="00EA2C78">
      <w:pPr>
        <w:spacing w:after="0" w:line="276" w:lineRule="auto"/>
        <w:rPr>
          <w:rFonts w:cstheme="minorHAnsi"/>
          <w:sz w:val="24"/>
          <w:szCs w:val="24"/>
        </w:rPr>
      </w:pPr>
      <w:r w:rsidRPr="00EA2C78">
        <w:rPr>
          <w:rFonts w:eastAsia="Calibri" w:cstheme="minorHAnsi"/>
          <w:color w:val="000000"/>
          <w:kern w:val="0"/>
          <w:sz w:val="24"/>
          <w:szCs w:val="24"/>
          <w:lang w:val="lt-LT"/>
          <w14:ligatures w14:val="none"/>
        </w:rPr>
        <w:t xml:space="preserve">     </w:t>
      </w:r>
      <w:r w:rsidR="00832A75" w:rsidRPr="00832A75">
        <w:rPr>
          <w:rFonts w:eastAsia="Calibri" w:cstheme="minorHAnsi"/>
          <w:color w:val="000000"/>
          <w:kern w:val="0"/>
          <w:sz w:val="24"/>
          <w:szCs w:val="24"/>
          <w:lang w:val="lt-LT"/>
          <w14:ligatures w14:val="none"/>
        </w:rPr>
        <w:t>Pažymėtina, kad tiekėjo įsipareigojimai dėl privalomojo garantinio termino yra  perkelti į Sutarties projekt</w:t>
      </w:r>
      <w:r w:rsidR="009D1651">
        <w:rPr>
          <w:rFonts w:eastAsia="Calibri" w:cstheme="minorHAnsi"/>
          <w:color w:val="000000"/>
          <w:kern w:val="0"/>
          <w:sz w:val="24"/>
          <w:szCs w:val="24"/>
          <w:lang w:val="lt-LT"/>
          <w14:ligatures w14:val="none"/>
        </w:rPr>
        <w:t xml:space="preserve">ą, t.y. </w:t>
      </w:r>
      <w:r w:rsidR="00216116" w:rsidRPr="00EA2C78">
        <w:rPr>
          <w:rFonts w:eastAsia="Calibri" w:cstheme="minorHAnsi"/>
          <w:color w:val="000000"/>
          <w:kern w:val="0"/>
          <w:sz w:val="24"/>
          <w:szCs w:val="24"/>
          <w:lang w:val="lt-LT"/>
          <w14:ligatures w14:val="none"/>
        </w:rPr>
        <w:t>11.4 punkt</w:t>
      </w:r>
      <w:r w:rsidR="009D1651">
        <w:rPr>
          <w:rFonts w:eastAsia="Calibri" w:cstheme="minorHAnsi"/>
          <w:color w:val="000000"/>
          <w:kern w:val="0"/>
          <w:sz w:val="24"/>
          <w:szCs w:val="24"/>
          <w:lang w:val="lt-LT"/>
          <w14:ligatures w14:val="none"/>
        </w:rPr>
        <w:t>e nustatyta</w:t>
      </w:r>
      <w:r w:rsidR="00216116" w:rsidRPr="00EA2C78">
        <w:rPr>
          <w:rFonts w:eastAsia="Calibri" w:cstheme="minorHAnsi"/>
          <w:color w:val="000000"/>
          <w:kern w:val="0"/>
          <w:sz w:val="24"/>
          <w:szCs w:val="24"/>
          <w:lang w:val="lt-LT"/>
          <w14:ligatures w14:val="none"/>
        </w:rPr>
        <w:t xml:space="preserve">: </w:t>
      </w:r>
      <w:r w:rsidR="00F0545D" w:rsidRPr="00EA2C78">
        <w:rPr>
          <w:rFonts w:eastAsia="Calibri" w:cstheme="minorHAnsi"/>
          <w:color w:val="000000"/>
          <w:kern w:val="0"/>
          <w:sz w:val="24"/>
          <w:szCs w:val="24"/>
          <w:lang w:val="lt-LT"/>
          <w14:ligatures w14:val="none"/>
        </w:rPr>
        <w:t>„</w:t>
      </w:r>
      <w:r w:rsidR="00F0545D" w:rsidRPr="00EA2C78">
        <w:rPr>
          <w:rFonts w:cstheme="minorHAnsi"/>
          <w:sz w:val="24"/>
          <w:szCs w:val="24"/>
        </w:rPr>
        <w:t xml:space="preserve">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23FDD9CF" w14:textId="77777777" w:rsidR="001A29B1" w:rsidRPr="00EA2C78" w:rsidRDefault="00760525" w:rsidP="00EA2C78">
      <w:pPr>
        <w:spacing w:after="0" w:line="276" w:lineRule="auto"/>
        <w:rPr>
          <w:rFonts w:eastAsia="Times New Roman" w:cstheme="minorHAnsi"/>
          <w:kern w:val="0"/>
          <w:sz w:val="24"/>
          <w:szCs w:val="24"/>
          <w:lang w:val="lt-LT" w:eastAsia="lt-LT"/>
          <w14:ligatures w14:val="none"/>
        </w:rPr>
      </w:pPr>
      <w:r w:rsidRPr="00EA2C78">
        <w:rPr>
          <w:rFonts w:eastAsia="Calibri" w:cstheme="minorHAnsi"/>
          <w:color w:val="000000"/>
          <w:kern w:val="0"/>
          <w:sz w:val="24"/>
          <w:szCs w:val="24"/>
          <w:lang w:val="lt-LT"/>
          <w14:ligatures w14:val="none"/>
        </w:rPr>
        <w:t xml:space="preserve">Sutarties projekto 11.5 punkte </w:t>
      </w:r>
      <w:r w:rsidR="009B6598" w:rsidRPr="00EA2C78">
        <w:rPr>
          <w:rFonts w:eastAsia="Calibri" w:cstheme="minorHAnsi"/>
          <w:color w:val="000000"/>
          <w:kern w:val="0"/>
          <w:sz w:val="24"/>
          <w:szCs w:val="24"/>
          <w:lang w:val="lt-LT"/>
          <w14:ligatures w14:val="none"/>
        </w:rPr>
        <w:t>nustatyta</w:t>
      </w:r>
      <w:r w:rsidR="006B77CB" w:rsidRPr="00EA2C78">
        <w:rPr>
          <w:rFonts w:eastAsia="Calibri" w:cstheme="minorHAnsi"/>
          <w:color w:val="000000"/>
          <w:kern w:val="0"/>
          <w:sz w:val="24"/>
          <w:szCs w:val="24"/>
          <w:lang w:val="lt-LT"/>
          <w14:ligatures w14:val="none"/>
        </w:rPr>
        <w:t xml:space="preserve"> sąlyga</w:t>
      </w:r>
      <w:r w:rsidR="009B6598" w:rsidRPr="00EA2C78">
        <w:rPr>
          <w:rFonts w:eastAsia="Calibri" w:cstheme="minorHAnsi"/>
          <w:color w:val="000000"/>
          <w:kern w:val="0"/>
          <w:sz w:val="24"/>
          <w:szCs w:val="24"/>
          <w:lang w:val="lt-LT"/>
          <w14:ligatures w14:val="none"/>
        </w:rPr>
        <w:t>, jog „</w:t>
      </w:r>
      <w:r w:rsidR="00FA71F9" w:rsidRPr="00EA2C78">
        <w:rPr>
          <w:rFonts w:eastAsia="Times New Roman" w:cstheme="minorHAnsi"/>
          <w:kern w:val="0"/>
          <w:sz w:val="24"/>
          <w:szCs w:val="24"/>
          <w:lang w:val="lt-LT" w:eastAsia="lt-LT"/>
          <w14:ligatures w14:val="none"/>
        </w:rPr>
        <w:t>Rangovas kartu su statybos darbų perdavimo ir priėmimo aktu turi pateikti dokumentą, kuriame rangovas įsipareigoja pratęsti garantinį terminą, tiek, kiek įsipareigojo rangos darbų pirkimo pasiūlyme (jeigu įsipareigojo)“</w:t>
      </w:r>
      <w:r w:rsidR="00360D83" w:rsidRPr="00EA2C78">
        <w:rPr>
          <w:rFonts w:eastAsia="Times New Roman" w:cstheme="minorHAnsi"/>
          <w:kern w:val="0"/>
          <w:sz w:val="24"/>
          <w:szCs w:val="24"/>
          <w:lang w:val="lt-LT" w:eastAsia="lt-LT"/>
          <w14:ligatures w14:val="none"/>
        </w:rPr>
        <w:t>.</w:t>
      </w:r>
    </w:p>
    <w:p w14:paraId="69E18E9D" w14:textId="51778377" w:rsidR="00832A75" w:rsidRPr="00832A75" w:rsidRDefault="00173F0C" w:rsidP="00EA2C78">
      <w:pPr>
        <w:spacing w:after="0" w:line="276" w:lineRule="auto"/>
        <w:rPr>
          <w:rFonts w:eastAsia="Times New Roman" w:cstheme="minorHAnsi"/>
          <w:kern w:val="0"/>
          <w:sz w:val="24"/>
          <w:szCs w:val="24"/>
          <w:lang w:val="lt-LT" w:eastAsia="lt-LT"/>
          <w14:ligatures w14:val="none"/>
        </w:rPr>
      </w:pPr>
      <w:r w:rsidRPr="00EA2C78">
        <w:rPr>
          <w:rFonts w:eastAsia="Times New Roman" w:cstheme="minorHAnsi"/>
          <w:kern w:val="0"/>
          <w:sz w:val="24"/>
          <w:szCs w:val="24"/>
          <w:lang w:val="lt-LT" w:eastAsia="lt-LT"/>
          <w14:ligatures w14:val="none"/>
        </w:rPr>
        <w:t xml:space="preserve">Šiuo atveju, nors Perkančioji organizacija </w:t>
      </w:r>
      <w:r w:rsidR="004A5BAC" w:rsidRPr="00EA2C78">
        <w:rPr>
          <w:rFonts w:eastAsia="Times New Roman" w:cstheme="minorHAnsi"/>
          <w:kern w:val="0"/>
          <w:sz w:val="24"/>
          <w:szCs w:val="24"/>
          <w:lang w:val="lt-LT" w:eastAsia="lt-LT"/>
          <w14:ligatures w14:val="none"/>
        </w:rPr>
        <w:t xml:space="preserve">ir </w:t>
      </w:r>
      <w:r w:rsidR="009930D7" w:rsidRPr="00EA2C78">
        <w:rPr>
          <w:rFonts w:eastAsia="Times New Roman" w:cstheme="minorHAnsi"/>
          <w:kern w:val="0"/>
          <w:sz w:val="24"/>
          <w:szCs w:val="24"/>
          <w:lang w:val="lt-LT" w:eastAsia="lt-LT"/>
          <w14:ligatures w14:val="none"/>
        </w:rPr>
        <w:t>nusimatė sąlygą dėl papildomos garantijos užtikrinimo</w:t>
      </w:r>
      <w:r w:rsidR="009E70BA" w:rsidRPr="00EA2C78">
        <w:rPr>
          <w:rFonts w:eastAsia="Times New Roman" w:cstheme="minorHAnsi"/>
          <w:kern w:val="0"/>
          <w:sz w:val="24"/>
          <w:szCs w:val="24"/>
          <w:lang w:val="lt-LT" w:eastAsia="lt-LT"/>
          <w14:ligatures w14:val="none"/>
        </w:rPr>
        <w:t xml:space="preserve"> dokumento pateikimo</w:t>
      </w:r>
      <w:r w:rsidR="009930D7" w:rsidRPr="00EA2C78">
        <w:rPr>
          <w:rFonts w:eastAsia="Times New Roman" w:cstheme="minorHAnsi"/>
          <w:kern w:val="0"/>
          <w:sz w:val="24"/>
          <w:szCs w:val="24"/>
          <w:lang w:val="lt-LT" w:eastAsia="lt-LT"/>
          <w14:ligatures w14:val="none"/>
        </w:rPr>
        <w:t>, tačiau nėra aišku, k</w:t>
      </w:r>
      <w:r w:rsidR="004A5BAC" w:rsidRPr="00EA2C78">
        <w:rPr>
          <w:rFonts w:eastAsia="Times New Roman" w:cstheme="minorHAnsi"/>
          <w:kern w:val="0"/>
          <w:sz w:val="24"/>
          <w:szCs w:val="24"/>
          <w:lang w:val="lt-LT" w:eastAsia="lt-LT"/>
          <w14:ligatures w14:val="none"/>
        </w:rPr>
        <w:t>a</w:t>
      </w:r>
      <w:r w:rsidR="00D35C80">
        <w:rPr>
          <w:rFonts w:eastAsia="Times New Roman" w:cstheme="minorHAnsi"/>
          <w:kern w:val="0"/>
          <w:sz w:val="24"/>
          <w:szCs w:val="24"/>
          <w:lang w:val="lt-LT" w:eastAsia="lt-LT"/>
          <w14:ligatures w14:val="none"/>
        </w:rPr>
        <w:t xml:space="preserve">ip </w:t>
      </w:r>
      <w:r w:rsidR="00D35C80">
        <w:rPr>
          <w:rFonts w:eastAsia="Calibri" w:cstheme="minorHAnsi"/>
          <w:color w:val="000000"/>
          <w:kern w:val="0"/>
          <w:sz w:val="24"/>
          <w:szCs w:val="24"/>
          <w:lang w:val="lt-LT"/>
          <w14:ligatures w14:val="none"/>
        </w:rPr>
        <w:t>Perkančioji organizacija</w:t>
      </w:r>
      <w:r w:rsidR="00832A75" w:rsidRPr="00832A75">
        <w:rPr>
          <w:rFonts w:eastAsia="Calibri" w:cstheme="minorHAnsi"/>
          <w:color w:val="000000"/>
          <w:kern w:val="0"/>
          <w:sz w:val="24"/>
          <w:szCs w:val="24"/>
          <w:lang w:val="lt-LT"/>
          <w14:ligatures w14:val="none"/>
        </w:rPr>
        <w:t xml:space="preserve"> už</w:t>
      </w:r>
      <w:r w:rsidR="00D35C80">
        <w:rPr>
          <w:rFonts w:eastAsia="Calibri" w:cstheme="minorHAnsi"/>
          <w:color w:val="000000"/>
          <w:kern w:val="0"/>
          <w:sz w:val="24"/>
          <w:szCs w:val="24"/>
          <w:lang w:val="lt-LT"/>
          <w14:ligatures w14:val="none"/>
        </w:rPr>
        <w:t>si</w:t>
      </w:r>
      <w:r w:rsidR="00832A75" w:rsidRPr="00832A75">
        <w:rPr>
          <w:rFonts w:eastAsia="Calibri" w:cstheme="minorHAnsi"/>
          <w:color w:val="000000"/>
          <w:kern w:val="0"/>
          <w:sz w:val="24"/>
          <w:szCs w:val="24"/>
          <w:lang w:val="lt-LT"/>
          <w14:ligatures w14:val="none"/>
        </w:rPr>
        <w:t xml:space="preserve">tikrins </w:t>
      </w:r>
      <w:r w:rsidR="00D35C80">
        <w:rPr>
          <w:rFonts w:eastAsia="Calibri" w:cstheme="minorHAnsi"/>
          <w:color w:val="000000"/>
          <w:kern w:val="0"/>
          <w:sz w:val="24"/>
          <w:szCs w:val="24"/>
          <w:lang w:val="lt-LT"/>
          <w14:ligatures w14:val="none"/>
        </w:rPr>
        <w:t xml:space="preserve">tiekėjo </w:t>
      </w:r>
      <w:r w:rsidR="00832A75" w:rsidRPr="00832A75">
        <w:rPr>
          <w:rFonts w:eastAsia="Calibri" w:cstheme="minorHAnsi"/>
          <w:color w:val="000000"/>
          <w:kern w:val="0"/>
          <w:sz w:val="24"/>
          <w:szCs w:val="24"/>
          <w:lang w:val="lt-LT"/>
          <w14:ligatures w14:val="none"/>
        </w:rPr>
        <w:t>deklaruotų įsipareigojimų, susijusių su papildoma garantija, vykdymą</w:t>
      </w:r>
      <w:r w:rsidR="00D35C80">
        <w:rPr>
          <w:rFonts w:eastAsia="Calibri" w:cstheme="minorHAnsi"/>
          <w:color w:val="000000"/>
          <w:kern w:val="0"/>
          <w:sz w:val="24"/>
          <w:szCs w:val="24"/>
          <w:lang w:val="lt-LT"/>
          <w14:ligatures w14:val="none"/>
        </w:rPr>
        <w:t xml:space="preserve"> bei priežiūrą</w:t>
      </w:r>
      <w:r w:rsidR="00832A75" w:rsidRPr="00832A75">
        <w:rPr>
          <w:rFonts w:eastAsia="Calibri" w:cstheme="minorHAnsi"/>
          <w:color w:val="000000"/>
          <w:kern w:val="0"/>
          <w:sz w:val="24"/>
          <w:szCs w:val="24"/>
          <w:lang w:val="lt-LT"/>
          <w14:ligatures w14:val="none"/>
        </w:rPr>
        <w:t>.</w:t>
      </w:r>
      <w:r w:rsidR="00B67DBF" w:rsidRPr="00EA2C78">
        <w:rPr>
          <w:rFonts w:eastAsia="Calibri" w:cstheme="minorHAnsi"/>
          <w:color w:val="000000"/>
          <w:kern w:val="0"/>
          <w:sz w:val="24"/>
          <w:szCs w:val="24"/>
          <w:lang w:val="lt-LT"/>
          <w14:ligatures w14:val="none"/>
        </w:rPr>
        <w:t xml:space="preserve"> </w:t>
      </w:r>
    </w:p>
    <w:p w14:paraId="0D291AB1" w14:textId="289460E1" w:rsidR="00832A75" w:rsidRPr="00832A75" w:rsidRDefault="0060714A" w:rsidP="00EA2C78">
      <w:pPr>
        <w:spacing w:after="0" w:line="276" w:lineRule="auto"/>
        <w:rPr>
          <w:rFonts w:eastAsia="Calibri" w:cstheme="minorHAnsi"/>
          <w:b/>
          <w:bCs/>
          <w:kern w:val="0"/>
          <w:sz w:val="24"/>
          <w:szCs w:val="24"/>
          <w14:ligatures w14:val="none"/>
        </w:rPr>
      </w:pPr>
      <w:r w:rsidRPr="00EA2C78">
        <w:rPr>
          <w:rFonts w:eastAsia="Calibri" w:cstheme="minorHAnsi"/>
          <w:kern w:val="0"/>
          <w:sz w:val="24"/>
          <w:szCs w:val="24"/>
          <w:lang w:val="lt-LT"/>
          <w14:ligatures w14:val="none"/>
        </w:rPr>
        <w:t xml:space="preserve">       </w:t>
      </w:r>
      <w:r w:rsidR="00832A75" w:rsidRPr="00832A75">
        <w:rPr>
          <w:rFonts w:eastAsia="Calibri" w:cstheme="minorHAnsi"/>
          <w:kern w:val="0"/>
          <w:sz w:val="24"/>
          <w:szCs w:val="24"/>
          <w:lang w:val="lt-LT"/>
          <w14:ligatures w14:val="none"/>
        </w:rPr>
        <w:t>Tarnyba primena, kad Lietuvos Aukščiausiasis Teismas, formuodamas teisės taikymo praktiką, nurodė, kad tiekėjų pateikti atitikties nustatytiems ekonominio naudingumo kriterijams aprašymai (juose esantys tiekėjų įsipareigojimai ar patvirtinimai), susiję su įvairiais viešojo pirkimo sutarties vykdymo aspektais, būtų įtraukti į viešojo pirkimo sutartį bei vykdomi (nutartis civilinėje byloje Nr. e3K-3-178-378/2018). Kai tiekėjas, pripažintas laimėtoju dėl to, kad jo pasiūlymas geriau už kitų pirkimo dalyvių pasiūlymus atitiko ekonominio naudingumo reikalavimus, toks jo pranašumas turi tiesiogiai atsispindėti ir sutartyje. Atsižvelgiant į tai, Pirkimo sąlygose nustatyti ekonominio naudingumo kriterijai privalo būti perkelti į Sutarties projektą, numatyta aiški priežiūros (kontrolės) tvarka, periodiškumas, terminai,</w:t>
      </w:r>
      <w:r w:rsidR="00832A75" w:rsidRPr="00832A75">
        <w:rPr>
          <w:rFonts w:eastAsia="Calibri" w:cstheme="minorHAnsi"/>
          <w:b/>
          <w:bCs/>
          <w:kern w:val="0"/>
          <w:sz w:val="24"/>
          <w:szCs w:val="24"/>
          <w:lang w:val="lt-LT"/>
          <w14:ligatures w14:val="none"/>
        </w:rPr>
        <w:t xml:space="preserve"> aiškiai nustatytos  sankcijos.</w:t>
      </w:r>
    </w:p>
    <w:p w14:paraId="7CF1C33A" w14:textId="49340314" w:rsidR="00832A75" w:rsidRPr="00832A75" w:rsidRDefault="00832A75" w:rsidP="00EA2C78">
      <w:pPr>
        <w:spacing w:after="0" w:line="276" w:lineRule="auto"/>
        <w:ind w:firstLine="709"/>
        <w:rPr>
          <w:rFonts w:eastAsia="Calibri" w:cstheme="minorHAnsi"/>
          <w:kern w:val="0"/>
          <w:sz w:val="24"/>
          <w:szCs w:val="24"/>
          <w14:ligatures w14:val="none"/>
        </w:rPr>
      </w:pPr>
      <w:r w:rsidRPr="00832A75">
        <w:rPr>
          <w:rFonts w:eastAsia="Calibri" w:cstheme="minorHAnsi"/>
          <w:kern w:val="0"/>
          <w:sz w:val="24"/>
          <w:szCs w:val="24"/>
          <w:lang w:val="lt-LT"/>
          <w14:ligatures w14:val="none"/>
        </w:rPr>
        <w:lastRenderedPageBreak/>
        <w:t xml:space="preserve"> Atsižvelgiant į aukščiau nurodyta, Tarnyba rekomenduoja </w:t>
      </w:r>
      <w:r w:rsidR="008A07C1" w:rsidRPr="00EA2C78">
        <w:rPr>
          <w:rFonts w:eastAsia="Calibri" w:cstheme="minorHAnsi"/>
          <w:kern w:val="0"/>
          <w:sz w:val="24"/>
          <w:szCs w:val="24"/>
          <w:lang w:val="lt-LT"/>
          <w14:ligatures w14:val="none"/>
        </w:rPr>
        <w:t xml:space="preserve">papildyti </w:t>
      </w:r>
      <w:r w:rsidRPr="00832A75">
        <w:rPr>
          <w:rFonts w:eastAsia="Calibri" w:cstheme="minorHAnsi"/>
          <w:kern w:val="0"/>
          <w:sz w:val="24"/>
          <w:szCs w:val="24"/>
          <w:lang w:val="lt-LT"/>
          <w14:ligatures w14:val="none"/>
        </w:rPr>
        <w:t>Sutarties projekt</w:t>
      </w:r>
      <w:r w:rsidR="008A07C1" w:rsidRPr="00EA2C78">
        <w:rPr>
          <w:rFonts w:eastAsia="Calibri" w:cstheme="minorHAnsi"/>
          <w:kern w:val="0"/>
          <w:sz w:val="24"/>
          <w:szCs w:val="24"/>
          <w:lang w:val="lt-LT"/>
          <w14:ligatures w14:val="none"/>
        </w:rPr>
        <w:t xml:space="preserve">o </w:t>
      </w:r>
      <w:r w:rsidR="007F320E" w:rsidRPr="00EA2C78">
        <w:rPr>
          <w:rFonts w:eastAsia="Calibri" w:cstheme="minorHAnsi"/>
          <w:kern w:val="0"/>
          <w:sz w:val="24"/>
          <w:szCs w:val="24"/>
          <w:lang w:val="lt-LT"/>
          <w14:ligatures w14:val="none"/>
        </w:rPr>
        <w:t xml:space="preserve">sąlygas, </w:t>
      </w:r>
      <w:r w:rsidRPr="00832A75">
        <w:rPr>
          <w:rFonts w:eastAsia="Calibri" w:cstheme="minorHAnsi"/>
          <w:kern w:val="0"/>
          <w:sz w:val="24"/>
          <w:szCs w:val="24"/>
          <w:lang w:val="lt-LT"/>
          <w14:ligatures w14:val="none"/>
        </w:rPr>
        <w:t xml:space="preserve"> nusimat</w:t>
      </w:r>
      <w:r w:rsidR="007F320E" w:rsidRPr="00EA2C78">
        <w:rPr>
          <w:rFonts w:eastAsia="Calibri" w:cstheme="minorHAnsi"/>
          <w:kern w:val="0"/>
          <w:sz w:val="24"/>
          <w:szCs w:val="24"/>
          <w:lang w:val="lt-LT"/>
          <w14:ligatures w14:val="none"/>
        </w:rPr>
        <w:t>ant,</w:t>
      </w:r>
      <w:r w:rsidRPr="00832A75">
        <w:rPr>
          <w:rFonts w:eastAsia="Calibri" w:cstheme="minorHAnsi"/>
          <w:kern w:val="0"/>
          <w:sz w:val="24"/>
          <w:szCs w:val="24"/>
          <w:lang w:val="lt-LT"/>
          <w14:ligatures w14:val="none"/>
        </w:rPr>
        <w:t xml:space="preserve"> kokios užtikrinimo priemonės bus taikomos (pvz. nusimatyti baudas ir (ar) kt. priemones), jei tiekėjas per papildomą garantinį terminą nesilaikys savo deklaruotų įsipareigojimų, už kuriuos vertinant pasiūlymą gavo balus.</w:t>
      </w:r>
    </w:p>
    <w:p w14:paraId="4B94BE0D" w14:textId="32AF24FB" w:rsidR="00D1788C" w:rsidRPr="00EA2C78" w:rsidRDefault="00832A75" w:rsidP="004B5A3A">
      <w:pPr>
        <w:spacing w:after="0" w:line="276" w:lineRule="auto"/>
        <w:ind w:firstLine="709"/>
        <w:rPr>
          <w:rFonts w:eastAsia="Calibri" w:cstheme="minorHAnsi"/>
          <w:kern w:val="0"/>
          <w:sz w:val="24"/>
          <w:szCs w:val="24"/>
          <w14:ligatures w14:val="none"/>
        </w:rPr>
      </w:pPr>
      <w:r w:rsidRPr="00832A75">
        <w:rPr>
          <w:rFonts w:eastAsia="Calibri" w:cstheme="minorHAnsi"/>
          <w:kern w:val="0"/>
          <w:sz w:val="24"/>
          <w:szCs w:val="24"/>
          <w:lang w:val="lt-LT"/>
          <w14:ligatures w14:val="none"/>
        </w:rPr>
        <w:t xml:space="preserve">Tarnyba atkreipia dėmesį į tai, kad sankcijos rangovui turi būti proporcingos kriterijų vertei, Pirkimo svarbai ir tikėtinoms prievolių neįvykdymo neigiamoms pasekmėms, jos taip pat turi būti „atgrasančios“ ir užtikrinti, kad Pirkimą laimėjęs tiekėjas deklaruotus ir prisiimamus įsipareigojimus sutarties vykdymo metu vykdytų tinkamai. </w:t>
      </w:r>
    </w:p>
    <w:p w14:paraId="06A7FEF5" w14:textId="70FB3E20" w:rsidR="006A5FB3" w:rsidRPr="00EA2C78" w:rsidRDefault="00AB7CCB" w:rsidP="00EA2C78">
      <w:pPr>
        <w:spacing w:after="0" w:line="276" w:lineRule="auto"/>
        <w:rPr>
          <w:rFonts w:eastAsia="Calibri" w:cstheme="minorHAnsi"/>
          <w:kern w:val="0"/>
          <w:sz w:val="24"/>
          <w:szCs w:val="24"/>
          <w:lang w:val="lt-LT" w:eastAsia="lt-LT"/>
          <w14:ligatures w14:val="none"/>
        </w:rPr>
      </w:pPr>
      <w:r w:rsidRPr="00EA2C78">
        <w:rPr>
          <w:rFonts w:cstheme="minorHAnsi"/>
          <w:b/>
          <w:bCs/>
          <w:sz w:val="24"/>
          <w:szCs w:val="24"/>
        </w:rPr>
        <w:t xml:space="preserve">   </w:t>
      </w:r>
      <w:r w:rsidR="00951471" w:rsidRPr="00EA2C78">
        <w:rPr>
          <w:rFonts w:cstheme="minorHAnsi"/>
          <w:b/>
          <w:bCs/>
          <w:sz w:val="24"/>
          <w:szCs w:val="24"/>
        </w:rPr>
        <w:t xml:space="preserve">     </w:t>
      </w:r>
      <w:r w:rsidR="009E1673" w:rsidRPr="00EA2C78">
        <w:rPr>
          <w:rFonts w:cstheme="minorHAnsi"/>
          <w:b/>
          <w:bCs/>
          <w:sz w:val="24"/>
          <w:szCs w:val="24"/>
        </w:rPr>
        <w:t>4.2.</w:t>
      </w:r>
      <w:r w:rsidR="009E1673" w:rsidRPr="00EA2C78">
        <w:rPr>
          <w:rFonts w:cstheme="minorHAnsi"/>
          <w:sz w:val="24"/>
          <w:szCs w:val="24"/>
        </w:rPr>
        <w:t xml:space="preserve"> </w:t>
      </w:r>
      <w:r w:rsidR="00887F45" w:rsidRPr="00EA2C78">
        <w:rPr>
          <w:rFonts w:cstheme="minorHAnsi"/>
          <w:sz w:val="24"/>
          <w:szCs w:val="24"/>
        </w:rPr>
        <w:t xml:space="preserve">Sutarties </w:t>
      </w:r>
      <w:r w:rsidR="00CD5037">
        <w:rPr>
          <w:rFonts w:cstheme="minorHAnsi"/>
          <w:sz w:val="24"/>
          <w:szCs w:val="24"/>
        </w:rPr>
        <w:t xml:space="preserve">projekto </w:t>
      </w:r>
      <w:r w:rsidR="00625263" w:rsidRPr="00EA2C78">
        <w:rPr>
          <w:rFonts w:cstheme="minorHAnsi"/>
          <w:sz w:val="24"/>
          <w:szCs w:val="24"/>
        </w:rPr>
        <w:t xml:space="preserve">4.9 punkte nustatyta, kad </w:t>
      </w:r>
      <w:r w:rsidR="00B401DC" w:rsidRPr="00EA2C78">
        <w:rPr>
          <w:rFonts w:cstheme="minorHAnsi"/>
          <w:sz w:val="24"/>
          <w:szCs w:val="24"/>
        </w:rPr>
        <w:t>“Užsakovas turi teisę bet kuriuo sutarties galiojimo laikotarpiu, įspėjęs rangovą ne vėliau kaip prieš 3 darbo dienas, patikrinti 5.28. punkte nurodytų dokumentų galiojimą”</w:t>
      </w:r>
      <w:r w:rsidR="009F0C99" w:rsidRPr="00EA2C78">
        <w:rPr>
          <w:rFonts w:cstheme="minorHAnsi"/>
          <w:sz w:val="24"/>
          <w:szCs w:val="24"/>
        </w:rPr>
        <w:t xml:space="preserve">, o </w:t>
      </w:r>
      <w:r w:rsidR="004A0DE9" w:rsidRPr="00EA2C78">
        <w:rPr>
          <w:rFonts w:cstheme="minorHAnsi"/>
          <w:sz w:val="24"/>
          <w:szCs w:val="24"/>
        </w:rPr>
        <w:t xml:space="preserve">5.28 punkte </w:t>
      </w:r>
      <w:r w:rsidR="00E46E98" w:rsidRPr="00EA2C78">
        <w:rPr>
          <w:rFonts w:cstheme="minorHAnsi"/>
          <w:sz w:val="24"/>
          <w:szCs w:val="24"/>
        </w:rPr>
        <w:t>numatyta</w:t>
      </w:r>
      <w:r w:rsidR="009F0C99" w:rsidRPr="00EA2C78">
        <w:rPr>
          <w:rFonts w:cstheme="minorHAnsi"/>
          <w:sz w:val="24"/>
          <w:szCs w:val="24"/>
        </w:rPr>
        <w:t>, jog</w:t>
      </w:r>
      <w:r w:rsidR="00E46E98" w:rsidRPr="00EA2C78">
        <w:rPr>
          <w:rFonts w:cstheme="minorHAnsi"/>
          <w:sz w:val="24"/>
          <w:szCs w:val="24"/>
        </w:rPr>
        <w:t xml:space="preserve"> “</w:t>
      </w:r>
      <w:r w:rsidR="006A5FB3" w:rsidRPr="00EA2C78">
        <w:rPr>
          <w:rFonts w:eastAsia="Calibri" w:cstheme="minorHAnsi"/>
          <w:kern w:val="0"/>
          <w:sz w:val="24"/>
          <w:szCs w:val="24"/>
          <w:lang w:val="lt-LT" w:eastAsia="lt-LT"/>
          <w14:ligatures w14:val="none"/>
        </w:rPr>
        <w:t>Rangovas įsipareigoja sutarties vykdymo laikotarpiu užtikrinti nustatytų kokybės vadybos sistemos ir (arba) aplinkos apsaugos vadybos sistemos standartų laikymąsi, jeigu to reikalaujama pirkimo dokumentuose, ir turėti tai patvirtinančius dokumentus“.</w:t>
      </w:r>
      <w:r w:rsidR="00B24DA2" w:rsidRPr="00EA2C78">
        <w:rPr>
          <w:rFonts w:eastAsia="Calibri" w:cstheme="minorHAnsi"/>
          <w:kern w:val="0"/>
          <w:sz w:val="24"/>
          <w:szCs w:val="24"/>
          <w:lang w:val="lt-LT" w:eastAsia="lt-LT"/>
          <w14:ligatures w14:val="none"/>
        </w:rPr>
        <w:t xml:space="preserve"> Tarnyba atkreipia dėmesį, kad </w:t>
      </w:r>
      <w:r w:rsidR="00D77877" w:rsidRPr="00EA2C78">
        <w:rPr>
          <w:rFonts w:eastAsia="Calibri" w:cstheme="minorHAnsi"/>
          <w:kern w:val="0"/>
          <w:sz w:val="24"/>
          <w:szCs w:val="24"/>
          <w:lang w:val="lt-LT" w:eastAsia="lt-LT"/>
          <w14:ligatures w14:val="none"/>
        </w:rPr>
        <w:t xml:space="preserve">nors </w:t>
      </w:r>
      <w:r w:rsidR="00056C19" w:rsidRPr="00EA2C78">
        <w:rPr>
          <w:rFonts w:eastAsia="Calibri" w:cstheme="minorHAnsi"/>
          <w:kern w:val="0"/>
          <w:sz w:val="24"/>
          <w:szCs w:val="24"/>
          <w:lang w:val="lt-LT" w:eastAsia="lt-LT"/>
          <w14:ligatures w14:val="none"/>
        </w:rPr>
        <w:t>Sutarties projekto sąlygose</w:t>
      </w:r>
      <w:r w:rsidR="00D77877" w:rsidRPr="00EA2C78">
        <w:rPr>
          <w:rFonts w:eastAsia="Calibri" w:cstheme="minorHAnsi"/>
          <w:kern w:val="0"/>
          <w:sz w:val="24"/>
          <w:szCs w:val="24"/>
          <w:lang w:val="lt-LT" w:eastAsia="lt-LT"/>
          <w14:ligatures w14:val="none"/>
        </w:rPr>
        <w:t xml:space="preserve"> numatyt</w:t>
      </w:r>
      <w:r w:rsidR="00CD4C87" w:rsidRPr="00EA2C78">
        <w:rPr>
          <w:rFonts w:eastAsia="Calibri" w:cstheme="minorHAnsi"/>
          <w:kern w:val="0"/>
          <w:sz w:val="24"/>
          <w:szCs w:val="24"/>
          <w:lang w:val="lt-LT" w:eastAsia="lt-LT"/>
          <w14:ligatures w14:val="none"/>
        </w:rPr>
        <w:t xml:space="preserve">as aplinkos apsaugos vadybos sistemos reikalavimų kontrolės mechanizmas, tačiau </w:t>
      </w:r>
      <w:r w:rsidR="00056C19" w:rsidRPr="00EA2C78">
        <w:rPr>
          <w:rFonts w:eastAsia="Calibri" w:cstheme="minorHAnsi"/>
          <w:kern w:val="0"/>
          <w:sz w:val="24"/>
          <w:szCs w:val="24"/>
          <w:lang w:val="lt-LT" w:eastAsia="lt-LT"/>
          <w14:ligatures w14:val="none"/>
        </w:rPr>
        <w:t xml:space="preserve"> nėra numatyta, kokios </w:t>
      </w:r>
      <w:r w:rsidR="00D35C80">
        <w:rPr>
          <w:rFonts w:eastAsia="Calibri" w:cstheme="minorHAnsi"/>
          <w:kern w:val="0"/>
          <w:sz w:val="24"/>
          <w:szCs w:val="24"/>
          <w:lang w:val="lt-LT" w:eastAsia="lt-LT"/>
          <w14:ligatures w14:val="none"/>
        </w:rPr>
        <w:t>sankcijos</w:t>
      </w:r>
      <w:r w:rsidR="00056C19" w:rsidRPr="00EA2C78">
        <w:rPr>
          <w:rFonts w:eastAsia="Calibri" w:cstheme="minorHAnsi"/>
          <w:kern w:val="0"/>
          <w:sz w:val="24"/>
          <w:szCs w:val="24"/>
          <w:lang w:val="lt-LT" w:eastAsia="lt-LT"/>
          <w14:ligatures w14:val="none"/>
        </w:rPr>
        <w:t xml:space="preserve"> bus taikomos tiekėjui, jei jis </w:t>
      </w:r>
      <w:r w:rsidR="002C37B8" w:rsidRPr="00EA2C78">
        <w:rPr>
          <w:rFonts w:eastAsia="Calibri" w:cstheme="minorHAnsi"/>
          <w:kern w:val="0"/>
          <w:sz w:val="24"/>
          <w:szCs w:val="24"/>
          <w:lang w:val="lt-LT" w:eastAsia="lt-LT"/>
          <w14:ligatures w14:val="none"/>
        </w:rPr>
        <w:t>ne</w:t>
      </w:r>
      <w:r w:rsidR="00D35C80">
        <w:rPr>
          <w:rFonts w:eastAsia="Calibri" w:cstheme="minorHAnsi"/>
          <w:kern w:val="0"/>
          <w:sz w:val="24"/>
          <w:szCs w:val="24"/>
          <w:lang w:val="lt-LT" w:eastAsia="lt-LT"/>
          <w14:ligatures w14:val="none"/>
        </w:rPr>
        <w:t>pa</w:t>
      </w:r>
      <w:r w:rsidR="002C37B8" w:rsidRPr="00EA2C78">
        <w:rPr>
          <w:rFonts w:eastAsia="Calibri" w:cstheme="minorHAnsi"/>
          <w:kern w:val="0"/>
          <w:sz w:val="24"/>
          <w:szCs w:val="24"/>
          <w:lang w:val="lt-LT" w:eastAsia="lt-LT"/>
          <w14:ligatures w14:val="none"/>
        </w:rPr>
        <w:t xml:space="preserve">teiks aukščiau nurodytų dokumentų, ar šių dokumentų </w:t>
      </w:r>
      <w:r w:rsidR="00584B36" w:rsidRPr="00EA2C78">
        <w:rPr>
          <w:rFonts w:eastAsia="Calibri" w:cstheme="minorHAnsi"/>
          <w:kern w:val="0"/>
          <w:sz w:val="24"/>
          <w:szCs w:val="24"/>
          <w:lang w:val="lt-LT" w:eastAsia="lt-LT"/>
          <w14:ligatures w14:val="none"/>
        </w:rPr>
        <w:t xml:space="preserve">galiojimas bus pasibaigęs. </w:t>
      </w:r>
    </w:p>
    <w:p w14:paraId="77C25F93" w14:textId="18704017" w:rsidR="004B5A3A" w:rsidRPr="004B5A3A" w:rsidRDefault="00951471" w:rsidP="004B5A3A">
      <w:pPr>
        <w:spacing w:after="0" w:line="276" w:lineRule="auto"/>
        <w:ind w:right="-20"/>
        <w:rPr>
          <w:rFonts w:eastAsia="Calibri" w:cstheme="minorHAnsi"/>
          <w:sz w:val="24"/>
          <w:szCs w:val="24"/>
          <w:lang w:val="lt"/>
        </w:rPr>
      </w:pPr>
      <w:r w:rsidRPr="00EA2C78">
        <w:rPr>
          <w:rFonts w:eastAsia="Calibri" w:cstheme="minorHAnsi"/>
          <w:sz w:val="24"/>
          <w:szCs w:val="24"/>
          <w:lang w:val="lt"/>
        </w:rPr>
        <w:t xml:space="preserve">      </w:t>
      </w:r>
      <w:r w:rsidR="00A9123D" w:rsidRPr="00EA2C78">
        <w:rPr>
          <w:rFonts w:eastAsia="Calibri" w:cstheme="minorHAnsi"/>
          <w:sz w:val="24"/>
          <w:szCs w:val="24"/>
          <w:lang w:val="lt"/>
        </w:rPr>
        <w:t xml:space="preserve">Sutarties projekte rekomenduojame nurodyti </w:t>
      </w:r>
      <w:r w:rsidR="009D3A04" w:rsidRPr="00EA2C78">
        <w:rPr>
          <w:rFonts w:eastAsia="Calibri" w:cstheme="minorHAnsi"/>
          <w:sz w:val="24"/>
          <w:szCs w:val="24"/>
          <w:lang w:val="lt"/>
        </w:rPr>
        <w:t xml:space="preserve">ne tik </w:t>
      </w:r>
      <w:r w:rsidR="00A9123D" w:rsidRPr="00EA2C78">
        <w:rPr>
          <w:rFonts w:eastAsia="Calibri" w:cstheme="minorHAnsi"/>
          <w:sz w:val="24"/>
          <w:szCs w:val="24"/>
          <w:lang w:val="lt"/>
        </w:rPr>
        <w:t>tiekėjo pareigą sutarties vykdymo metu taikyti aplinkos apsaugos vadybos sistemos reikalavimus</w:t>
      </w:r>
      <w:r w:rsidRPr="00EA2C78">
        <w:rPr>
          <w:rFonts w:eastAsia="Calibri" w:cstheme="minorHAnsi"/>
          <w:sz w:val="24"/>
          <w:szCs w:val="24"/>
          <w:lang w:val="lt"/>
        </w:rPr>
        <w:t xml:space="preserve">, </w:t>
      </w:r>
      <w:r w:rsidR="00A9123D" w:rsidRPr="00EA2C78">
        <w:rPr>
          <w:rFonts w:eastAsia="Calibri" w:cstheme="minorHAnsi"/>
          <w:sz w:val="24"/>
          <w:szCs w:val="24"/>
          <w:lang w:val="lt"/>
        </w:rPr>
        <w:t xml:space="preserve"> </w:t>
      </w:r>
      <w:r w:rsidRPr="00EA2C78">
        <w:rPr>
          <w:rFonts w:eastAsia="Calibri" w:cstheme="minorHAnsi"/>
          <w:sz w:val="24"/>
          <w:szCs w:val="24"/>
          <w:lang w:val="lt"/>
        </w:rPr>
        <w:t>nusimatyti</w:t>
      </w:r>
      <w:r w:rsidR="00A9123D" w:rsidRPr="00EA2C78">
        <w:rPr>
          <w:rFonts w:eastAsia="Calibri" w:cstheme="minorHAnsi"/>
          <w:sz w:val="24"/>
          <w:szCs w:val="24"/>
          <w:lang w:val="lt"/>
        </w:rPr>
        <w:t xml:space="preserve"> kontrolės mechanizm</w:t>
      </w:r>
      <w:r w:rsidRPr="00EA2C78">
        <w:rPr>
          <w:rFonts w:eastAsia="Calibri" w:cstheme="minorHAnsi"/>
          <w:sz w:val="24"/>
          <w:szCs w:val="24"/>
          <w:lang w:val="lt"/>
        </w:rPr>
        <w:t>ą</w:t>
      </w:r>
      <w:r w:rsidR="00A9123D" w:rsidRPr="00EA2C78">
        <w:rPr>
          <w:rFonts w:eastAsia="Calibri" w:cstheme="minorHAnsi"/>
          <w:sz w:val="24"/>
          <w:szCs w:val="24"/>
          <w:lang w:val="lt"/>
        </w:rPr>
        <w:t>, kaip Perkančioji organizacija kontroliuos tiekėjo pareigą sutarties vykdymo metu taikyti aplinkos apsaugos vadybos sistemos reikalavimus</w:t>
      </w:r>
      <w:r w:rsidRPr="00EA2C78">
        <w:rPr>
          <w:rFonts w:eastAsia="Calibri" w:cstheme="minorHAnsi"/>
          <w:sz w:val="24"/>
          <w:szCs w:val="24"/>
          <w:lang w:val="lt"/>
        </w:rPr>
        <w:t>, bet ir</w:t>
      </w:r>
      <w:r w:rsidR="00A9123D" w:rsidRPr="00EA2C78">
        <w:rPr>
          <w:rFonts w:eastAsia="Calibri" w:cstheme="minorHAnsi"/>
          <w:sz w:val="24"/>
          <w:szCs w:val="24"/>
          <w:lang w:val="lt"/>
        </w:rPr>
        <w:t xml:space="preserve"> koks bus sankcijų mechanizmas, jeigu tiekėjas šios pareigos nevykdys. Atsižvelgiant į nurodytą, rekomenduotina </w:t>
      </w:r>
      <w:r w:rsidR="00AF6601" w:rsidRPr="00EA2C78">
        <w:rPr>
          <w:rFonts w:eastAsia="Calibri" w:cstheme="minorHAnsi"/>
          <w:sz w:val="24"/>
          <w:szCs w:val="24"/>
          <w:lang w:val="lt"/>
        </w:rPr>
        <w:t>papildyti</w:t>
      </w:r>
      <w:r w:rsidR="00A9123D" w:rsidRPr="00EA2C78">
        <w:rPr>
          <w:rFonts w:eastAsia="Calibri" w:cstheme="minorHAnsi"/>
          <w:sz w:val="24"/>
          <w:szCs w:val="24"/>
          <w:lang w:val="lt"/>
        </w:rPr>
        <w:t xml:space="preserve"> sutarties projekt</w:t>
      </w:r>
      <w:r w:rsidR="0060714A" w:rsidRPr="00EA2C78">
        <w:rPr>
          <w:rFonts w:eastAsia="Calibri" w:cstheme="minorHAnsi"/>
          <w:sz w:val="24"/>
          <w:szCs w:val="24"/>
          <w:lang w:val="lt"/>
        </w:rPr>
        <w:t>o nuostatas</w:t>
      </w:r>
      <w:r w:rsidR="00A9123D" w:rsidRPr="00EA2C78">
        <w:rPr>
          <w:rFonts w:eastAsia="Calibri" w:cstheme="minorHAnsi"/>
          <w:sz w:val="24"/>
          <w:szCs w:val="24"/>
          <w:lang w:val="lt"/>
        </w:rPr>
        <w:t>.</w:t>
      </w:r>
    </w:p>
    <w:p w14:paraId="095D7E91" w14:textId="4D51B2F3" w:rsidR="00CB52E4" w:rsidRPr="00EA2C78" w:rsidRDefault="009247DA" w:rsidP="00EA2C78">
      <w:pPr>
        <w:pStyle w:val="NoSpacing"/>
        <w:tabs>
          <w:tab w:val="left" w:pos="1701"/>
        </w:tabs>
        <w:spacing w:line="276" w:lineRule="auto"/>
        <w:contextualSpacing/>
        <w:rPr>
          <w:rFonts w:eastAsia="Times New Roman" w:cstheme="minorHAnsi"/>
          <w:sz w:val="24"/>
          <w:szCs w:val="24"/>
        </w:rPr>
      </w:pPr>
      <w:r w:rsidRPr="00EA2C78">
        <w:rPr>
          <w:rFonts w:cstheme="minorHAnsi"/>
          <w:b/>
          <w:bCs/>
          <w:sz w:val="24"/>
          <w:szCs w:val="24"/>
        </w:rPr>
        <w:t xml:space="preserve">     </w:t>
      </w:r>
      <w:r w:rsidR="00AA74B5" w:rsidRPr="00EA2C78">
        <w:rPr>
          <w:rFonts w:cstheme="minorHAnsi"/>
          <w:b/>
          <w:bCs/>
          <w:sz w:val="24"/>
          <w:szCs w:val="24"/>
        </w:rPr>
        <w:t>4.</w:t>
      </w:r>
      <w:r w:rsidR="00244584" w:rsidRPr="00EA2C78">
        <w:rPr>
          <w:rFonts w:cstheme="minorHAnsi"/>
          <w:b/>
          <w:bCs/>
          <w:sz w:val="24"/>
          <w:szCs w:val="24"/>
        </w:rPr>
        <w:t>3</w:t>
      </w:r>
      <w:r w:rsidR="00AA74B5" w:rsidRPr="00EA2C78">
        <w:rPr>
          <w:rFonts w:cstheme="minorHAnsi"/>
          <w:b/>
          <w:bCs/>
          <w:sz w:val="24"/>
          <w:szCs w:val="24"/>
        </w:rPr>
        <w:t>.</w:t>
      </w:r>
      <w:r w:rsidR="00AA74B5" w:rsidRPr="00EA2C78">
        <w:rPr>
          <w:rFonts w:cstheme="minorHAnsi"/>
          <w:sz w:val="24"/>
          <w:szCs w:val="24"/>
        </w:rPr>
        <w:t xml:space="preserve"> </w:t>
      </w:r>
      <w:r w:rsidR="00CE60D6" w:rsidRPr="00EA2C78">
        <w:rPr>
          <w:rFonts w:cstheme="minorHAnsi"/>
          <w:sz w:val="24"/>
          <w:szCs w:val="24"/>
        </w:rPr>
        <w:t>Sutarties projekto 5.1 punkte nustatyta</w:t>
      </w:r>
      <w:r w:rsidR="008C1350" w:rsidRPr="00EA2C78">
        <w:rPr>
          <w:rFonts w:cstheme="minorHAnsi"/>
          <w:sz w:val="24"/>
          <w:szCs w:val="24"/>
        </w:rPr>
        <w:t>, kad “</w:t>
      </w:r>
      <w:r w:rsidR="00616C96" w:rsidRPr="00EA2C78">
        <w:rPr>
          <w:rFonts w:eastAsia="Times New Roman" w:cstheme="minorHAnsi"/>
          <w:b/>
          <w:bCs/>
          <w:sz w:val="24"/>
          <w:szCs w:val="24"/>
        </w:rPr>
        <w:t>Rangovas privalo parengti darbo projektą</w:t>
      </w:r>
      <w:r w:rsidR="00616C96" w:rsidRPr="00EA2C78">
        <w:rPr>
          <w:rFonts w:eastAsia="Times New Roman" w:cstheme="minorHAnsi"/>
          <w:sz w:val="24"/>
          <w:szCs w:val="24"/>
        </w:rPr>
        <w:t xml:space="preserve"> su tiksliais sąnaudų kiekių žiniaraščiais, vykdyti ir užbaigti darbus pagal sutartį, vadovaudamasis </w:t>
      </w:r>
      <w:r w:rsidR="00616C96" w:rsidRPr="00EA2C78">
        <w:rPr>
          <w:rFonts w:eastAsia="Times New Roman" w:cstheme="minorHAnsi"/>
          <w:b/>
          <w:bCs/>
          <w:sz w:val="24"/>
          <w:szCs w:val="24"/>
        </w:rPr>
        <w:t>techniniame projekte</w:t>
      </w:r>
      <w:r w:rsidR="00616C96" w:rsidRPr="00EA2C78">
        <w:rPr>
          <w:rFonts w:eastAsia="Times New Roman" w:cstheme="minorHAnsi"/>
          <w:sz w:val="24"/>
          <w:szCs w:val="24"/>
        </w:rPr>
        <w:t xml:space="preserve"> (jo techninėse specifikacijose, aiškinamuosiuose raštuose, brėžiniuose) numatytais sprendiniais&lt;..&gt;“</w:t>
      </w:r>
      <w:r w:rsidR="00557826" w:rsidRPr="00EA2C78">
        <w:rPr>
          <w:rFonts w:eastAsia="Times New Roman" w:cstheme="minorHAnsi"/>
          <w:sz w:val="24"/>
          <w:szCs w:val="24"/>
        </w:rPr>
        <w:t xml:space="preserve">. </w:t>
      </w:r>
    </w:p>
    <w:p w14:paraId="05F67153" w14:textId="233E2854" w:rsidR="00461A61" w:rsidRPr="00EA2C78" w:rsidRDefault="00CB52E4" w:rsidP="00EA2C78">
      <w:pPr>
        <w:pStyle w:val="NoSpacing"/>
        <w:tabs>
          <w:tab w:val="left" w:pos="1701"/>
        </w:tabs>
        <w:spacing w:line="276" w:lineRule="auto"/>
        <w:contextualSpacing/>
        <w:rPr>
          <w:rFonts w:cstheme="minorHAnsi"/>
          <w:sz w:val="24"/>
          <w:szCs w:val="24"/>
        </w:rPr>
      </w:pPr>
      <w:r w:rsidRPr="00EA2C78">
        <w:rPr>
          <w:rFonts w:eastAsia="Times New Roman" w:cstheme="minorHAnsi"/>
          <w:sz w:val="24"/>
          <w:szCs w:val="24"/>
        </w:rPr>
        <w:t xml:space="preserve">   </w:t>
      </w:r>
      <w:r w:rsidR="00C73FDD" w:rsidRPr="00EA2C78">
        <w:rPr>
          <w:rFonts w:eastAsia="Times New Roman" w:cstheme="minorHAnsi"/>
          <w:sz w:val="24"/>
          <w:szCs w:val="24"/>
        </w:rPr>
        <w:t xml:space="preserve"> </w:t>
      </w:r>
      <w:r w:rsidR="007251D1" w:rsidRPr="00EA2C78">
        <w:rPr>
          <w:rFonts w:eastAsia="Times New Roman" w:cstheme="minorHAnsi"/>
          <w:sz w:val="24"/>
          <w:szCs w:val="24"/>
        </w:rPr>
        <w:t xml:space="preserve">Tarnyba atkreipia dėmesį, kad </w:t>
      </w:r>
      <w:r w:rsidR="00C73FDD" w:rsidRPr="00EA2C78">
        <w:rPr>
          <w:rFonts w:eastAsia="Times New Roman" w:cstheme="minorHAnsi"/>
          <w:sz w:val="24"/>
          <w:szCs w:val="24"/>
        </w:rPr>
        <w:t xml:space="preserve">Specialiųjų pirkimo sąlygų </w:t>
      </w:r>
      <w:r w:rsidR="00814683" w:rsidRPr="00EA2C78">
        <w:rPr>
          <w:rFonts w:eastAsia="Times New Roman" w:cstheme="minorHAnsi"/>
          <w:sz w:val="24"/>
          <w:szCs w:val="24"/>
        </w:rPr>
        <w:t>2.1 punkte nurodyta, kad „</w:t>
      </w:r>
      <w:r w:rsidRPr="00EA2C78">
        <w:rPr>
          <w:rFonts w:eastAsia="Calibri" w:cstheme="minorHAnsi"/>
          <w:sz w:val="24"/>
          <w:szCs w:val="24"/>
        </w:rPr>
        <w:t xml:space="preserve">Perkančioji organizacija numato įsigyti </w:t>
      </w:r>
      <w:r w:rsidRPr="00EA2C78">
        <w:rPr>
          <w:rFonts w:cstheme="minorHAnsi"/>
          <w:sz w:val="24"/>
          <w:szCs w:val="24"/>
          <w:shd w:val="clear" w:color="auto" w:fill="FFFFFF"/>
        </w:rPr>
        <w:t xml:space="preserve">Alytaus Žirgų g. ruožo nuo 1,16 km iki 1,69 km ir Voveraičių g. rekonstravimo darbus“, o </w:t>
      </w:r>
      <w:r w:rsidR="00C73FDD" w:rsidRPr="00EA2C78">
        <w:rPr>
          <w:rFonts w:eastAsia="Times New Roman" w:cstheme="minorHAnsi"/>
          <w:sz w:val="24"/>
          <w:szCs w:val="24"/>
        </w:rPr>
        <w:t>2.2 punkte</w:t>
      </w:r>
      <w:r w:rsidR="0044553C" w:rsidRPr="00EA2C78">
        <w:rPr>
          <w:rFonts w:eastAsia="Times New Roman" w:cstheme="minorHAnsi"/>
          <w:sz w:val="24"/>
          <w:szCs w:val="24"/>
        </w:rPr>
        <w:t xml:space="preserve"> nustatyta, </w:t>
      </w:r>
      <w:r w:rsidR="00784ECF" w:rsidRPr="00EA2C78">
        <w:rPr>
          <w:rFonts w:eastAsia="Times New Roman" w:cstheme="minorHAnsi"/>
          <w:sz w:val="24"/>
          <w:szCs w:val="24"/>
        </w:rPr>
        <w:t>jog</w:t>
      </w:r>
      <w:r w:rsidR="0044553C" w:rsidRPr="00EA2C78">
        <w:rPr>
          <w:rFonts w:eastAsia="Times New Roman" w:cstheme="minorHAnsi"/>
          <w:sz w:val="24"/>
          <w:szCs w:val="24"/>
        </w:rPr>
        <w:t xml:space="preserve"> </w:t>
      </w:r>
      <w:r w:rsidR="00C73FDD" w:rsidRPr="00EA2C78">
        <w:rPr>
          <w:rFonts w:eastAsia="Times New Roman" w:cstheme="minorHAnsi"/>
          <w:sz w:val="24"/>
          <w:szCs w:val="24"/>
        </w:rPr>
        <w:t>„</w:t>
      </w:r>
      <w:r w:rsidR="007251D1" w:rsidRPr="00EA2C78">
        <w:rPr>
          <w:rFonts w:cstheme="minorHAnsi"/>
          <w:sz w:val="24"/>
          <w:szCs w:val="24"/>
        </w:rPr>
        <w:t>Pirkimo apimtys, reikalavimai ir techninė specifikacija apibrėžti specialiųjų pirkimo sąlygų</w:t>
      </w:r>
      <w:r w:rsidR="007251D1" w:rsidRPr="00EA2C78">
        <w:rPr>
          <w:rFonts w:cstheme="minorHAnsi"/>
          <w:color w:val="00B050"/>
          <w:sz w:val="24"/>
          <w:szCs w:val="24"/>
        </w:rPr>
        <w:t xml:space="preserve"> </w:t>
      </w:r>
      <w:r w:rsidR="007251D1" w:rsidRPr="00EA2C78">
        <w:rPr>
          <w:rFonts w:cstheme="minorHAnsi"/>
          <w:sz w:val="24"/>
          <w:szCs w:val="24"/>
        </w:rPr>
        <w:t xml:space="preserve">priede „Projektas“, t. y. </w:t>
      </w:r>
      <w:r w:rsidR="00932097" w:rsidRPr="00EA2C78">
        <w:rPr>
          <w:rFonts w:eastAsia="Times New Roman" w:cstheme="minorHAnsi"/>
          <w:b/>
          <w:bCs/>
          <w:color w:val="000000" w:themeColor="text1"/>
          <w:sz w:val="24"/>
          <w:szCs w:val="24"/>
        </w:rPr>
        <w:t xml:space="preserve">darbai </w:t>
      </w:r>
      <w:r w:rsidR="00932097" w:rsidRPr="00EA2C78">
        <w:rPr>
          <w:rFonts w:cstheme="minorHAnsi"/>
          <w:b/>
          <w:bCs/>
          <w:sz w:val="24"/>
          <w:szCs w:val="24"/>
        </w:rPr>
        <w:t>perkami pagal parengtą ir atskiru pirkimu įsigytą techninį darbo projektą</w:t>
      </w:r>
      <w:r w:rsidR="005F5AC6" w:rsidRPr="00EA2C78">
        <w:rPr>
          <w:rFonts w:cstheme="minorHAnsi"/>
          <w:b/>
          <w:bCs/>
          <w:sz w:val="24"/>
          <w:szCs w:val="24"/>
        </w:rPr>
        <w:t xml:space="preserve"> Nr.</w:t>
      </w:r>
      <w:r w:rsidR="00F10D39" w:rsidRPr="00EA2C78">
        <w:rPr>
          <w:rFonts w:cstheme="minorHAnsi"/>
          <w:b/>
          <w:bCs/>
          <w:sz w:val="24"/>
          <w:szCs w:val="24"/>
        </w:rPr>
        <w:t xml:space="preserve"> 426/ZVG-00-TDP</w:t>
      </w:r>
      <w:r w:rsidR="000B261F" w:rsidRPr="00EA2C78">
        <w:rPr>
          <w:rFonts w:cstheme="minorHAnsi"/>
          <w:b/>
          <w:bCs/>
          <w:sz w:val="24"/>
          <w:szCs w:val="24"/>
        </w:rPr>
        <w:t xml:space="preserve">, </w:t>
      </w:r>
      <w:r w:rsidR="000B261F" w:rsidRPr="00EA2C78">
        <w:rPr>
          <w:rFonts w:cstheme="minorHAnsi"/>
          <w:sz w:val="24"/>
          <w:szCs w:val="24"/>
        </w:rPr>
        <w:t>todėl šiuo atveju</w:t>
      </w:r>
      <w:r w:rsidR="000B261F" w:rsidRPr="00EA2C78">
        <w:rPr>
          <w:rFonts w:cstheme="minorHAnsi"/>
          <w:b/>
          <w:bCs/>
          <w:sz w:val="24"/>
          <w:szCs w:val="24"/>
        </w:rPr>
        <w:t xml:space="preserve"> </w:t>
      </w:r>
      <w:r w:rsidR="0090388F" w:rsidRPr="00EA2C78">
        <w:rPr>
          <w:rFonts w:cstheme="minorHAnsi"/>
          <w:sz w:val="24"/>
          <w:szCs w:val="24"/>
        </w:rPr>
        <w:t>darbo projekt</w:t>
      </w:r>
      <w:r w:rsidR="00197744" w:rsidRPr="00EA2C78">
        <w:rPr>
          <w:rFonts w:cstheme="minorHAnsi"/>
          <w:sz w:val="24"/>
          <w:szCs w:val="24"/>
        </w:rPr>
        <w:t xml:space="preserve">o </w:t>
      </w:r>
      <w:r w:rsidR="00071D94" w:rsidRPr="00EA2C78">
        <w:rPr>
          <w:rFonts w:cstheme="minorHAnsi"/>
          <w:sz w:val="24"/>
          <w:szCs w:val="24"/>
        </w:rPr>
        <w:t>rengimas</w:t>
      </w:r>
      <w:r w:rsidR="00197744" w:rsidRPr="00EA2C78">
        <w:rPr>
          <w:rFonts w:cstheme="minorHAnsi"/>
          <w:sz w:val="24"/>
          <w:szCs w:val="24"/>
        </w:rPr>
        <w:t xml:space="preserve"> </w:t>
      </w:r>
      <w:r w:rsidR="00286F2F" w:rsidRPr="00EA2C78">
        <w:rPr>
          <w:rFonts w:cstheme="minorHAnsi"/>
          <w:sz w:val="24"/>
          <w:szCs w:val="24"/>
        </w:rPr>
        <w:t xml:space="preserve">nėra </w:t>
      </w:r>
      <w:r w:rsidR="00197744" w:rsidRPr="00EA2C78">
        <w:rPr>
          <w:rFonts w:cstheme="minorHAnsi"/>
          <w:sz w:val="24"/>
          <w:szCs w:val="24"/>
        </w:rPr>
        <w:t>aktualus</w:t>
      </w:r>
      <w:r w:rsidR="007251D1" w:rsidRPr="00EA2C78">
        <w:rPr>
          <w:rFonts w:cstheme="minorHAnsi"/>
          <w:sz w:val="24"/>
          <w:szCs w:val="24"/>
        </w:rPr>
        <w:t xml:space="preserve">. </w:t>
      </w:r>
      <w:r w:rsidR="0038046C" w:rsidRPr="00EA2C78">
        <w:rPr>
          <w:rFonts w:cstheme="minorHAnsi"/>
          <w:sz w:val="24"/>
          <w:szCs w:val="24"/>
        </w:rPr>
        <w:t>Atsižvelgiant į nurodytą,</w:t>
      </w:r>
      <w:r w:rsidR="000B261F" w:rsidRPr="00EA2C78">
        <w:rPr>
          <w:rFonts w:cstheme="minorHAnsi"/>
          <w:sz w:val="24"/>
          <w:szCs w:val="24"/>
        </w:rPr>
        <w:t xml:space="preserve"> </w:t>
      </w:r>
      <w:r w:rsidR="0038046C" w:rsidRPr="00EA2C78">
        <w:rPr>
          <w:rFonts w:cstheme="minorHAnsi"/>
          <w:sz w:val="24"/>
          <w:szCs w:val="24"/>
        </w:rPr>
        <w:t xml:space="preserve"> </w:t>
      </w:r>
      <w:r w:rsidR="00CF66C1" w:rsidRPr="00EA2C78">
        <w:rPr>
          <w:rFonts w:cstheme="minorHAnsi"/>
          <w:sz w:val="24"/>
          <w:szCs w:val="24"/>
        </w:rPr>
        <w:t xml:space="preserve">Tarnyba rekomenduoja </w:t>
      </w:r>
      <w:r w:rsidR="00F07C8B" w:rsidRPr="00EA2C78">
        <w:rPr>
          <w:rFonts w:cstheme="minorHAnsi"/>
          <w:sz w:val="24"/>
          <w:szCs w:val="24"/>
        </w:rPr>
        <w:t xml:space="preserve">peržiūrėti Sutarties projekto sąlygas ir </w:t>
      </w:r>
      <w:r w:rsidR="00461A61" w:rsidRPr="00EA2C78">
        <w:rPr>
          <w:rFonts w:cstheme="minorHAnsi"/>
          <w:sz w:val="24"/>
          <w:szCs w:val="24"/>
        </w:rPr>
        <w:t xml:space="preserve">atsisakyti </w:t>
      </w:r>
      <w:r w:rsidR="00986ACF" w:rsidRPr="00EA2C78">
        <w:rPr>
          <w:rFonts w:cstheme="minorHAnsi"/>
          <w:sz w:val="24"/>
          <w:szCs w:val="24"/>
        </w:rPr>
        <w:t>su pirkimo objektu nesusijusios informacijos.</w:t>
      </w:r>
    </w:p>
    <w:p w14:paraId="742B51EA" w14:textId="45B65618" w:rsidR="00D509CD" w:rsidRPr="004B5A3A" w:rsidRDefault="0060714A" w:rsidP="004B5A3A">
      <w:pPr>
        <w:tabs>
          <w:tab w:val="left" w:pos="993"/>
        </w:tabs>
        <w:spacing w:line="276" w:lineRule="auto"/>
        <w:contextualSpacing/>
        <w:rPr>
          <w:rFonts w:eastAsia="Times New Roman" w:cstheme="minorHAnsi"/>
          <w:b/>
          <w:bCs/>
          <w:color w:val="000000" w:themeColor="text1"/>
          <w:sz w:val="24"/>
          <w:szCs w:val="24"/>
        </w:rPr>
      </w:pPr>
      <w:r w:rsidRPr="00EA2C78">
        <w:rPr>
          <w:rFonts w:cstheme="minorHAnsi"/>
          <w:b/>
          <w:bCs/>
          <w:sz w:val="24"/>
          <w:szCs w:val="24"/>
        </w:rPr>
        <w:t xml:space="preserve">    </w:t>
      </w:r>
      <w:r w:rsidR="002C3B11" w:rsidRPr="00EA2C78">
        <w:rPr>
          <w:rFonts w:cstheme="minorHAnsi"/>
          <w:b/>
          <w:bCs/>
          <w:sz w:val="24"/>
          <w:szCs w:val="24"/>
        </w:rPr>
        <w:t>4.4.</w:t>
      </w:r>
      <w:r w:rsidR="002C3B11" w:rsidRPr="00EA2C78">
        <w:rPr>
          <w:rFonts w:cstheme="minorHAnsi"/>
          <w:sz w:val="24"/>
          <w:szCs w:val="24"/>
        </w:rPr>
        <w:t xml:space="preserve"> </w:t>
      </w:r>
      <w:r w:rsidR="002C3B11" w:rsidRPr="00EA2C78">
        <w:rPr>
          <w:rFonts w:eastAsia="Times New Roman" w:cstheme="minorHAnsi"/>
          <w:color w:val="000000" w:themeColor="text1"/>
          <w:sz w:val="24"/>
          <w:szCs w:val="24"/>
        </w:rPr>
        <w:t xml:space="preserve">Sutarties projekto 10.2.1 papunktyje nustatyta, kad </w:t>
      </w:r>
      <w:r w:rsidR="001C4CF1" w:rsidRPr="00EA2C78">
        <w:rPr>
          <w:rFonts w:eastAsia="Times New Roman" w:cstheme="minorHAnsi"/>
          <w:color w:val="000000" w:themeColor="text1"/>
          <w:sz w:val="24"/>
          <w:szCs w:val="24"/>
        </w:rPr>
        <w:t>,,</w:t>
      </w:r>
      <w:r w:rsidR="001C4CF1" w:rsidRPr="00EA2C78">
        <w:rPr>
          <w:rFonts w:cstheme="minorHAnsi"/>
          <w:sz w:val="24"/>
          <w:szCs w:val="24"/>
        </w:rPr>
        <w:t xml:space="preserve">Rangovui mokėtinos sumos perskaičiuojamos įvertinant </w:t>
      </w:r>
      <w:r w:rsidR="001C4CF1" w:rsidRPr="00EA2C78">
        <w:rPr>
          <w:rFonts w:cstheme="minorHAnsi"/>
          <w:b/>
          <w:bCs/>
          <w:sz w:val="24"/>
          <w:szCs w:val="24"/>
        </w:rPr>
        <w:t>Lietuvos Respublikos statistikos departamento</w:t>
      </w:r>
      <w:r w:rsidR="001C4CF1" w:rsidRPr="00EA2C78">
        <w:rPr>
          <w:rFonts w:cstheme="minorHAnsi"/>
          <w:sz w:val="24"/>
          <w:szCs w:val="24"/>
        </w:rPr>
        <w:t xml:space="preserve"> (www.stat.gov.lt) kas mėnesį skelbiamo statybos sąnaudų elementų kainų indekso, labiausiai atitinkančio objekto </w:t>
      </w:r>
      <w:r w:rsidR="001C4CF1" w:rsidRPr="00EA2C78">
        <w:rPr>
          <w:rFonts w:cstheme="minorHAnsi"/>
          <w:sz w:val="24"/>
          <w:szCs w:val="24"/>
        </w:rPr>
        <w:lastRenderedPageBreak/>
        <w:t xml:space="preserve">rūšį, pokytį”.  </w:t>
      </w:r>
      <w:r w:rsidR="00D35C80">
        <w:rPr>
          <w:rFonts w:eastAsia="Times New Roman" w:cstheme="minorHAnsi"/>
          <w:color w:val="000000" w:themeColor="text1"/>
          <w:sz w:val="24"/>
          <w:szCs w:val="24"/>
        </w:rPr>
        <w:t>N</w:t>
      </w:r>
      <w:r w:rsidR="002C3B11" w:rsidRPr="00EA2C78">
        <w:rPr>
          <w:rFonts w:eastAsia="Times New Roman" w:cstheme="minorHAnsi"/>
          <w:color w:val="000000" w:themeColor="text1"/>
          <w:sz w:val="24"/>
          <w:szCs w:val="24"/>
        </w:rPr>
        <w:t xml:space="preserve">uo 2023 m. sausio 1 d. Lietuvos Respublikos statistikos departamentas pakeitė pavadinimą į </w:t>
      </w:r>
      <w:r w:rsidR="002C3B11" w:rsidRPr="00EA2C78">
        <w:rPr>
          <w:rFonts w:eastAsia="Times New Roman" w:cstheme="minorHAnsi"/>
          <w:b/>
          <w:bCs/>
          <w:color w:val="000000" w:themeColor="text1"/>
          <w:sz w:val="24"/>
          <w:szCs w:val="24"/>
        </w:rPr>
        <w:t>Valstybės duomenų agentūrą</w:t>
      </w:r>
      <w:r w:rsidR="00D35C80">
        <w:rPr>
          <w:rFonts w:eastAsia="Times New Roman" w:cstheme="minorHAnsi"/>
          <w:b/>
          <w:bCs/>
          <w:color w:val="000000" w:themeColor="text1"/>
          <w:sz w:val="24"/>
          <w:szCs w:val="24"/>
        </w:rPr>
        <w:t xml:space="preserve">, </w:t>
      </w:r>
      <w:r w:rsidR="00D35C80" w:rsidRPr="00985643">
        <w:rPr>
          <w:rFonts w:eastAsia="Times New Roman" w:cstheme="minorHAnsi"/>
          <w:color w:val="000000" w:themeColor="text1"/>
          <w:sz w:val="24"/>
          <w:szCs w:val="24"/>
        </w:rPr>
        <w:t>atsižvelgiant į tai r</w:t>
      </w:r>
      <w:r w:rsidR="00D35C80" w:rsidRPr="00D35C80">
        <w:rPr>
          <w:rFonts w:eastAsia="Times New Roman" w:cstheme="minorHAnsi"/>
          <w:color w:val="000000" w:themeColor="text1"/>
          <w:sz w:val="24"/>
          <w:szCs w:val="24"/>
        </w:rPr>
        <w:t>ekomenduojama</w:t>
      </w:r>
      <w:r w:rsidR="00D35C80" w:rsidRPr="00EA2C78">
        <w:rPr>
          <w:rFonts w:eastAsia="Times New Roman" w:cstheme="minorHAnsi"/>
          <w:color w:val="000000" w:themeColor="text1"/>
          <w:sz w:val="24"/>
          <w:szCs w:val="24"/>
        </w:rPr>
        <w:t xml:space="preserve"> peržiūrėti ir patikslinti šią ir kitas Sutarties projekto nuostatas</w:t>
      </w:r>
      <w:r w:rsidR="00D35C80">
        <w:rPr>
          <w:rFonts w:eastAsia="Times New Roman" w:cstheme="minorHAnsi"/>
          <w:color w:val="000000" w:themeColor="text1"/>
          <w:sz w:val="24"/>
          <w:szCs w:val="24"/>
        </w:rPr>
        <w:t>.</w:t>
      </w:r>
    </w:p>
    <w:p w14:paraId="418CD76D" w14:textId="5C9C2963" w:rsidR="003462A2" w:rsidRPr="00EA2C78" w:rsidRDefault="00CF0371" w:rsidP="00EA2C78">
      <w:pPr>
        <w:spacing w:line="276" w:lineRule="auto"/>
        <w:rPr>
          <w:sz w:val="24"/>
          <w:szCs w:val="24"/>
        </w:rPr>
      </w:pPr>
      <w:r w:rsidRPr="00EA2C78">
        <w:rPr>
          <w:b/>
          <w:bCs/>
          <w:sz w:val="24"/>
          <w:szCs w:val="24"/>
        </w:rPr>
        <w:t xml:space="preserve">    </w:t>
      </w:r>
      <w:r w:rsidR="005E34EC" w:rsidRPr="00EA2C78">
        <w:rPr>
          <w:b/>
          <w:bCs/>
          <w:sz w:val="24"/>
          <w:szCs w:val="24"/>
        </w:rPr>
        <w:t>4.</w:t>
      </w:r>
      <w:r w:rsidR="0060714A" w:rsidRPr="00EA2C78">
        <w:rPr>
          <w:b/>
          <w:bCs/>
          <w:sz w:val="24"/>
          <w:szCs w:val="24"/>
        </w:rPr>
        <w:t>5</w:t>
      </w:r>
      <w:r w:rsidR="005E34EC" w:rsidRPr="00EA2C78">
        <w:rPr>
          <w:b/>
          <w:bCs/>
          <w:sz w:val="24"/>
          <w:szCs w:val="24"/>
        </w:rPr>
        <w:t>.</w:t>
      </w:r>
      <w:r w:rsidR="005E34EC" w:rsidRPr="00EA2C78">
        <w:rPr>
          <w:sz w:val="24"/>
          <w:szCs w:val="24"/>
        </w:rPr>
        <w:t xml:space="preserve"> Sutarties projekto 11.3 punkte nustatyta, kad “Įrenginiams bei mechanizmams rangovas įsipareigoja suteikti gamintojų išduotas garantijas, bet ne mažiau kaip dvejiems metams”. Tarnyba prašo paaiški</w:t>
      </w:r>
      <w:r w:rsidR="00546F8E" w:rsidRPr="00EA2C78">
        <w:rPr>
          <w:sz w:val="24"/>
          <w:szCs w:val="24"/>
        </w:rPr>
        <w:t>nti</w:t>
      </w:r>
      <w:r w:rsidR="00D35C80">
        <w:rPr>
          <w:sz w:val="24"/>
          <w:szCs w:val="24"/>
        </w:rPr>
        <w:t xml:space="preserve"> ar </w:t>
      </w:r>
      <w:r w:rsidR="005E34EC" w:rsidRPr="00EA2C78">
        <w:rPr>
          <w:sz w:val="24"/>
          <w:szCs w:val="24"/>
        </w:rPr>
        <w:t xml:space="preserve"> nustatytas reikalavimas s</w:t>
      </w:r>
      <w:r w:rsidR="00D35C80">
        <w:rPr>
          <w:sz w:val="24"/>
          <w:szCs w:val="24"/>
        </w:rPr>
        <w:t xml:space="preserve"> dėl garantijos yra aktualus </w:t>
      </w:r>
      <w:r w:rsidR="005E34EC" w:rsidRPr="00EA2C78">
        <w:rPr>
          <w:sz w:val="24"/>
          <w:szCs w:val="24"/>
        </w:rPr>
        <w:t>ši</w:t>
      </w:r>
      <w:r w:rsidR="00D35C80">
        <w:rPr>
          <w:sz w:val="24"/>
          <w:szCs w:val="24"/>
        </w:rPr>
        <w:t xml:space="preserve">am </w:t>
      </w:r>
      <w:r w:rsidR="005E34EC" w:rsidRPr="00EA2C78">
        <w:rPr>
          <w:sz w:val="24"/>
          <w:szCs w:val="24"/>
        </w:rPr>
        <w:t xml:space="preserve"> Pirkim</w:t>
      </w:r>
      <w:r w:rsidR="00D35C80">
        <w:rPr>
          <w:sz w:val="24"/>
          <w:szCs w:val="24"/>
        </w:rPr>
        <w:t>ui</w:t>
      </w:r>
      <w:r w:rsidR="00796D52" w:rsidRPr="00EA2C78">
        <w:rPr>
          <w:sz w:val="24"/>
          <w:szCs w:val="24"/>
        </w:rPr>
        <w:t>.</w:t>
      </w:r>
      <w:r w:rsidR="00014AD9" w:rsidRPr="00EA2C78">
        <w:rPr>
          <w:sz w:val="24"/>
          <w:szCs w:val="24"/>
        </w:rPr>
        <w:t xml:space="preserve"> </w:t>
      </w:r>
    </w:p>
    <w:p w14:paraId="22C57619" w14:textId="6DECB3F9" w:rsidR="003462A2" w:rsidRPr="00EA2C78" w:rsidRDefault="00904F74" w:rsidP="00EA2C78">
      <w:pPr>
        <w:spacing w:line="276" w:lineRule="auto"/>
        <w:rPr>
          <w:sz w:val="24"/>
          <w:szCs w:val="24"/>
        </w:rPr>
      </w:pPr>
      <w:r w:rsidRPr="00EA2C78">
        <w:rPr>
          <w:sz w:val="24"/>
          <w:szCs w:val="24"/>
        </w:rPr>
        <w:t xml:space="preserve">           </w:t>
      </w:r>
      <w:r w:rsidR="003462A2" w:rsidRPr="00EA2C78">
        <w:rPr>
          <w:sz w:val="24"/>
          <w:szCs w:val="24"/>
        </w:rPr>
        <w:t>Atsižvelgdama į tai, kas nurodyta, Tarnyba rekomenduoja peržiūrėti ir patikslinti Pirkim</w:t>
      </w:r>
      <w:r w:rsidR="00D35C80">
        <w:rPr>
          <w:sz w:val="24"/>
          <w:szCs w:val="24"/>
        </w:rPr>
        <w:t>o</w:t>
      </w:r>
      <w:r w:rsidR="003462A2" w:rsidRPr="00EA2C78">
        <w:rPr>
          <w:sz w:val="24"/>
          <w:szCs w:val="24"/>
        </w:rPr>
        <w:t xml:space="preserve"> dokumentus pagal šioje Rekomendacijoje pateiktas pastabas. Primename, kad Perkančioji organizacija, patikslinusi Pirkimų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7608E7F5" w14:textId="77777777" w:rsidR="005B7629" w:rsidRPr="00EA2C78" w:rsidRDefault="005B7629" w:rsidP="00EA2C78">
      <w:pPr>
        <w:spacing w:after="0" w:line="276" w:lineRule="auto"/>
        <w:ind w:firstLine="709"/>
        <w:rPr>
          <w:rFonts w:cstheme="minorHAnsi"/>
          <w:sz w:val="24"/>
          <w:szCs w:val="24"/>
        </w:rPr>
      </w:pPr>
      <w:r w:rsidRPr="00EA2C78">
        <w:rPr>
          <w:sz w:val="24"/>
          <w:szCs w:val="24"/>
        </w:rPr>
        <w:t>Pažymėtina, kad visais atvejais sprendimą dėl tolimesnio Pirkimų procedūrų vykdymo ar nutraukimo priima pati Perkančioji organizacija, vadovaudamasi Įstatymo 29 straipsnio 3</w:t>
      </w:r>
      <w:r w:rsidRPr="00EA2C78">
        <w:rPr>
          <w:rFonts w:cstheme="minorHAnsi"/>
          <w:sz w:val="24"/>
          <w:szCs w:val="24"/>
          <w:vertAlign w:val="superscript"/>
        </w:rPr>
        <w:footnoteReference w:id="2"/>
      </w:r>
      <w:r w:rsidRPr="00EA2C78">
        <w:rPr>
          <w:sz w:val="24"/>
          <w:szCs w:val="24"/>
        </w:rPr>
        <w:t xml:space="preserve"> ir 4</w:t>
      </w:r>
      <w:r w:rsidRPr="00EA2C78">
        <w:rPr>
          <w:rFonts w:cstheme="minorHAnsi"/>
          <w:sz w:val="24"/>
          <w:szCs w:val="24"/>
          <w:vertAlign w:val="superscript"/>
        </w:rPr>
        <w:footnoteReference w:id="3"/>
      </w:r>
      <w:r w:rsidRPr="00EA2C78">
        <w:rPr>
          <w:sz w:val="24"/>
          <w:szCs w:val="24"/>
          <w:vertAlign w:val="superscript"/>
        </w:rPr>
        <w:t xml:space="preserve"> </w:t>
      </w:r>
      <w:r w:rsidRPr="00EA2C78">
        <w:rPr>
          <w:sz w:val="24"/>
          <w:szCs w:val="24"/>
        </w:rPr>
        <w:t>dalių nuostatomis.</w:t>
      </w:r>
    </w:p>
    <w:p w14:paraId="0B463C52" w14:textId="77777777" w:rsidR="005B7629" w:rsidRPr="00EA2C78" w:rsidRDefault="005B7629" w:rsidP="00EA2C78">
      <w:pPr>
        <w:spacing w:line="276" w:lineRule="auto"/>
        <w:rPr>
          <w:sz w:val="24"/>
          <w:szCs w:val="24"/>
        </w:rPr>
      </w:pPr>
    </w:p>
    <w:sectPr w:rsidR="005B7629" w:rsidRPr="00EA2C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4B020" w14:textId="77777777" w:rsidR="00D32784" w:rsidRDefault="00D32784" w:rsidP="005B7629">
      <w:pPr>
        <w:spacing w:after="0" w:line="240" w:lineRule="auto"/>
      </w:pPr>
      <w:r>
        <w:separator/>
      </w:r>
    </w:p>
  </w:endnote>
  <w:endnote w:type="continuationSeparator" w:id="0">
    <w:p w14:paraId="2977BB7D" w14:textId="77777777" w:rsidR="00D32784" w:rsidRDefault="00D32784" w:rsidP="005B7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AF344" w14:textId="77777777" w:rsidR="00D32784" w:rsidRDefault="00D32784" w:rsidP="005B7629">
      <w:pPr>
        <w:spacing w:after="0" w:line="240" w:lineRule="auto"/>
      </w:pPr>
      <w:r>
        <w:separator/>
      </w:r>
    </w:p>
  </w:footnote>
  <w:footnote w:type="continuationSeparator" w:id="0">
    <w:p w14:paraId="7AB7CEB6" w14:textId="77777777" w:rsidR="00D32784" w:rsidRDefault="00D32784" w:rsidP="005B7629">
      <w:pPr>
        <w:spacing w:after="0" w:line="240" w:lineRule="auto"/>
      </w:pPr>
      <w:r>
        <w:continuationSeparator/>
      </w:r>
    </w:p>
  </w:footnote>
  <w:footnote w:id="1">
    <w:p w14:paraId="2A4A8650" w14:textId="77777777" w:rsidR="006B0CEB" w:rsidRPr="00947C2A" w:rsidRDefault="006B0CEB" w:rsidP="006B0CEB">
      <w:pPr>
        <w:pStyle w:val="FootnoteText"/>
        <w:rPr>
          <w:rFonts w:cstheme="minorHAnsi"/>
        </w:rPr>
      </w:pPr>
      <w:r w:rsidRPr="00947C2A">
        <w:rPr>
          <w:rStyle w:val="FootnoteReference"/>
          <w:rFonts w:cstheme="minorHAnsi"/>
        </w:rPr>
        <w:footnoteRef/>
      </w:r>
      <w:r w:rsidRPr="00947C2A">
        <w:rPr>
          <w:rFonts w:cstheme="minorHAnsi"/>
        </w:rPr>
        <w:t xml:space="preserve"> Tiekėjo kvalifikacijos reikalavimų nustatymo metodik</w:t>
      </w:r>
      <w:r>
        <w:rPr>
          <w:rFonts w:cstheme="minorHAnsi"/>
        </w:rPr>
        <w:t>a, p</w:t>
      </w:r>
      <w:r w:rsidRPr="00947C2A">
        <w:rPr>
          <w:rFonts w:cstheme="minorHAnsi"/>
        </w:rPr>
        <w:t>atvirtinta Viešųjų pirkimų tarnybos direktoriaus 2017 m. birželio 29 d. įsakymu Nr. 1S-105 „Dėl Tiekėjo kvalifikacijos reikalavimų nustatymo metodikos patvirtinimo“</w:t>
      </w:r>
      <w:r>
        <w:rPr>
          <w:rFonts w:cstheme="minorHAnsi"/>
        </w:rPr>
        <w:t xml:space="preserve"> (aktuali redakcija)</w:t>
      </w:r>
      <w:r w:rsidRPr="00947C2A">
        <w:rPr>
          <w:rFonts w:cstheme="minorHAnsi"/>
        </w:rPr>
        <w:t>.</w:t>
      </w:r>
    </w:p>
  </w:footnote>
  <w:footnote w:id="2">
    <w:p w14:paraId="736F78AC" w14:textId="77777777" w:rsidR="005B7629" w:rsidRPr="00914700" w:rsidRDefault="005B7629" w:rsidP="005B7629">
      <w:pPr>
        <w:pStyle w:val="FootnoteText"/>
        <w:rPr>
          <w:rFonts w:cstheme="minorHAnsi"/>
        </w:rPr>
      </w:pPr>
      <w:r w:rsidRPr="00914700">
        <w:rPr>
          <w:rStyle w:val="FootnoteReference"/>
          <w:rFonts w:cstheme="minorHAnsi"/>
        </w:rPr>
        <w:footnoteRef/>
      </w:r>
      <w:r w:rsidRPr="00914700">
        <w:rPr>
          <w:rFonts w:cstheme="minorHAnsi"/>
        </w:rPr>
        <w:t xml:space="preserve"> Įstatymo 29 straipsnio 3 dalis „</w:t>
      </w:r>
      <w:r w:rsidRPr="007A6426">
        <w:rPr>
          <w:rFonts w:cstheme="minorHAnsi"/>
          <w:i/>
          <w:iCs/>
        </w:rPr>
        <w:t>Perkančioji organizacija privalo nutraukti pradėtas pirkimo ar projekto konkurso procedūras, jeigu buvo pažeisti šio įstatymo 17 straipsnio 1 dalyje nustatyti principai ir atitinkamos padėties negalima ištaisyti</w:t>
      </w:r>
      <w:r w:rsidRPr="00914700">
        <w:rPr>
          <w:rFonts w:cstheme="minorHAnsi"/>
        </w:rPr>
        <w:t>“.</w:t>
      </w:r>
    </w:p>
  </w:footnote>
  <w:footnote w:id="3">
    <w:p w14:paraId="167564C2" w14:textId="77777777" w:rsidR="005B7629" w:rsidRPr="00914700" w:rsidRDefault="005B7629" w:rsidP="005B7629">
      <w:pPr>
        <w:pStyle w:val="FootnoteText"/>
        <w:rPr>
          <w:rFonts w:cstheme="minorHAnsi"/>
        </w:rPr>
      </w:pPr>
      <w:r w:rsidRPr="00914700">
        <w:rPr>
          <w:rStyle w:val="FootnoteReference"/>
          <w:rFonts w:cstheme="minorHAnsi"/>
        </w:rPr>
        <w:footnoteRef/>
      </w:r>
      <w:r w:rsidRPr="00914700">
        <w:rPr>
          <w:rFonts w:cstheme="minorHAnsi"/>
        </w:rPr>
        <w:t xml:space="preserve"> Įstatymo 29 straipsnio 4 dalis „</w:t>
      </w:r>
      <w:r w:rsidRPr="007A6426">
        <w:rPr>
          <w:rFonts w:cstheme="minorHAnsi"/>
          <w:i/>
          <w:iCs/>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14700">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02B08"/>
    <w:multiLevelType w:val="multilevel"/>
    <w:tmpl w:val="4796CE2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asciiTheme="minorHAnsi" w:eastAsia="Times New Roman" w:hAnsiTheme="minorHAnsi" w:cstheme="minorHAnsi" w:hint="default"/>
        <w:b w:val="0"/>
        <w:bCs w:val="0"/>
        <w:sz w:val="24"/>
      </w:rPr>
    </w:lvl>
    <w:lvl w:ilvl="2">
      <w:start w:val="1"/>
      <w:numFmt w:val="decimal"/>
      <w:isLgl/>
      <w:lvlText w:val="%1.%2.%3."/>
      <w:lvlJc w:val="left"/>
      <w:pPr>
        <w:ind w:left="1571" w:hanging="720"/>
      </w:pPr>
      <w:rPr>
        <w:rFonts w:eastAsia="Times New Roman" w:hint="default"/>
        <w:sz w:val="24"/>
      </w:rPr>
    </w:lvl>
    <w:lvl w:ilvl="3">
      <w:start w:val="1"/>
      <w:numFmt w:val="decimal"/>
      <w:isLgl/>
      <w:lvlText w:val="%1.%2.%3.%4."/>
      <w:lvlJc w:val="left"/>
      <w:pPr>
        <w:ind w:left="1713" w:hanging="720"/>
      </w:pPr>
      <w:rPr>
        <w:rFonts w:eastAsia="Times New Roman" w:hint="default"/>
        <w:sz w:val="24"/>
      </w:rPr>
    </w:lvl>
    <w:lvl w:ilvl="4">
      <w:start w:val="1"/>
      <w:numFmt w:val="decimal"/>
      <w:isLgl/>
      <w:lvlText w:val="%1.%2.%3.%4.%5."/>
      <w:lvlJc w:val="left"/>
      <w:pPr>
        <w:ind w:left="2215" w:hanging="1080"/>
      </w:pPr>
      <w:rPr>
        <w:rFonts w:eastAsia="Times New Roman" w:hint="default"/>
        <w:sz w:val="24"/>
      </w:rPr>
    </w:lvl>
    <w:lvl w:ilvl="5">
      <w:start w:val="1"/>
      <w:numFmt w:val="decimal"/>
      <w:isLgl/>
      <w:lvlText w:val="%1.%2.%3.%4.%5.%6."/>
      <w:lvlJc w:val="left"/>
      <w:pPr>
        <w:ind w:left="2357" w:hanging="1080"/>
      </w:pPr>
      <w:rPr>
        <w:rFonts w:eastAsia="Times New Roman" w:hint="default"/>
        <w:sz w:val="24"/>
      </w:rPr>
    </w:lvl>
    <w:lvl w:ilvl="6">
      <w:start w:val="1"/>
      <w:numFmt w:val="decimal"/>
      <w:isLgl/>
      <w:lvlText w:val="%1.%2.%3.%4.%5.%6.%7."/>
      <w:lvlJc w:val="left"/>
      <w:pPr>
        <w:ind w:left="2859" w:hanging="1440"/>
      </w:pPr>
      <w:rPr>
        <w:rFonts w:eastAsia="Times New Roman" w:hint="default"/>
        <w:sz w:val="24"/>
      </w:rPr>
    </w:lvl>
    <w:lvl w:ilvl="7">
      <w:start w:val="1"/>
      <w:numFmt w:val="decimal"/>
      <w:isLgl/>
      <w:lvlText w:val="%1.%2.%3.%4.%5.%6.%7.%8."/>
      <w:lvlJc w:val="left"/>
      <w:pPr>
        <w:ind w:left="3001" w:hanging="1440"/>
      </w:pPr>
      <w:rPr>
        <w:rFonts w:eastAsia="Times New Roman" w:hint="default"/>
        <w:sz w:val="24"/>
      </w:rPr>
    </w:lvl>
    <w:lvl w:ilvl="8">
      <w:start w:val="1"/>
      <w:numFmt w:val="decimal"/>
      <w:isLgl/>
      <w:lvlText w:val="%1.%2.%3.%4.%5.%6.%7.%8.%9."/>
      <w:lvlJc w:val="left"/>
      <w:pPr>
        <w:ind w:left="3503" w:hanging="1800"/>
      </w:pPr>
      <w:rPr>
        <w:rFonts w:eastAsia="Times New Roman" w:hint="default"/>
        <w:sz w:val="24"/>
      </w:rPr>
    </w:lvl>
  </w:abstractNum>
  <w:abstractNum w:abstractNumId="1" w15:restartNumberingAfterBreak="0">
    <w:nsid w:val="47CA4326"/>
    <w:multiLevelType w:val="multilevel"/>
    <w:tmpl w:val="E25470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217CB2"/>
    <w:multiLevelType w:val="hybridMultilevel"/>
    <w:tmpl w:val="694E7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AD6243"/>
    <w:multiLevelType w:val="multilevel"/>
    <w:tmpl w:val="94C4A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354354703">
    <w:abstractNumId w:val="2"/>
  </w:num>
  <w:num w:numId="2" w16cid:durableId="1109353826">
    <w:abstractNumId w:val="0"/>
  </w:num>
  <w:num w:numId="3" w16cid:durableId="1382442126">
    <w:abstractNumId w:val="4"/>
  </w:num>
  <w:num w:numId="4" w16cid:durableId="2068526555">
    <w:abstractNumId w:val="5"/>
  </w:num>
  <w:num w:numId="5" w16cid:durableId="954404686">
    <w:abstractNumId w:val="3"/>
  </w:num>
  <w:num w:numId="6" w16cid:durableId="1192957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04"/>
    <w:rsid w:val="00014AD9"/>
    <w:rsid w:val="000175B5"/>
    <w:rsid w:val="00033C2F"/>
    <w:rsid w:val="00056C19"/>
    <w:rsid w:val="00062317"/>
    <w:rsid w:val="00065D5D"/>
    <w:rsid w:val="00071D94"/>
    <w:rsid w:val="00084F78"/>
    <w:rsid w:val="000909AB"/>
    <w:rsid w:val="00093D95"/>
    <w:rsid w:val="000A3978"/>
    <w:rsid w:val="000A72BD"/>
    <w:rsid w:val="000B261F"/>
    <w:rsid w:val="000C1CF5"/>
    <w:rsid w:val="000C7BFD"/>
    <w:rsid w:val="000D1381"/>
    <w:rsid w:val="000D58B1"/>
    <w:rsid w:val="000E371E"/>
    <w:rsid w:val="000F5536"/>
    <w:rsid w:val="00111DF6"/>
    <w:rsid w:val="00125263"/>
    <w:rsid w:val="00146C65"/>
    <w:rsid w:val="00160224"/>
    <w:rsid w:val="00173F0C"/>
    <w:rsid w:val="0017762B"/>
    <w:rsid w:val="0018211B"/>
    <w:rsid w:val="00197744"/>
    <w:rsid w:val="00197E12"/>
    <w:rsid w:val="001A29B1"/>
    <w:rsid w:val="001A6FB3"/>
    <w:rsid w:val="001B56D6"/>
    <w:rsid w:val="001C4CF1"/>
    <w:rsid w:val="001F7DC2"/>
    <w:rsid w:val="00207FB4"/>
    <w:rsid w:val="00216116"/>
    <w:rsid w:val="002277C1"/>
    <w:rsid w:val="00244584"/>
    <w:rsid w:val="00254458"/>
    <w:rsid w:val="00270909"/>
    <w:rsid w:val="00274253"/>
    <w:rsid w:val="00275B9E"/>
    <w:rsid w:val="00277295"/>
    <w:rsid w:val="00286F2F"/>
    <w:rsid w:val="002963E3"/>
    <w:rsid w:val="002B53CB"/>
    <w:rsid w:val="002C1EB4"/>
    <w:rsid w:val="002C37B8"/>
    <w:rsid w:val="002C3B11"/>
    <w:rsid w:val="002D18DB"/>
    <w:rsid w:val="002F6317"/>
    <w:rsid w:val="00303AB2"/>
    <w:rsid w:val="00311008"/>
    <w:rsid w:val="00317C87"/>
    <w:rsid w:val="0032478A"/>
    <w:rsid w:val="0032627B"/>
    <w:rsid w:val="00327BF6"/>
    <w:rsid w:val="003354C4"/>
    <w:rsid w:val="00344465"/>
    <w:rsid w:val="003462A2"/>
    <w:rsid w:val="00347C92"/>
    <w:rsid w:val="00360D83"/>
    <w:rsid w:val="00361B57"/>
    <w:rsid w:val="00364362"/>
    <w:rsid w:val="00375F18"/>
    <w:rsid w:val="0038046C"/>
    <w:rsid w:val="003F774E"/>
    <w:rsid w:val="00407681"/>
    <w:rsid w:val="00411947"/>
    <w:rsid w:val="004147E8"/>
    <w:rsid w:val="00417C11"/>
    <w:rsid w:val="00423518"/>
    <w:rsid w:val="0044553C"/>
    <w:rsid w:val="00447A58"/>
    <w:rsid w:val="00452C10"/>
    <w:rsid w:val="00461A61"/>
    <w:rsid w:val="00463CEC"/>
    <w:rsid w:val="00465A24"/>
    <w:rsid w:val="004738FD"/>
    <w:rsid w:val="004967B7"/>
    <w:rsid w:val="0049731E"/>
    <w:rsid w:val="004A0DE9"/>
    <w:rsid w:val="004A5BAC"/>
    <w:rsid w:val="004A6CF0"/>
    <w:rsid w:val="004B3B04"/>
    <w:rsid w:val="004B5A3A"/>
    <w:rsid w:val="004C64DF"/>
    <w:rsid w:val="004C76D7"/>
    <w:rsid w:val="004D68E7"/>
    <w:rsid w:val="004E090A"/>
    <w:rsid w:val="0052601F"/>
    <w:rsid w:val="00544054"/>
    <w:rsid w:val="005441E1"/>
    <w:rsid w:val="00546F8E"/>
    <w:rsid w:val="00557826"/>
    <w:rsid w:val="005610A5"/>
    <w:rsid w:val="005717DD"/>
    <w:rsid w:val="00584B36"/>
    <w:rsid w:val="00585D10"/>
    <w:rsid w:val="0058691F"/>
    <w:rsid w:val="00590943"/>
    <w:rsid w:val="00590D5A"/>
    <w:rsid w:val="00597D30"/>
    <w:rsid w:val="005B7629"/>
    <w:rsid w:val="005E2E06"/>
    <w:rsid w:val="005E34EC"/>
    <w:rsid w:val="005F5AC6"/>
    <w:rsid w:val="005F621D"/>
    <w:rsid w:val="006002BD"/>
    <w:rsid w:val="0060714A"/>
    <w:rsid w:val="006158D4"/>
    <w:rsid w:val="00615EF8"/>
    <w:rsid w:val="00616C1C"/>
    <w:rsid w:val="00616C96"/>
    <w:rsid w:val="006243C1"/>
    <w:rsid w:val="00625263"/>
    <w:rsid w:val="00640443"/>
    <w:rsid w:val="00664A28"/>
    <w:rsid w:val="00671192"/>
    <w:rsid w:val="006848DE"/>
    <w:rsid w:val="0069560F"/>
    <w:rsid w:val="006A5FB3"/>
    <w:rsid w:val="006B0CEB"/>
    <w:rsid w:val="006B77CB"/>
    <w:rsid w:val="006C0310"/>
    <w:rsid w:val="006D3305"/>
    <w:rsid w:val="006F5999"/>
    <w:rsid w:val="006F79E9"/>
    <w:rsid w:val="00701B6C"/>
    <w:rsid w:val="00715ADB"/>
    <w:rsid w:val="00721EDB"/>
    <w:rsid w:val="007251D1"/>
    <w:rsid w:val="0072576F"/>
    <w:rsid w:val="00730AAB"/>
    <w:rsid w:val="00733E91"/>
    <w:rsid w:val="00751195"/>
    <w:rsid w:val="0076048A"/>
    <w:rsid w:val="00760525"/>
    <w:rsid w:val="00771CE1"/>
    <w:rsid w:val="00784ECF"/>
    <w:rsid w:val="00785B9C"/>
    <w:rsid w:val="00790C8E"/>
    <w:rsid w:val="00793767"/>
    <w:rsid w:val="00794683"/>
    <w:rsid w:val="00795E00"/>
    <w:rsid w:val="00796D52"/>
    <w:rsid w:val="007A032F"/>
    <w:rsid w:val="007B1756"/>
    <w:rsid w:val="007B7835"/>
    <w:rsid w:val="007D2610"/>
    <w:rsid w:val="007D4BC6"/>
    <w:rsid w:val="007F320E"/>
    <w:rsid w:val="007F7FDE"/>
    <w:rsid w:val="00814683"/>
    <w:rsid w:val="00832A75"/>
    <w:rsid w:val="00837ED5"/>
    <w:rsid w:val="00840F55"/>
    <w:rsid w:val="00841FF8"/>
    <w:rsid w:val="00844D9C"/>
    <w:rsid w:val="00875A09"/>
    <w:rsid w:val="008806CF"/>
    <w:rsid w:val="00887F45"/>
    <w:rsid w:val="008929B7"/>
    <w:rsid w:val="00894B30"/>
    <w:rsid w:val="008A07C1"/>
    <w:rsid w:val="008A64AA"/>
    <w:rsid w:val="008B158B"/>
    <w:rsid w:val="008C067F"/>
    <w:rsid w:val="008C1350"/>
    <w:rsid w:val="008C2C43"/>
    <w:rsid w:val="008D45CE"/>
    <w:rsid w:val="008F7187"/>
    <w:rsid w:val="0090388F"/>
    <w:rsid w:val="00904F74"/>
    <w:rsid w:val="009053A6"/>
    <w:rsid w:val="0091410D"/>
    <w:rsid w:val="00914132"/>
    <w:rsid w:val="009247DA"/>
    <w:rsid w:val="00932097"/>
    <w:rsid w:val="00932940"/>
    <w:rsid w:val="00951471"/>
    <w:rsid w:val="009515FA"/>
    <w:rsid w:val="009629F6"/>
    <w:rsid w:val="00966397"/>
    <w:rsid w:val="00972D12"/>
    <w:rsid w:val="00985643"/>
    <w:rsid w:val="00986ACF"/>
    <w:rsid w:val="009914DD"/>
    <w:rsid w:val="009930D7"/>
    <w:rsid w:val="009B6598"/>
    <w:rsid w:val="009C0609"/>
    <w:rsid w:val="009C2ACA"/>
    <w:rsid w:val="009D1651"/>
    <w:rsid w:val="009D3028"/>
    <w:rsid w:val="009D319E"/>
    <w:rsid w:val="009D357E"/>
    <w:rsid w:val="009D3A04"/>
    <w:rsid w:val="009D5800"/>
    <w:rsid w:val="009E1673"/>
    <w:rsid w:val="009E2D8B"/>
    <w:rsid w:val="009E70BA"/>
    <w:rsid w:val="009F0C99"/>
    <w:rsid w:val="00A02EE0"/>
    <w:rsid w:val="00A3054C"/>
    <w:rsid w:val="00A356F8"/>
    <w:rsid w:val="00A46D6C"/>
    <w:rsid w:val="00A472D2"/>
    <w:rsid w:val="00A60A74"/>
    <w:rsid w:val="00A75C2C"/>
    <w:rsid w:val="00A806AF"/>
    <w:rsid w:val="00A9123D"/>
    <w:rsid w:val="00AA74B5"/>
    <w:rsid w:val="00AB7CCB"/>
    <w:rsid w:val="00AC6905"/>
    <w:rsid w:val="00AE0D62"/>
    <w:rsid w:val="00AF6601"/>
    <w:rsid w:val="00B00629"/>
    <w:rsid w:val="00B24DA2"/>
    <w:rsid w:val="00B270B3"/>
    <w:rsid w:val="00B401DC"/>
    <w:rsid w:val="00B51631"/>
    <w:rsid w:val="00B6397C"/>
    <w:rsid w:val="00B65705"/>
    <w:rsid w:val="00B67DBF"/>
    <w:rsid w:val="00BB05E7"/>
    <w:rsid w:val="00BD4E98"/>
    <w:rsid w:val="00BD591A"/>
    <w:rsid w:val="00BE3229"/>
    <w:rsid w:val="00BF0252"/>
    <w:rsid w:val="00BF693B"/>
    <w:rsid w:val="00C04959"/>
    <w:rsid w:val="00C21011"/>
    <w:rsid w:val="00C34156"/>
    <w:rsid w:val="00C43D27"/>
    <w:rsid w:val="00C52E05"/>
    <w:rsid w:val="00C73FDD"/>
    <w:rsid w:val="00C87E6C"/>
    <w:rsid w:val="00CA4D0D"/>
    <w:rsid w:val="00CB085E"/>
    <w:rsid w:val="00CB0F21"/>
    <w:rsid w:val="00CB52E4"/>
    <w:rsid w:val="00CB7B2E"/>
    <w:rsid w:val="00CD20DC"/>
    <w:rsid w:val="00CD46B2"/>
    <w:rsid w:val="00CD4C87"/>
    <w:rsid w:val="00CD5037"/>
    <w:rsid w:val="00CE60D6"/>
    <w:rsid w:val="00CE6FAC"/>
    <w:rsid w:val="00CF0371"/>
    <w:rsid w:val="00CF3CDC"/>
    <w:rsid w:val="00CF66C1"/>
    <w:rsid w:val="00D17522"/>
    <w:rsid w:val="00D1788C"/>
    <w:rsid w:val="00D263B2"/>
    <w:rsid w:val="00D32484"/>
    <w:rsid w:val="00D32734"/>
    <w:rsid w:val="00D32784"/>
    <w:rsid w:val="00D32BE9"/>
    <w:rsid w:val="00D34722"/>
    <w:rsid w:val="00D348BA"/>
    <w:rsid w:val="00D35C80"/>
    <w:rsid w:val="00D37E77"/>
    <w:rsid w:val="00D44366"/>
    <w:rsid w:val="00D509CD"/>
    <w:rsid w:val="00D67FC1"/>
    <w:rsid w:val="00D77877"/>
    <w:rsid w:val="00D8438B"/>
    <w:rsid w:val="00D90CC4"/>
    <w:rsid w:val="00D92034"/>
    <w:rsid w:val="00D92952"/>
    <w:rsid w:val="00DA50F5"/>
    <w:rsid w:val="00DC389B"/>
    <w:rsid w:val="00DC47A5"/>
    <w:rsid w:val="00DC4817"/>
    <w:rsid w:val="00DD317E"/>
    <w:rsid w:val="00DD38E8"/>
    <w:rsid w:val="00DE1D90"/>
    <w:rsid w:val="00DE7C64"/>
    <w:rsid w:val="00DF1D6C"/>
    <w:rsid w:val="00E11299"/>
    <w:rsid w:val="00E118AA"/>
    <w:rsid w:val="00E20371"/>
    <w:rsid w:val="00E319D5"/>
    <w:rsid w:val="00E46E98"/>
    <w:rsid w:val="00E63F09"/>
    <w:rsid w:val="00E66668"/>
    <w:rsid w:val="00E879E1"/>
    <w:rsid w:val="00EA23DD"/>
    <w:rsid w:val="00EA2C78"/>
    <w:rsid w:val="00EA7090"/>
    <w:rsid w:val="00EB5748"/>
    <w:rsid w:val="00EC3482"/>
    <w:rsid w:val="00EF20B1"/>
    <w:rsid w:val="00F0545D"/>
    <w:rsid w:val="00F07C8B"/>
    <w:rsid w:val="00F10D39"/>
    <w:rsid w:val="00F55A34"/>
    <w:rsid w:val="00F72CB9"/>
    <w:rsid w:val="00F75EB8"/>
    <w:rsid w:val="00F76CED"/>
    <w:rsid w:val="00F835F4"/>
    <w:rsid w:val="00F862A3"/>
    <w:rsid w:val="00FA073B"/>
    <w:rsid w:val="00FA71F9"/>
    <w:rsid w:val="00FE758D"/>
    <w:rsid w:val="00FF2AD6"/>
    <w:rsid w:val="00FF5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79F2"/>
  <w15:chartTrackingRefBased/>
  <w15:docId w15:val="{0C36EB43-7E75-4824-BCAD-845B7BC8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629"/>
    <w:rPr>
      <w:color w:val="0563C1" w:themeColor="hyperlink"/>
      <w:u w:val="single"/>
    </w:r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nhideWhenUsed/>
    <w:qFormat/>
    <w:rsid w:val="005B7629"/>
    <w:pPr>
      <w:spacing w:after="0" w:line="240" w:lineRule="auto"/>
    </w:pPr>
    <w:rPr>
      <w:kern w:val="0"/>
      <w:sz w:val="20"/>
      <w:szCs w:val="20"/>
      <w:lang w:val="lt-LT"/>
      <w14:ligatures w14:val="none"/>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qFormat/>
    <w:rsid w:val="005B7629"/>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5B7629"/>
    <w:rPr>
      <w:vertAlign w:val="superscript"/>
    </w:rPr>
  </w:style>
  <w:style w:type="character" w:customStyle="1" w:styleId="UnresolvedMention1">
    <w:name w:val="Unresolved Mention1"/>
    <w:basedOn w:val="DefaultParagraphFont"/>
    <w:uiPriority w:val="99"/>
    <w:semiHidden/>
    <w:unhideWhenUsed/>
    <w:rsid w:val="005B7629"/>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844D9C"/>
    <w:pPr>
      <w:ind w:left="720"/>
      <w:contextualSpacing/>
    </w:pPr>
  </w:style>
  <w:style w:type="paragraph" w:customStyle="1" w:styleId="paragraph">
    <w:name w:val="paragraph"/>
    <w:basedOn w:val="Normal"/>
    <w:rsid w:val="00A305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uiPriority w:val="99"/>
    <w:unhideWhenUsed/>
    <w:rsid w:val="005441E1"/>
    <w:pPr>
      <w:spacing w:line="276" w:lineRule="auto"/>
    </w:pPr>
    <w:rPr>
      <w:rFonts w:eastAsiaTheme="minorEastAsia"/>
      <w:kern w:val="0"/>
      <w:sz w:val="20"/>
      <w:szCs w:val="20"/>
      <w:lang w:val="lt-LT" w:eastAsia="lt-LT"/>
      <w14:ligatures w14:val="none"/>
    </w:rPr>
  </w:style>
  <w:style w:type="character" w:customStyle="1" w:styleId="CommentTextChar">
    <w:name w:val="Comment Text Char"/>
    <w:basedOn w:val="DefaultParagraphFont"/>
    <w:link w:val="CommentText"/>
    <w:uiPriority w:val="99"/>
    <w:rsid w:val="005441E1"/>
    <w:rPr>
      <w:rFonts w:eastAsiaTheme="minorEastAsia"/>
      <w:kern w:val="0"/>
      <w:sz w:val="20"/>
      <w:szCs w:val="20"/>
      <w:lang w:val="lt-LT" w:eastAsia="lt-LT"/>
      <w14:ligatures w14:val="none"/>
    </w:rPr>
  </w:style>
  <w:style w:type="character" w:styleId="CommentReference">
    <w:name w:val="annotation reference"/>
    <w:basedOn w:val="DefaultParagraphFont"/>
    <w:uiPriority w:val="99"/>
    <w:unhideWhenUsed/>
    <w:rsid w:val="005441E1"/>
    <w:rPr>
      <w:sz w:val="16"/>
      <w:szCs w:val="16"/>
    </w:rPr>
  </w:style>
  <w:style w:type="paragraph" w:styleId="NoSpacing">
    <w:name w:val="No Spacing"/>
    <w:link w:val="NoSpacingChar"/>
    <w:uiPriority w:val="1"/>
    <w:qFormat/>
    <w:rsid w:val="00CB52E4"/>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CB52E4"/>
    <w:rPr>
      <w:rFonts w:eastAsiaTheme="minorEastAsia"/>
      <w:kern w:val="0"/>
      <w:sz w:val="21"/>
      <w:szCs w:val="21"/>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401DC"/>
  </w:style>
  <w:style w:type="paragraph" w:styleId="Revision">
    <w:name w:val="Revision"/>
    <w:hidden/>
    <w:uiPriority w:val="99"/>
    <w:semiHidden/>
    <w:rsid w:val="008D45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DPS/Keliu%20projektavimo%20ir%20statybos%20darbu%20MAAK%20taikymas_PRANESIMA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lt/naujienos-3/del-pirkimu-skelbimuose-pildomos-zalia-informacija-skil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F83E0-4885-49E3-95AA-F9019A740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2463</Words>
  <Characters>14040</Characters>
  <Application>Microsoft Office Word</Application>
  <DocSecurity>0</DocSecurity>
  <Lines>117</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6</cp:revision>
  <dcterms:created xsi:type="dcterms:W3CDTF">2024-04-04T12:48:00Z</dcterms:created>
  <dcterms:modified xsi:type="dcterms:W3CDTF">2024-04-05T05:08:00Z</dcterms:modified>
</cp:coreProperties>
</file>