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DAE25" w14:textId="77777777" w:rsidR="00D214D7" w:rsidRPr="00E15313" w:rsidRDefault="00D214D7" w:rsidP="00D214D7">
      <w:pPr>
        <w:spacing w:line="276" w:lineRule="auto"/>
        <w:rPr>
          <w:rFonts w:cstheme="minorHAnsi"/>
          <w:sz w:val="24"/>
          <w:szCs w:val="24"/>
          <w:lang w:val="lt-LT"/>
        </w:rPr>
      </w:pPr>
      <w:r w:rsidRPr="00E15313">
        <w:rPr>
          <w:rFonts w:cstheme="minorHAns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3284B85F" w14:textId="4408AD7C" w:rsidR="002B4585" w:rsidRPr="00513792" w:rsidRDefault="00D214D7" w:rsidP="00513792">
      <w:pPr>
        <w:pStyle w:val="xmsonormal"/>
        <w:ind w:firstLine="720"/>
        <w:jc w:val="both"/>
        <w:rPr>
          <w:rFonts w:asciiTheme="minorHAnsi" w:hAnsiTheme="minorHAnsi" w:cstheme="minorHAnsi"/>
          <w:sz w:val="24"/>
          <w:szCs w:val="24"/>
          <w:lang w:val="lt-LT"/>
        </w:rPr>
      </w:pPr>
      <w:r w:rsidRPr="00E15313">
        <w:rPr>
          <w:rFonts w:cstheme="minorHAnsi"/>
          <w:sz w:val="24"/>
          <w:szCs w:val="24"/>
          <w:lang w:val="lt-LT"/>
        </w:rPr>
        <w:t xml:space="preserve">Vadovaujantis Tarnybai Įstatyme nustatyta pažeidimų prevencijos funkcija, šiuo metu atliekama </w:t>
      </w:r>
      <w:r w:rsidRPr="00E15313">
        <w:rPr>
          <w:rFonts w:cstheme="minorHAnsi"/>
          <w:b/>
          <w:bCs/>
          <w:sz w:val="24"/>
          <w:szCs w:val="24"/>
          <w:lang w:val="lt-LT"/>
        </w:rPr>
        <w:t xml:space="preserve">Kaišiadorių rajono savivaldybės administracijos </w:t>
      </w:r>
      <w:r w:rsidRPr="00E15313">
        <w:rPr>
          <w:rFonts w:cstheme="minorHAnsi"/>
          <w:sz w:val="24"/>
          <w:szCs w:val="24"/>
          <w:lang w:val="lt-LT"/>
        </w:rPr>
        <w:t xml:space="preserve">(toliau – Perkančioji organizacija) vykdomo pirkimo </w:t>
      </w:r>
      <w:r w:rsidRPr="00D4372D">
        <w:rPr>
          <w:rFonts w:cstheme="minorHAnsi"/>
          <w:b/>
          <w:bCs/>
          <w:sz w:val="24"/>
          <w:szCs w:val="24"/>
          <w:lang w:val="lt-LT"/>
        </w:rPr>
        <w:t>Nr.</w:t>
      </w:r>
      <w:r w:rsidRPr="00E15313">
        <w:rPr>
          <w:rFonts w:cstheme="minorHAnsi"/>
          <w:b/>
          <w:bCs/>
          <w:sz w:val="24"/>
          <w:szCs w:val="24"/>
          <w:lang w:val="lt-LT"/>
        </w:rPr>
        <w:t xml:space="preserve"> </w:t>
      </w:r>
      <w:r w:rsidR="00797082">
        <w:rPr>
          <w:rFonts w:cstheme="minorHAnsi"/>
          <w:b/>
          <w:bCs/>
          <w:sz w:val="24"/>
          <w:szCs w:val="24"/>
          <w:lang w:val="lt-LT"/>
        </w:rPr>
        <w:t>715716</w:t>
      </w:r>
      <w:r w:rsidRPr="00E15313">
        <w:rPr>
          <w:rFonts w:cstheme="minorHAnsi"/>
          <w:b/>
          <w:bCs/>
          <w:sz w:val="24"/>
          <w:szCs w:val="24"/>
          <w:lang w:val="lt-LT"/>
        </w:rPr>
        <w:t xml:space="preserve"> „</w:t>
      </w:r>
      <w:r w:rsidR="002F4904" w:rsidRPr="002F4904">
        <w:rPr>
          <w:rFonts w:eastAsia="Times New Roman"/>
          <w:b/>
          <w:bCs/>
          <w:color w:val="333333"/>
          <w:sz w:val="24"/>
          <w:szCs w:val="24"/>
        </w:rPr>
        <w:t>Kaišiadorių rajono seniūnijų kelių ir gatvių su asfalto danga priežiūros darbai</w:t>
      </w:r>
      <w:r w:rsidRPr="00E15313">
        <w:rPr>
          <w:rFonts w:cstheme="minorHAnsi"/>
          <w:b/>
          <w:bCs/>
          <w:sz w:val="24"/>
          <w:szCs w:val="24"/>
          <w:lang w:val="lt-LT"/>
        </w:rPr>
        <w:t>“</w:t>
      </w:r>
      <w:r w:rsidRPr="00E15313">
        <w:rPr>
          <w:rFonts w:cstheme="minorHAnsi"/>
          <w:sz w:val="24"/>
          <w:szCs w:val="24"/>
          <w:lang w:val="lt-LT"/>
        </w:rPr>
        <w:t xml:space="preserve"> (toliau – Pirkimas</w:t>
      </w:r>
      <w:r w:rsidRPr="002B4585">
        <w:rPr>
          <w:rFonts w:asciiTheme="minorHAnsi" w:hAnsiTheme="minorHAnsi" w:cstheme="minorHAnsi"/>
          <w:sz w:val="24"/>
          <w:szCs w:val="24"/>
          <w:lang w:val="lt-LT"/>
        </w:rPr>
        <w:t>)</w:t>
      </w:r>
      <w:r w:rsidR="00B70702">
        <w:rPr>
          <w:rFonts w:asciiTheme="minorHAnsi" w:hAnsiTheme="minorHAnsi" w:cstheme="minorHAnsi"/>
          <w:sz w:val="24"/>
          <w:szCs w:val="24"/>
          <w:lang w:val="lt-LT"/>
        </w:rPr>
        <w:t xml:space="preserve">, </w:t>
      </w:r>
      <w:r w:rsidR="002B4585" w:rsidRPr="003F2F64">
        <w:rPr>
          <w:rFonts w:asciiTheme="minorHAnsi" w:hAnsiTheme="minorHAnsi" w:cstheme="minorHAnsi"/>
          <w:sz w:val="24"/>
          <w:szCs w:val="24"/>
          <w:lang w:val="lt-LT"/>
        </w:rPr>
        <w:t>kuris skaidomas į 4 Pirkimo dalis</w:t>
      </w:r>
      <w:r w:rsidR="003F2F64">
        <w:rPr>
          <w:rFonts w:eastAsia="Times New Roman"/>
          <w:color w:val="333333"/>
          <w:sz w:val="24"/>
          <w:szCs w:val="24"/>
        </w:rPr>
        <w:t xml:space="preserve"> </w:t>
      </w:r>
      <w:r w:rsidR="002B4585" w:rsidRPr="003F2F64">
        <w:rPr>
          <w:rFonts w:asciiTheme="minorHAnsi" w:hAnsiTheme="minorHAnsi" w:cstheme="minorHAnsi"/>
          <w:sz w:val="24"/>
          <w:szCs w:val="24"/>
          <w:lang w:val="lt-LT"/>
        </w:rPr>
        <w:t xml:space="preserve">dokumentų atitikties Įstatymui ir su jo įgyvendinimu susijusiems teisės aktams peržiūra (peržiūra prevenciniais tikslais atliekama tam tikra apimtimi). </w:t>
      </w:r>
    </w:p>
    <w:p w14:paraId="381F2A1C" w14:textId="25972575" w:rsidR="00D214D7" w:rsidRPr="00E15313" w:rsidRDefault="00D214D7" w:rsidP="00D214D7">
      <w:pPr>
        <w:spacing w:line="276" w:lineRule="auto"/>
        <w:rPr>
          <w:rFonts w:cstheme="minorHAnsi"/>
          <w:sz w:val="24"/>
          <w:szCs w:val="24"/>
          <w:lang w:val="lt-LT"/>
        </w:rPr>
      </w:pPr>
      <w:r w:rsidRPr="00E15313">
        <w:rPr>
          <w:rFonts w:cstheme="minorHAnsi"/>
          <w:sz w:val="24"/>
          <w:szCs w:val="24"/>
          <w:lang w:val="lt-LT"/>
        </w:rPr>
        <w:t>Tarnyba, prevencine tvarka peržiūrėjusi Pirkimų dokumentus, teikia pastabas ir rekomendacijas (toliau – Rekomendacija) dėl Pirkimo dokumentų nuostatų.</w:t>
      </w:r>
    </w:p>
    <w:p w14:paraId="05EC73A8" w14:textId="77777777" w:rsidR="00770B40" w:rsidRDefault="00770B40" w:rsidP="001B0D43">
      <w:pPr>
        <w:spacing w:after="0" w:line="276" w:lineRule="auto"/>
        <w:rPr>
          <w:szCs w:val="24"/>
        </w:rPr>
      </w:pPr>
    </w:p>
    <w:p w14:paraId="744CD50B" w14:textId="286A4F46" w:rsidR="00AC2F2E" w:rsidRDefault="00906660" w:rsidP="00AC2F2E">
      <w:pPr>
        <w:pStyle w:val="ListParagraph"/>
        <w:numPr>
          <w:ilvl w:val="0"/>
          <w:numId w:val="5"/>
        </w:numPr>
        <w:spacing w:after="0" w:line="240" w:lineRule="auto"/>
        <w:rPr>
          <w:rFonts w:eastAsia="Times New Roman" w:cstheme="minorHAnsi"/>
          <w:b/>
          <w:bCs/>
          <w:sz w:val="24"/>
          <w:szCs w:val="24"/>
        </w:rPr>
      </w:pPr>
      <w:r w:rsidRPr="00906660">
        <w:rPr>
          <w:rFonts w:cstheme="minorHAnsi"/>
          <w:b/>
          <w:sz w:val="24"/>
          <w:szCs w:val="24"/>
          <w:lang w:eastAsia="lt-LT"/>
        </w:rPr>
        <w:t>Dėl kvalifikacijos reikalavimų tiekėjui</w:t>
      </w:r>
      <w:r w:rsidRPr="00906660">
        <w:rPr>
          <w:rFonts w:eastAsia="Times New Roman" w:cstheme="minorHAnsi"/>
          <w:b/>
          <w:bCs/>
          <w:sz w:val="24"/>
          <w:szCs w:val="24"/>
        </w:rPr>
        <w:t xml:space="preserve"> </w:t>
      </w:r>
    </w:p>
    <w:p w14:paraId="0E9DB4E7" w14:textId="77777777" w:rsidR="00AC2F2E" w:rsidRDefault="00AC2F2E" w:rsidP="00AC2F2E">
      <w:pPr>
        <w:spacing w:after="0" w:line="240" w:lineRule="auto"/>
        <w:rPr>
          <w:rFonts w:eastAsia="Times New Roman" w:cstheme="minorHAnsi"/>
          <w:b/>
          <w:bCs/>
          <w:sz w:val="24"/>
          <w:szCs w:val="24"/>
        </w:rPr>
      </w:pPr>
    </w:p>
    <w:p w14:paraId="1BF7D4AB" w14:textId="5A2E4F2C" w:rsidR="00770B40" w:rsidRPr="0030471D" w:rsidRDefault="0030471D" w:rsidP="0030471D">
      <w:pPr>
        <w:spacing w:after="0" w:line="276" w:lineRule="auto"/>
        <w:rPr>
          <w:rFonts w:eastAsia="Times New Roman" w:cstheme="minorHAnsi"/>
          <w:sz w:val="24"/>
          <w:szCs w:val="24"/>
        </w:rPr>
      </w:pPr>
      <w:r>
        <w:rPr>
          <w:rFonts w:cstheme="minorHAnsi"/>
          <w:sz w:val="24"/>
          <w:szCs w:val="24"/>
        </w:rPr>
        <w:t xml:space="preserve">             </w:t>
      </w:r>
      <w:r w:rsidR="00EF06D5" w:rsidRPr="002F4B19">
        <w:rPr>
          <w:rFonts w:cstheme="minorHAnsi"/>
          <w:b/>
          <w:bCs/>
          <w:sz w:val="24"/>
          <w:szCs w:val="24"/>
        </w:rPr>
        <w:t>1</w:t>
      </w:r>
      <w:r w:rsidRPr="002F4B19">
        <w:rPr>
          <w:rFonts w:cstheme="minorHAnsi"/>
          <w:b/>
          <w:bCs/>
          <w:sz w:val="24"/>
          <w:szCs w:val="24"/>
        </w:rPr>
        <w:t>.1.</w:t>
      </w:r>
      <w:r>
        <w:rPr>
          <w:rFonts w:cstheme="minorHAnsi"/>
          <w:sz w:val="24"/>
          <w:szCs w:val="24"/>
        </w:rPr>
        <w:t xml:space="preserve"> </w:t>
      </w:r>
      <w:r w:rsidR="007C4083" w:rsidRPr="0030471D">
        <w:rPr>
          <w:rFonts w:cstheme="minorHAnsi"/>
          <w:sz w:val="24"/>
          <w:szCs w:val="24"/>
        </w:rPr>
        <w:t>Pirkimo sąlygų</w:t>
      </w:r>
      <w:r w:rsidR="002811E4" w:rsidRPr="0030471D">
        <w:rPr>
          <w:rFonts w:cstheme="minorHAnsi"/>
          <w:sz w:val="24"/>
          <w:szCs w:val="24"/>
        </w:rPr>
        <w:t xml:space="preserve"> 36 punkto </w:t>
      </w:r>
      <w:r w:rsidR="0008392E" w:rsidRPr="0030471D">
        <w:rPr>
          <w:rFonts w:cstheme="minorHAnsi"/>
          <w:sz w:val="24"/>
          <w:szCs w:val="24"/>
        </w:rPr>
        <w:t>2 lentelės “Tiekėjų kvalifikacijos reikalavimai”</w:t>
      </w:r>
      <w:r w:rsidR="00861CB4" w:rsidRPr="0030471D">
        <w:rPr>
          <w:rFonts w:eastAsia="Times New Roman" w:cstheme="minorHAnsi"/>
          <w:color w:val="000000" w:themeColor="text1"/>
          <w:sz w:val="24"/>
          <w:szCs w:val="24"/>
          <w:lang w:val="lt"/>
        </w:rPr>
        <w:t xml:space="preserve"> (toliau – Kvalifikacijos reikalavimai)</w:t>
      </w:r>
      <w:r w:rsidR="0008392E" w:rsidRPr="0030471D">
        <w:rPr>
          <w:rFonts w:cstheme="minorHAnsi"/>
          <w:sz w:val="24"/>
          <w:szCs w:val="24"/>
        </w:rPr>
        <w:t xml:space="preserve"> 36.1 papunktyje nustatytas </w:t>
      </w:r>
      <w:r w:rsidR="005E145C" w:rsidRPr="0030471D">
        <w:rPr>
          <w:rFonts w:cstheme="minorHAnsi"/>
          <w:sz w:val="24"/>
          <w:szCs w:val="24"/>
        </w:rPr>
        <w:t>reikalavimas</w:t>
      </w:r>
      <w:r w:rsidR="00861CB4" w:rsidRPr="0030471D">
        <w:rPr>
          <w:rFonts w:cstheme="minorHAnsi"/>
          <w:sz w:val="24"/>
          <w:szCs w:val="24"/>
        </w:rPr>
        <w:t>, kad</w:t>
      </w:r>
      <w:r w:rsidR="005E145C" w:rsidRPr="0030471D">
        <w:rPr>
          <w:rFonts w:cstheme="minorHAnsi"/>
          <w:sz w:val="24"/>
          <w:szCs w:val="24"/>
        </w:rPr>
        <w:t xml:space="preserve"> “</w:t>
      </w:r>
      <w:r w:rsidR="008D0BD7" w:rsidRPr="0030471D">
        <w:rPr>
          <w:rFonts w:cstheme="minorHAnsi"/>
          <w:color w:val="000000"/>
          <w:sz w:val="24"/>
          <w:szCs w:val="24"/>
        </w:rPr>
        <w:t>Tiekėjas per paskutinius 5* metus iki pasiūlymo pateikimo termino pabaigos pagal vieną ar daugiau sutarčių yra atlikęs</w:t>
      </w:r>
      <w:r w:rsidR="008D0BD7" w:rsidRPr="0030471D">
        <w:rPr>
          <w:rFonts w:eastAsia="Times New Roman" w:cstheme="minorHAnsi"/>
          <w:sz w:val="24"/>
          <w:szCs w:val="24"/>
        </w:rPr>
        <w:t>, paprastojo remonto ar kapitalinio remonto, ar rekonstravimo ar</w:t>
      </w:r>
      <w:r w:rsidR="008D0BD7" w:rsidRPr="0030471D">
        <w:rPr>
          <w:rFonts w:cstheme="minorHAnsi"/>
          <w:sz w:val="24"/>
          <w:szCs w:val="24"/>
        </w:rPr>
        <w:t xml:space="preserve"> naujos statybos</w:t>
      </w:r>
      <w:r w:rsidR="008D0BD7" w:rsidRPr="0030471D">
        <w:rPr>
          <w:rFonts w:eastAsia="Times New Roman" w:cstheme="minorHAnsi"/>
          <w:sz w:val="24"/>
          <w:szCs w:val="24"/>
        </w:rPr>
        <w:t xml:space="preserve"> darbų </w:t>
      </w:r>
      <w:r w:rsidR="008D0BD7" w:rsidRPr="0030471D">
        <w:rPr>
          <w:rFonts w:cstheme="minorHAnsi"/>
          <w:sz w:val="24"/>
          <w:szCs w:val="24"/>
        </w:rPr>
        <w:t>(statinių grupė: susisiekimo komunikacijos; pogrupis: keliai ir/ar gatvės)</w:t>
      </w:r>
      <w:r w:rsidR="008D0BD7" w:rsidRPr="0030471D">
        <w:rPr>
          <w:rFonts w:eastAsia="Times New Roman" w:cstheme="minorHAnsi"/>
          <w:sz w:val="24"/>
          <w:szCs w:val="24"/>
        </w:rPr>
        <w:t xml:space="preserve">, </w:t>
      </w:r>
      <w:r w:rsidR="008D0BD7" w:rsidRPr="0030471D">
        <w:rPr>
          <w:rFonts w:eastAsia="Times New Roman" w:cstheme="minorHAnsi"/>
          <w:b/>
          <w:bCs/>
          <w:sz w:val="24"/>
          <w:szCs w:val="24"/>
        </w:rPr>
        <w:t>sutartį kurios vertė ne mažesnė nei</w:t>
      </w:r>
      <w:r w:rsidR="008D0BD7" w:rsidRPr="0030471D">
        <w:rPr>
          <w:rFonts w:eastAsia="Times New Roman" w:cstheme="minorHAnsi"/>
          <w:sz w:val="24"/>
          <w:szCs w:val="24"/>
        </w:rPr>
        <w:t>&lt;…&gt;”</w:t>
      </w:r>
      <w:r w:rsidR="00F13CD9" w:rsidRPr="0030471D">
        <w:rPr>
          <w:rFonts w:eastAsia="Times New Roman" w:cstheme="minorHAnsi"/>
          <w:sz w:val="24"/>
          <w:szCs w:val="24"/>
        </w:rPr>
        <w:t>.</w:t>
      </w:r>
    </w:p>
    <w:p w14:paraId="659E9078" w14:textId="7E5E00B9" w:rsidR="00F13CD9" w:rsidRPr="005A0C7D" w:rsidRDefault="00F13CD9" w:rsidP="00F13CD9">
      <w:pPr>
        <w:tabs>
          <w:tab w:val="left" w:pos="567"/>
          <w:tab w:val="left" w:pos="1843"/>
        </w:tabs>
        <w:spacing w:after="0" w:line="276" w:lineRule="auto"/>
        <w:ind w:firstLine="709"/>
        <w:contextualSpacing/>
        <w:rPr>
          <w:rFonts w:cstheme="minorHAnsi"/>
          <w:sz w:val="24"/>
          <w:szCs w:val="24"/>
        </w:rPr>
      </w:pPr>
      <w:r w:rsidRPr="005A0C7D">
        <w:rPr>
          <w:rFonts w:cstheme="minorHAnsi"/>
          <w:sz w:val="24"/>
          <w:szCs w:val="24"/>
        </w:rPr>
        <w:t>Tarnyba pažymi, kad Įstatymo 47 straipsnio 7 dalyje nustatyta, kad Tiekėjo kvalifikacijos reikalavimai nustatomi pagal Tiekėjo kvalifikacijos reikalavimų nustatymo metodiką</w:t>
      </w:r>
      <w:r w:rsidRPr="005A0C7D">
        <w:rPr>
          <w:rFonts w:cstheme="minorHAnsi"/>
          <w:sz w:val="24"/>
          <w:szCs w:val="24"/>
          <w:vertAlign w:val="superscript"/>
        </w:rPr>
        <w:footnoteReference w:id="1"/>
      </w:r>
      <w:r w:rsidRPr="005A0C7D">
        <w:rPr>
          <w:rFonts w:cstheme="minorHAnsi"/>
          <w:sz w:val="24"/>
          <w:szCs w:val="24"/>
        </w:rPr>
        <w:t xml:space="preserve"> (toliau – Metodika). Įstatymo 51 straipsnio 7 dalies 1 punkte ir Metodikos 16.1 punkte nurodyta, kad, kai pirkimo objektas </w:t>
      </w:r>
      <w:r w:rsidRPr="005A0C7D">
        <w:rPr>
          <w:rFonts w:cstheme="minorHAnsi"/>
          <w:b/>
          <w:bCs/>
          <w:sz w:val="24"/>
          <w:szCs w:val="24"/>
        </w:rPr>
        <w:t>dalus</w:t>
      </w:r>
      <w:r w:rsidRPr="005A0C7D">
        <w:rPr>
          <w:rFonts w:cstheme="minorHAnsi"/>
          <w:sz w:val="24"/>
          <w:szCs w:val="24"/>
        </w:rPr>
        <w:t>, kvalifikacinis reikalavimas</w:t>
      </w:r>
      <w:r w:rsidR="00091B2C">
        <w:rPr>
          <w:rFonts w:cstheme="minorHAnsi"/>
          <w:sz w:val="24"/>
          <w:szCs w:val="24"/>
        </w:rPr>
        <w:t xml:space="preserve"> turi būti formuluojamas taip</w:t>
      </w:r>
      <w:r w:rsidRPr="0030471D">
        <w:rPr>
          <w:rFonts w:cstheme="minorHAnsi"/>
          <w:sz w:val="24"/>
          <w:szCs w:val="24"/>
        </w:rPr>
        <w:t xml:space="preserve">: „Tiekėjas per paskutinius 5* metus iki pasiūlymo pateikimo termino pabaigos pagal vieną ar daugiau sutarčių </w:t>
      </w:r>
      <w:r w:rsidRPr="001134E6">
        <w:rPr>
          <w:rFonts w:cstheme="minorHAnsi"/>
          <w:b/>
          <w:bCs/>
          <w:sz w:val="24"/>
          <w:szCs w:val="24"/>
        </w:rPr>
        <w:t>yra atlikęs darbų</w:t>
      </w:r>
      <w:r w:rsidRPr="0030471D">
        <w:rPr>
          <w:rFonts w:cstheme="minorHAnsi"/>
          <w:sz w:val="24"/>
          <w:szCs w:val="24"/>
        </w:rPr>
        <w:t xml:space="preserve"> &lt;...&gt;“ (</w:t>
      </w:r>
      <w:r w:rsidRPr="001134E6">
        <w:rPr>
          <w:rFonts w:cstheme="minorHAnsi"/>
          <w:b/>
          <w:bCs/>
          <w:sz w:val="24"/>
          <w:szCs w:val="24"/>
        </w:rPr>
        <w:t xml:space="preserve">o ne </w:t>
      </w:r>
      <w:r w:rsidR="00091B2C">
        <w:rPr>
          <w:rFonts w:cstheme="minorHAnsi"/>
          <w:b/>
          <w:bCs/>
          <w:sz w:val="24"/>
          <w:szCs w:val="24"/>
        </w:rPr>
        <w:t xml:space="preserve">įvykdęs </w:t>
      </w:r>
      <w:r w:rsidR="0056552A" w:rsidRPr="001134E6">
        <w:rPr>
          <w:rFonts w:cstheme="minorHAnsi"/>
          <w:b/>
          <w:bCs/>
          <w:sz w:val="24"/>
          <w:szCs w:val="24"/>
        </w:rPr>
        <w:t>sutartį</w:t>
      </w:r>
      <w:r w:rsidR="00091B2C">
        <w:rPr>
          <w:rFonts w:cstheme="minorHAnsi"/>
          <w:b/>
          <w:bCs/>
          <w:sz w:val="24"/>
          <w:szCs w:val="24"/>
        </w:rPr>
        <w:t xml:space="preserve"> už x Eur.</w:t>
      </w:r>
      <w:r w:rsidRPr="005A0C7D">
        <w:rPr>
          <w:rFonts w:cstheme="minorHAnsi"/>
          <w:sz w:val="24"/>
          <w:szCs w:val="24"/>
        </w:rPr>
        <w:t>), o tiekėjo patirties įrodymui Perkančioji organizacija gali reikalauti atliktų darbų sąrašo (o ne sutarčių sąrašo) kartu su užsakovų pažymomis apie tai, kad svarbiausių darbų atlikimas ir galutiniai rezultatai buvo tinkami.</w:t>
      </w:r>
    </w:p>
    <w:p w14:paraId="0F19414F" w14:textId="77777777" w:rsidR="00F13CD9" w:rsidRPr="0030471D" w:rsidRDefault="00F13CD9" w:rsidP="00F13CD9">
      <w:pPr>
        <w:tabs>
          <w:tab w:val="left" w:pos="567"/>
          <w:tab w:val="left" w:pos="1843"/>
        </w:tabs>
        <w:spacing w:after="0" w:line="276" w:lineRule="auto"/>
        <w:contextualSpacing/>
        <w:rPr>
          <w:rFonts w:cstheme="minorHAnsi"/>
          <w:sz w:val="24"/>
          <w:szCs w:val="24"/>
        </w:rPr>
      </w:pPr>
      <w:r w:rsidRPr="005A0C7D">
        <w:rPr>
          <w:rFonts w:cstheme="minorHAnsi"/>
          <w:sz w:val="24"/>
          <w:szCs w:val="24"/>
        </w:rPr>
        <w:tab/>
        <w:t xml:space="preserve">Tarnyba rekomenduoja tikslinti šį kvalifikacijos reikalavimą, nustatant, </w:t>
      </w:r>
      <w:r w:rsidRPr="0030471D">
        <w:rPr>
          <w:rFonts w:cstheme="minorHAnsi"/>
          <w:sz w:val="24"/>
          <w:szCs w:val="24"/>
        </w:rPr>
        <w:t xml:space="preserve">kad „tiekėjas, &lt;...&gt; pagal vieną ar daugiau sutarčių turi būti atlikęs &lt;...&gt; </w:t>
      </w:r>
      <w:r w:rsidRPr="0030471D">
        <w:rPr>
          <w:rFonts w:cstheme="minorHAnsi"/>
          <w:b/>
          <w:bCs/>
          <w:sz w:val="24"/>
          <w:szCs w:val="24"/>
        </w:rPr>
        <w:t>darbų, kurių bendra vertė ne mažesnė kaip</w:t>
      </w:r>
      <w:r w:rsidRPr="0030471D">
        <w:rPr>
          <w:rFonts w:cstheme="minorHAnsi"/>
          <w:sz w:val="24"/>
          <w:szCs w:val="24"/>
        </w:rPr>
        <w:t xml:space="preserve"> &lt;...&gt;“.</w:t>
      </w:r>
    </w:p>
    <w:p w14:paraId="63BBAB0A" w14:textId="46E79F56" w:rsidR="00313780" w:rsidRPr="00A27504" w:rsidRDefault="00EF06D5" w:rsidP="00A27504">
      <w:pPr>
        <w:pStyle w:val="Point1"/>
        <w:spacing w:before="0" w:after="0" w:line="276" w:lineRule="auto"/>
        <w:ind w:left="0" w:firstLine="605"/>
        <w:rPr>
          <w:rFonts w:asciiTheme="minorHAnsi" w:hAnsiTheme="minorHAnsi" w:cstheme="minorHAnsi"/>
          <w:color w:val="000000"/>
          <w:szCs w:val="24"/>
          <w:lang w:val="lt-LT"/>
        </w:rPr>
      </w:pPr>
      <w:r w:rsidRPr="002F4B19">
        <w:rPr>
          <w:rFonts w:asciiTheme="minorHAnsi" w:hAnsiTheme="minorHAnsi" w:cstheme="minorHAnsi"/>
          <w:b/>
          <w:bCs/>
          <w:szCs w:val="24"/>
        </w:rPr>
        <w:t>1</w:t>
      </w:r>
      <w:r w:rsidR="0007512A" w:rsidRPr="002F4B19">
        <w:rPr>
          <w:rFonts w:asciiTheme="minorHAnsi" w:hAnsiTheme="minorHAnsi" w:cstheme="minorHAnsi"/>
          <w:b/>
          <w:bCs/>
          <w:szCs w:val="24"/>
        </w:rPr>
        <w:t>.2.</w:t>
      </w:r>
      <w:r w:rsidR="0007512A">
        <w:rPr>
          <w:rFonts w:cstheme="minorHAnsi"/>
          <w:szCs w:val="24"/>
        </w:rPr>
        <w:t xml:space="preserve"> </w:t>
      </w:r>
      <w:r w:rsidR="008B0379" w:rsidRPr="00A27504">
        <w:rPr>
          <w:rFonts w:asciiTheme="minorHAnsi" w:hAnsiTheme="minorHAnsi" w:cstheme="minorHAnsi"/>
          <w:szCs w:val="24"/>
        </w:rPr>
        <w:t xml:space="preserve">Kvalifikacijos reikalavimų 36.2 punkte nustatytas reikalavimas tiekėjui </w:t>
      </w:r>
      <w:r w:rsidR="00A30BFE" w:rsidRPr="00A27504">
        <w:rPr>
          <w:rFonts w:asciiTheme="minorHAnsi" w:hAnsiTheme="minorHAnsi" w:cstheme="minorHAnsi"/>
          <w:szCs w:val="24"/>
        </w:rPr>
        <w:t xml:space="preserve">turėti </w:t>
      </w:r>
      <w:r w:rsidR="00154E3A" w:rsidRPr="00A27504">
        <w:rPr>
          <w:rFonts w:asciiTheme="minorHAnsi" w:hAnsiTheme="minorHAnsi" w:cstheme="minorHAnsi"/>
          <w:szCs w:val="24"/>
        </w:rPr>
        <w:t>Pirkimo sutarčiai vykdyti kvalifikuotą specialistą</w:t>
      </w:r>
      <w:r w:rsidR="00E17E17" w:rsidRPr="00A27504">
        <w:rPr>
          <w:rFonts w:asciiTheme="minorHAnsi" w:hAnsiTheme="minorHAnsi" w:cstheme="minorHAnsi"/>
          <w:szCs w:val="24"/>
        </w:rPr>
        <w:t>, kuris yra</w:t>
      </w:r>
      <w:r w:rsidR="000579D1" w:rsidRPr="00A27504">
        <w:rPr>
          <w:rFonts w:asciiTheme="minorHAnsi" w:hAnsiTheme="minorHAnsi" w:cstheme="minorHAnsi"/>
          <w:szCs w:val="24"/>
        </w:rPr>
        <w:t xml:space="preserve"> “</w:t>
      </w:r>
      <w:r w:rsidR="00313780" w:rsidRPr="00A27504">
        <w:rPr>
          <w:rFonts w:asciiTheme="minorHAnsi" w:hAnsiTheme="minorHAnsi" w:cstheme="minorHAnsi"/>
          <w:color w:val="000000"/>
          <w:szCs w:val="24"/>
          <w:lang w:val="lt-LT"/>
        </w:rPr>
        <w:t xml:space="preserve">Statinio statybos vadovas (statinių kategorija – nesudėtingi statiniai; statinių grupė – susisiekimo komunikacijos: keliai (gatvės)), turintis statybos inžinieriaus išsilavinimą“. </w:t>
      </w:r>
    </w:p>
    <w:p w14:paraId="53BA6DB9" w14:textId="6A50048D" w:rsidR="00F31143" w:rsidRPr="00A27504" w:rsidRDefault="001134E6" w:rsidP="00A27504">
      <w:pPr>
        <w:pStyle w:val="Default"/>
        <w:spacing w:line="276" w:lineRule="auto"/>
        <w:jc w:val="both"/>
        <w:rPr>
          <w:rFonts w:asciiTheme="minorHAnsi" w:hAnsiTheme="minorHAnsi" w:cstheme="minorHAnsi"/>
        </w:rPr>
      </w:pPr>
      <w:r>
        <w:rPr>
          <w:rFonts w:asciiTheme="minorHAnsi" w:hAnsiTheme="minorHAnsi" w:cstheme="minorHAnsi"/>
          <w:lang w:val="lt-LT"/>
        </w:rPr>
        <w:lastRenderedPageBreak/>
        <w:t xml:space="preserve">         </w:t>
      </w:r>
      <w:r w:rsidR="00904941" w:rsidRPr="00A27504">
        <w:rPr>
          <w:rFonts w:asciiTheme="minorHAnsi" w:hAnsiTheme="minorHAnsi" w:cstheme="minorHAnsi"/>
          <w:lang w:val="lt-LT"/>
        </w:rPr>
        <w:t xml:space="preserve">Tarnyba atkreipia dėmesį, kad </w:t>
      </w:r>
      <w:r w:rsidR="00091B2C">
        <w:rPr>
          <w:rFonts w:asciiTheme="minorHAnsi" w:hAnsiTheme="minorHAnsi" w:cstheme="minorHAnsi"/>
        </w:rPr>
        <w:t>v</w:t>
      </w:r>
      <w:r w:rsidR="00F31143" w:rsidRPr="00A27504">
        <w:rPr>
          <w:rFonts w:asciiTheme="minorHAnsi" w:hAnsiTheme="minorHAnsi" w:cstheme="minorHAnsi"/>
        </w:rPr>
        <w:t xml:space="preserve">adovauti nesudėtingo statinio statybai, projektavimui, statinio projekto vykdymo priežiūrai turi teisę asmenys, įgiję </w:t>
      </w:r>
      <w:r w:rsidR="00091B2C">
        <w:rPr>
          <w:rFonts w:asciiTheme="minorHAnsi" w:hAnsiTheme="minorHAnsi" w:cstheme="minorHAnsi"/>
        </w:rPr>
        <w:t>Lietuvos Respublikos s</w:t>
      </w:r>
      <w:r w:rsidR="00F31143" w:rsidRPr="00A27504">
        <w:rPr>
          <w:rFonts w:asciiTheme="minorHAnsi" w:hAnsiTheme="minorHAnsi" w:cstheme="minorHAnsi"/>
        </w:rPr>
        <w:t xml:space="preserve">tatybos įstatymo 2 straipsnio 1 dalyje arba 92 dalyje nurodytą </w:t>
      </w:r>
      <w:r w:rsidR="00F31143" w:rsidRPr="00A27504">
        <w:rPr>
          <w:rFonts w:asciiTheme="minorHAnsi" w:hAnsiTheme="minorHAnsi" w:cstheme="minorHAnsi"/>
          <w:b/>
          <w:bCs/>
        </w:rPr>
        <w:t>architekto ar statybos inžinieriaus išsilavinimą</w:t>
      </w:r>
      <w:r w:rsidR="00F31143" w:rsidRPr="00A27504">
        <w:rPr>
          <w:rFonts w:asciiTheme="minorHAnsi" w:hAnsiTheme="minorHAnsi" w:cstheme="minorHAnsi"/>
        </w:rPr>
        <w:t xml:space="preserve">. </w:t>
      </w:r>
    </w:p>
    <w:p w14:paraId="494CF833" w14:textId="0DBCFB93" w:rsidR="004B6BB9" w:rsidRPr="002C33E7" w:rsidRDefault="004C73FC" w:rsidP="00A27504">
      <w:pPr>
        <w:pStyle w:val="Default"/>
        <w:spacing w:line="276" w:lineRule="auto"/>
        <w:jc w:val="both"/>
        <w:rPr>
          <w:rFonts w:asciiTheme="minorHAnsi" w:hAnsiTheme="minorHAnsi" w:cstheme="minorHAnsi"/>
        </w:rPr>
      </w:pPr>
      <w:r>
        <w:rPr>
          <w:rFonts w:asciiTheme="minorHAnsi" w:hAnsiTheme="minorHAnsi" w:cstheme="minorHAnsi"/>
        </w:rPr>
        <w:t xml:space="preserve">           </w:t>
      </w:r>
      <w:r w:rsidR="004B6BB9" w:rsidRPr="00A27504">
        <w:rPr>
          <w:rFonts w:asciiTheme="minorHAnsi" w:hAnsiTheme="minorHAnsi" w:cstheme="minorHAnsi"/>
        </w:rPr>
        <w:t>Remiantis išdėstytu, Tarnyba rekomenduoja</w:t>
      </w:r>
      <w:r w:rsidR="008918DF" w:rsidRPr="00A27504">
        <w:rPr>
          <w:rFonts w:asciiTheme="minorHAnsi" w:hAnsiTheme="minorHAnsi" w:cstheme="minorHAnsi"/>
        </w:rPr>
        <w:t xml:space="preserve"> </w:t>
      </w:r>
      <w:r w:rsidR="004B6BB9" w:rsidRPr="00A27504">
        <w:rPr>
          <w:rFonts w:asciiTheme="minorHAnsi" w:hAnsiTheme="minorHAnsi" w:cstheme="minorHAnsi"/>
        </w:rPr>
        <w:t>pa</w:t>
      </w:r>
      <w:r w:rsidR="00091B2C">
        <w:rPr>
          <w:rFonts w:asciiTheme="minorHAnsi" w:hAnsiTheme="minorHAnsi" w:cstheme="minorHAnsi"/>
        </w:rPr>
        <w:t xml:space="preserve">tikslinti </w:t>
      </w:r>
      <w:r w:rsidR="004B6BB9" w:rsidRPr="00A27504">
        <w:rPr>
          <w:rFonts w:asciiTheme="minorHAnsi" w:hAnsiTheme="minorHAnsi" w:cstheme="minorHAnsi"/>
        </w:rPr>
        <w:t xml:space="preserve"> </w:t>
      </w:r>
      <w:r w:rsidR="000F51D7" w:rsidRPr="00A27504">
        <w:rPr>
          <w:rFonts w:asciiTheme="minorHAnsi" w:hAnsiTheme="minorHAnsi" w:cstheme="minorHAnsi"/>
        </w:rPr>
        <w:t xml:space="preserve">kvalifikacijos reikalavimą </w:t>
      </w:r>
      <w:r w:rsidR="00091B2C">
        <w:rPr>
          <w:rFonts w:asciiTheme="minorHAnsi" w:hAnsiTheme="minorHAnsi" w:cstheme="minorHAnsi"/>
        </w:rPr>
        <w:t xml:space="preserve"> dėl</w:t>
      </w:r>
      <w:r w:rsidR="005C7421">
        <w:rPr>
          <w:rFonts w:asciiTheme="minorHAnsi" w:hAnsiTheme="minorHAnsi" w:cstheme="minorHAnsi"/>
        </w:rPr>
        <w:t xml:space="preserve"> </w:t>
      </w:r>
      <w:r w:rsidR="00186932">
        <w:rPr>
          <w:rFonts w:asciiTheme="minorHAnsi" w:hAnsiTheme="minorHAnsi" w:cstheme="minorHAnsi"/>
        </w:rPr>
        <w:t>statybos vadov</w:t>
      </w:r>
      <w:r w:rsidR="00091B2C">
        <w:rPr>
          <w:rFonts w:asciiTheme="minorHAnsi" w:hAnsiTheme="minorHAnsi" w:cstheme="minorHAnsi"/>
        </w:rPr>
        <w:t xml:space="preserve">o išsilavinimo. </w:t>
      </w:r>
    </w:p>
    <w:p w14:paraId="6B95F279" w14:textId="77777777" w:rsidR="003A7BAF" w:rsidRDefault="003A7BAF" w:rsidP="00F31143">
      <w:pPr>
        <w:pStyle w:val="Default"/>
        <w:jc w:val="both"/>
        <w:rPr>
          <w:sz w:val="20"/>
          <w:szCs w:val="20"/>
        </w:rPr>
      </w:pPr>
    </w:p>
    <w:p w14:paraId="0A40D539" w14:textId="5BE1701C" w:rsidR="001C5260" w:rsidRDefault="001C5260" w:rsidP="000E5525">
      <w:pPr>
        <w:pStyle w:val="ListParagraph"/>
        <w:numPr>
          <w:ilvl w:val="0"/>
          <w:numId w:val="5"/>
        </w:numPr>
        <w:tabs>
          <w:tab w:val="left" w:pos="993"/>
        </w:tabs>
        <w:spacing w:after="0" w:line="276" w:lineRule="auto"/>
        <w:rPr>
          <w:rFonts w:cstheme="minorHAnsi"/>
          <w:b/>
          <w:bCs/>
          <w:sz w:val="24"/>
          <w:szCs w:val="24"/>
        </w:rPr>
      </w:pPr>
      <w:r w:rsidRPr="000E5525">
        <w:rPr>
          <w:rFonts w:cstheme="minorHAnsi"/>
          <w:b/>
          <w:bCs/>
          <w:sz w:val="24"/>
          <w:szCs w:val="24"/>
        </w:rPr>
        <w:t>Dėl kitų Pirkimo dokumentų netikslumų</w:t>
      </w:r>
    </w:p>
    <w:p w14:paraId="10FA2C7D" w14:textId="77777777" w:rsidR="00E92832" w:rsidRDefault="00E92832" w:rsidP="00E92832">
      <w:pPr>
        <w:tabs>
          <w:tab w:val="left" w:pos="993"/>
        </w:tabs>
        <w:spacing w:after="0" w:line="276" w:lineRule="auto"/>
        <w:rPr>
          <w:rFonts w:cstheme="minorHAnsi"/>
          <w:b/>
          <w:bCs/>
          <w:sz w:val="24"/>
          <w:szCs w:val="24"/>
        </w:rPr>
      </w:pPr>
    </w:p>
    <w:p w14:paraId="7D977E25" w14:textId="5106E471" w:rsidR="00EF06D5" w:rsidRPr="00EF06D5" w:rsidRDefault="00EF06D5" w:rsidP="00EF06D5">
      <w:pPr>
        <w:tabs>
          <w:tab w:val="left" w:pos="851"/>
        </w:tabs>
        <w:spacing w:after="0" w:line="276" w:lineRule="auto"/>
        <w:ind w:firstLine="567"/>
        <w:rPr>
          <w:rFonts w:cstheme="minorHAnsi"/>
          <w:sz w:val="24"/>
          <w:szCs w:val="24"/>
        </w:rPr>
      </w:pPr>
      <w:r w:rsidRPr="002F4B19">
        <w:rPr>
          <w:rFonts w:cstheme="minorHAnsi"/>
          <w:b/>
          <w:bCs/>
          <w:sz w:val="24"/>
          <w:szCs w:val="24"/>
        </w:rPr>
        <w:t>2.1.</w:t>
      </w:r>
      <w:r>
        <w:rPr>
          <w:rFonts w:cstheme="minorHAnsi"/>
          <w:sz w:val="24"/>
          <w:szCs w:val="24"/>
        </w:rPr>
        <w:t xml:space="preserve"> </w:t>
      </w:r>
      <w:r w:rsidRPr="00EF06D5">
        <w:rPr>
          <w:rFonts w:cstheme="minorHAnsi"/>
          <w:sz w:val="24"/>
          <w:szCs w:val="24"/>
        </w:rPr>
        <w:t>Skelbime apie Pirkimą nurodyta, kad vykdomas žaliasis pirkimas pagal Aplinkos apsaugos kriterijų taikymo, vykdant žaliuosius pirkimus, tvarkos aprašo, patvirtinto Lietuvos Respublikos aplinkos ministro 2011 m. birželio 28 d. įsakymu Nr. D1-508 (toliau – Tvarkos aprašas) 4.3 punktą</w:t>
      </w:r>
      <w:r w:rsidR="00092403">
        <w:rPr>
          <w:rFonts w:cstheme="minorHAnsi"/>
          <w:sz w:val="24"/>
          <w:szCs w:val="24"/>
        </w:rPr>
        <w:t>, o</w:t>
      </w:r>
      <w:r w:rsidRPr="00EF06D5">
        <w:rPr>
          <w:rFonts w:cstheme="minorHAnsi"/>
          <w:sz w:val="24"/>
          <w:szCs w:val="24"/>
        </w:rPr>
        <w:t xml:space="preserve"> aplinkos apsaugos kriterijai nustatyti </w:t>
      </w:r>
      <w:r w:rsidRPr="00EF06D5">
        <w:rPr>
          <w:rFonts w:cstheme="minorHAnsi"/>
          <w:b/>
          <w:bCs/>
          <w:sz w:val="24"/>
          <w:szCs w:val="24"/>
          <w:lang w:val="lt-LT"/>
        </w:rPr>
        <w:t>„</w:t>
      </w:r>
      <w:r w:rsidRPr="00EF06D5">
        <w:rPr>
          <w:rFonts w:cstheme="minorHAnsi"/>
          <w:sz w:val="24"/>
          <w:szCs w:val="24"/>
        </w:rPr>
        <w:t xml:space="preserve">Kituose reikalavimuose tiekėjams”.  Tarnyba atkreipia dėmesį, kad Pirkimo sąlygų 21 punkte nurodyta, kad Pirkime taikomi aplinkos apsaugos reikalavimai, tačiau nėra nustatyta, kokie konkretūs kriterijai yra taikomi. </w:t>
      </w:r>
    </w:p>
    <w:p w14:paraId="514ABCEE" w14:textId="6BD29E73" w:rsidR="00EF06D5" w:rsidRPr="00F15F64" w:rsidRDefault="00EF06D5" w:rsidP="00F15F64">
      <w:pPr>
        <w:tabs>
          <w:tab w:val="left" w:pos="851"/>
        </w:tabs>
        <w:spacing w:after="0" w:line="276" w:lineRule="auto"/>
        <w:ind w:firstLine="567"/>
        <w:contextualSpacing/>
        <w:rPr>
          <w:sz w:val="24"/>
          <w:szCs w:val="24"/>
        </w:rPr>
      </w:pPr>
      <w:r w:rsidRPr="00762D96">
        <w:rPr>
          <w:rFonts w:cstheme="minorHAnsi"/>
          <w:sz w:val="24"/>
          <w:szCs w:val="24"/>
        </w:rPr>
        <w:t xml:space="preserve">Atsižvelgiant į Įstatymo 35 straipsnio 4 dalies nuostatą, kad </w:t>
      </w:r>
      <w:r w:rsidRPr="001134E6">
        <w:rPr>
          <w:rFonts w:cstheme="minorHAnsi"/>
          <w:sz w:val="24"/>
          <w:szCs w:val="24"/>
        </w:rPr>
        <w:t>„</w:t>
      </w:r>
      <w:r w:rsidRPr="001134E6">
        <w:rPr>
          <w:sz w:val="24"/>
          <w:szCs w:val="24"/>
        </w:rPr>
        <w:t>Pirkimo dokumentai turi būti tikslūs, aiškūs, be dviprasmybių, kad tiekėjai galėtų pateikti pasiūlymus, o perkančioji organizacija – nupirkti tai, ko reikia</w:t>
      </w:r>
      <w:r w:rsidRPr="00C616A1">
        <w:rPr>
          <w:sz w:val="24"/>
          <w:szCs w:val="24"/>
        </w:rPr>
        <w:t>“</w:t>
      </w:r>
      <w:r w:rsidRPr="00C616A1">
        <w:rPr>
          <w:rFonts w:cstheme="minorHAnsi"/>
          <w:sz w:val="24"/>
          <w:szCs w:val="24"/>
        </w:rPr>
        <w:t>,</w:t>
      </w:r>
      <w:r w:rsidRPr="00762D96">
        <w:rPr>
          <w:rFonts w:cstheme="minorHAnsi"/>
          <w:sz w:val="24"/>
          <w:szCs w:val="24"/>
        </w:rPr>
        <w:t xml:space="preserve"> Tarnyba rekomenduoja </w:t>
      </w:r>
      <w:r w:rsidRPr="008A1162">
        <w:rPr>
          <w:sz w:val="24"/>
          <w:szCs w:val="24"/>
        </w:rPr>
        <w:t xml:space="preserve">papildyti Pirkimo sąlygų 21 punktą, nurodant kokie </w:t>
      </w:r>
      <w:r>
        <w:rPr>
          <w:sz w:val="24"/>
          <w:szCs w:val="24"/>
        </w:rPr>
        <w:t>Tvarkos aprašo punktai taikomi Pirkimui.</w:t>
      </w:r>
    </w:p>
    <w:p w14:paraId="3A5F45BF" w14:textId="797C449B" w:rsidR="00904941" w:rsidRDefault="00904941" w:rsidP="00313780">
      <w:pPr>
        <w:pStyle w:val="Point1"/>
        <w:spacing w:before="0" w:after="0"/>
        <w:ind w:left="0" w:firstLine="605"/>
        <w:rPr>
          <w:color w:val="000000"/>
          <w:szCs w:val="24"/>
          <w:lang w:val="lt-LT"/>
        </w:rPr>
      </w:pPr>
    </w:p>
    <w:p w14:paraId="5E38C5B2" w14:textId="0D835772" w:rsidR="000B103C" w:rsidRPr="00C45F92" w:rsidRDefault="0026675B" w:rsidP="00C45F92">
      <w:pPr>
        <w:pStyle w:val="Point1"/>
        <w:spacing w:before="0" w:after="0" w:line="276" w:lineRule="auto"/>
        <w:ind w:left="0" w:firstLine="0"/>
        <w:jc w:val="left"/>
        <w:rPr>
          <w:rFonts w:asciiTheme="minorHAnsi" w:hAnsiTheme="minorHAnsi" w:cstheme="minorHAnsi"/>
          <w:color w:val="000000"/>
          <w:szCs w:val="24"/>
          <w:lang w:val="lt-LT"/>
        </w:rPr>
      </w:pPr>
      <w:r>
        <w:rPr>
          <w:rFonts w:asciiTheme="minorHAnsi" w:hAnsiTheme="minorHAnsi" w:cstheme="minorHAnsi"/>
          <w:color w:val="000000"/>
          <w:szCs w:val="24"/>
          <w:lang w:val="lt-LT"/>
        </w:rPr>
        <w:t xml:space="preserve">           </w:t>
      </w:r>
      <w:r w:rsidRPr="002F4B19">
        <w:rPr>
          <w:rFonts w:asciiTheme="minorHAnsi" w:hAnsiTheme="minorHAnsi" w:cstheme="minorHAnsi"/>
          <w:b/>
          <w:bCs/>
          <w:color w:val="000000"/>
          <w:szCs w:val="24"/>
          <w:lang w:val="lt-LT"/>
        </w:rPr>
        <w:t>2.2.</w:t>
      </w:r>
      <w:r>
        <w:rPr>
          <w:rFonts w:asciiTheme="minorHAnsi" w:hAnsiTheme="minorHAnsi" w:cstheme="minorHAnsi"/>
          <w:color w:val="000000"/>
          <w:szCs w:val="24"/>
          <w:lang w:val="lt-LT"/>
        </w:rPr>
        <w:t xml:space="preserve"> </w:t>
      </w:r>
      <w:r w:rsidR="00B7174B" w:rsidRPr="00C45F92">
        <w:rPr>
          <w:rFonts w:asciiTheme="minorHAnsi" w:hAnsiTheme="minorHAnsi" w:cstheme="minorHAnsi"/>
          <w:color w:val="000000"/>
          <w:szCs w:val="24"/>
          <w:lang w:val="lt-LT"/>
        </w:rPr>
        <w:t>Skelbimo apie Pirkimą II.2.7 dalyje</w:t>
      </w:r>
      <w:r w:rsidR="00063C8A" w:rsidRPr="00C45F92">
        <w:rPr>
          <w:rFonts w:asciiTheme="minorHAnsi" w:hAnsiTheme="minorHAnsi" w:cstheme="minorHAnsi"/>
          <w:color w:val="000000"/>
          <w:szCs w:val="24"/>
          <w:lang w:val="lt-LT"/>
        </w:rPr>
        <w:t xml:space="preserve"> ir</w:t>
      </w:r>
      <w:r w:rsidR="006D1C19" w:rsidRPr="00C45F92">
        <w:rPr>
          <w:rFonts w:asciiTheme="minorHAnsi" w:hAnsiTheme="minorHAnsi" w:cstheme="minorHAnsi"/>
          <w:color w:val="000000"/>
          <w:szCs w:val="24"/>
          <w:lang w:val="lt-LT"/>
        </w:rPr>
        <w:t xml:space="preserve"> </w:t>
      </w:r>
      <w:r w:rsidR="00F33182" w:rsidRPr="00C45F92">
        <w:rPr>
          <w:rFonts w:asciiTheme="minorHAnsi" w:hAnsiTheme="minorHAnsi" w:cstheme="minorHAnsi"/>
          <w:color w:val="000000"/>
          <w:szCs w:val="24"/>
          <w:lang w:val="lt-LT"/>
        </w:rPr>
        <w:t>Pirkimo sąlygų 1 priedo „</w:t>
      </w:r>
      <w:r w:rsidR="006D1C19" w:rsidRPr="00C45F92">
        <w:rPr>
          <w:rFonts w:asciiTheme="minorHAnsi" w:hAnsiTheme="minorHAnsi" w:cstheme="minorHAnsi"/>
          <w:color w:val="000000"/>
          <w:szCs w:val="24"/>
          <w:lang w:val="lt-LT"/>
        </w:rPr>
        <w:t>Techninė specifikacij</w:t>
      </w:r>
      <w:r w:rsidR="00F33182" w:rsidRPr="00C45F92">
        <w:rPr>
          <w:rFonts w:asciiTheme="minorHAnsi" w:hAnsiTheme="minorHAnsi" w:cstheme="minorHAnsi"/>
          <w:color w:val="000000"/>
          <w:szCs w:val="24"/>
          <w:lang w:val="lt-LT"/>
        </w:rPr>
        <w:t>a“</w:t>
      </w:r>
      <w:r w:rsidR="006D1C19" w:rsidRPr="00C45F92">
        <w:rPr>
          <w:rFonts w:asciiTheme="minorHAnsi" w:hAnsiTheme="minorHAnsi" w:cstheme="minorHAnsi"/>
          <w:color w:val="000000"/>
          <w:szCs w:val="24"/>
          <w:lang w:val="lt-LT"/>
        </w:rPr>
        <w:t xml:space="preserve"> 7 punkte </w:t>
      </w:r>
      <w:r w:rsidR="00B7174B" w:rsidRPr="00C45F92">
        <w:rPr>
          <w:rFonts w:asciiTheme="minorHAnsi" w:hAnsiTheme="minorHAnsi" w:cstheme="minorHAnsi"/>
          <w:color w:val="000000"/>
          <w:szCs w:val="24"/>
          <w:lang w:val="lt-LT"/>
        </w:rPr>
        <w:t>nu</w:t>
      </w:r>
      <w:r w:rsidR="00D7395B" w:rsidRPr="00C45F92">
        <w:rPr>
          <w:rFonts w:asciiTheme="minorHAnsi" w:hAnsiTheme="minorHAnsi" w:cstheme="minorHAnsi"/>
          <w:color w:val="000000"/>
          <w:szCs w:val="24"/>
          <w:lang w:val="lt-LT"/>
        </w:rPr>
        <w:t>statyta</w:t>
      </w:r>
      <w:r w:rsidR="00B7174B" w:rsidRPr="00C45F92">
        <w:rPr>
          <w:rFonts w:asciiTheme="minorHAnsi" w:hAnsiTheme="minorHAnsi" w:cstheme="minorHAnsi"/>
          <w:color w:val="000000"/>
          <w:szCs w:val="24"/>
          <w:lang w:val="lt-LT"/>
        </w:rPr>
        <w:t xml:space="preserve">, kad </w:t>
      </w:r>
      <w:r w:rsidR="003C107B" w:rsidRPr="00C45F92">
        <w:rPr>
          <w:rFonts w:asciiTheme="minorHAnsi" w:hAnsiTheme="minorHAnsi" w:cstheme="minorHAnsi"/>
          <w:b/>
          <w:bCs/>
          <w:color w:val="000000"/>
          <w:szCs w:val="24"/>
          <w:lang w:val="lt-LT"/>
        </w:rPr>
        <w:t>sutarties trukmė 12 mėnesių</w:t>
      </w:r>
      <w:r w:rsidR="003C107B" w:rsidRPr="00C45F92">
        <w:rPr>
          <w:rFonts w:asciiTheme="minorHAnsi" w:hAnsiTheme="minorHAnsi" w:cstheme="minorHAnsi"/>
          <w:color w:val="000000"/>
          <w:szCs w:val="24"/>
          <w:lang w:val="lt-LT"/>
        </w:rPr>
        <w:t xml:space="preserve"> su galimybe </w:t>
      </w:r>
      <w:r w:rsidR="005D4B7D" w:rsidRPr="00C45F92">
        <w:rPr>
          <w:rFonts w:asciiTheme="minorHAnsi" w:hAnsiTheme="minorHAnsi" w:cstheme="minorHAnsi"/>
          <w:color w:val="000000"/>
          <w:szCs w:val="24"/>
          <w:lang w:val="lt-LT"/>
        </w:rPr>
        <w:t>pratęsti du kartus po 12 mėnesių</w:t>
      </w:r>
      <w:r w:rsidR="00063C8A" w:rsidRPr="00C45F92">
        <w:rPr>
          <w:rFonts w:asciiTheme="minorHAnsi" w:hAnsiTheme="minorHAnsi" w:cstheme="minorHAnsi"/>
          <w:color w:val="000000"/>
          <w:szCs w:val="24"/>
          <w:lang w:val="lt-LT"/>
        </w:rPr>
        <w:t xml:space="preserve">, tačiau </w:t>
      </w:r>
      <w:r w:rsidR="007D1E67" w:rsidRPr="00C45F92">
        <w:rPr>
          <w:rFonts w:asciiTheme="minorHAnsi" w:hAnsiTheme="minorHAnsi" w:cstheme="minorHAnsi"/>
          <w:color w:val="000000"/>
          <w:szCs w:val="24"/>
          <w:lang w:val="lt-LT"/>
        </w:rPr>
        <w:t xml:space="preserve">Pirkimo </w:t>
      </w:r>
      <w:r w:rsidR="000E5525">
        <w:rPr>
          <w:rFonts w:asciiTheme="minorHAnsi" w:hAnsiTheme="minorHAnsi" w:cstheme="minorHAnsi"/>
          <w:color w:val="000000"/>
          <w:szCs w:val="24"/>
          <w:lang w:val="lt-LT"/>
        </w:rPr>
        <w:t>sąlygų</w:t>
      </w:r>
      <w:r w:rsidR="007D1E67" w:rsidRPr="00C45F92">
        <w:rPr>
          <w:rFonts w:asciiTheme="minorHAnsi" w:hAnsiTheme="minorHAnsi" w:cstheme="minorHAnsi"/>
          <w:color w:val="000000"/>
          <w:szCs w:val="24"/>
          <w:lang w:val="lt-LT"/>
        </w:rPr>
        <w:t xml:space="preserve"> </w:t>
      </w:r>
      <w:r w:rsidR="00FC0C1F" w:rsidRPr="00C45F92">
        <w:rPr>
          <w:rFonts w:asciiTheme="minorHAnsi" w:hAnsiTheme="minorHAnsi" w:cstheme="minorHAnsi"/>
          <w:color w:val="000000"/>
          <w:szCs w:val="24"/>
          <w:lang w:val="lt-LT"/>
        </w:rPr>
        <w:t xml:space="preserve">3 priedo „Pirkimo sutarties projektas“ (toliau-Sutarties projektas) </w:t>
      </w:r>
      <w:r w:rsidR="00F76B9D" w:rsidRPr="00C45F92">
        <w:rPr>
          <w:rFonts w:asciiTheme="minorHAnsi" w:hAnsiTheme="minorHAnsi" w:cstheme="minorHAnsi"/>
          <w:color w:val="000000"/>
          <w:szCs w:val="24"/>
          <w:lang w:val="lt-LT"/>
        </w:rPr>
        <w:t xml:space="preserve">Specialiosios dalies </w:t>
      </w:r>
      <w:r w:rsidR="003F6E64" w:rsidRPr="00C45F92">
        <w:rPr>
          <w:rFonts w:asciiTheme="minorHAnsi" w:hAnsiTheme="minorHAnsi" w:cstheme="minorHAnsi"/>
          <w:color w:val="000000"/>
          <w:szCs w:val="24"/>
          <w:lang w:val="lt-LT"/>
        </w:rPr>
        <w:t>5 punkte nu</w:t>
      </w:r>
      <w:r w:rsidR="00D7395B" w:rsidRPr="00C45F92">
        <w:rPr>
          <w:rFonts w:asciiTheme="minorHAnsi" w:hAnsiTheme="minorHAnsi" w:cstheme="minorHAnsi"/>
          <w:color w:val="000000"/>
          <w:szCs w:val="24"/>
          <w:lang w:val="lt-LT"/>
        </w:rPr>
        <w:t>statyta</w:t>
      </w:r>
      <w:r w:rsidR="003F6E64" w:rsidRPr="00C45F92">
        <w:rPr>
          <w:rFonts w:asciiTheme="minorHAnsi" w:hAnsiTheme="minorHAnsi" w:cstheme="minorHAnsi"/>
          <w:color w:val="000000"/>
          <w:szCs w:val="24"/>
          <w:lang w:val="lt-LT"/>
        </w:rPr>
        <w:t>, kad „</w:t>
      </w:r>
      <w:r w:rsidR="003F6E64" w:rsidRPr="00C45F92">
        <w:rPr>
          <w:rFonts w:asciiTheme="minorHAnsi" w:hAnsiTheme="minorHAnsi" w:cstheme="minorHAnsi"/>
          <w:b/>
          <w:bCs/>
          <w:color w:val="000000"/>
          <w:szCs w:val="24"/>
          <w:lang w:val="lt-LT"/>
        </w:rPr>
        <w:t>Darbų atlikimo terminai 12 mėnesių</w:t>
      </w:r>
      <w:r w:rsidR="005243FA" w:rsidRPr="00C45F92">
        <w:rPr>
          <w:rFonts w:asciiTheme="minorHAnsi" w:hAnsiTheme="minorHAnsi" w:cstheme="minorHAnsi"/>
          <w:color w:val="000000"/>
          <w:szCs w:val="24"/>
          <w:lang w:val="lt-LT"/>
        </w:rPr>
        <w:t>. Sutartis gali būti pratęsta du kartus po 12 mėnesių“</w:t>
      </w:r>
      <w:r w:rsidR="00707B67" w:rsidRPr="00C45F92">
        <w:rPr>
          <w:rFonts w:asciiTheme="minorHAnsi" w:hAnsiTheme="minorHAnsi" w:cstheme="minorHAnsi"/>
          <w:color w:val="000000"/>
          <w:szCs w:val="24"/>
          <w:lang w:val="lt-LT"/>
        </w:rPr>
        <w:t>, 4 punkte nustatytas atsiskaitymo terminas 60 kalendori</w:t>
      </w:r>
      <w:r w:rsidR="00DD1548" w:rsidRPr="00C45F92">
        <w:rPr>
          <w:rFonts w:asciiTheme="minorHAnsi" w:hAnsiTheme="minorHAnsi" w:cstheme="minorHAnsi"/>
          <w:color w:val="000000"/>
          <w:szCs w:val="24"/>
          <w:lang w:val="lt-LT"/>
        </w:rPr>
        <w:t xml:space="preserve">nių dienų. </w:t>
      </w:r>
      <w:r w:rsidR="002104B2" w:rsidRPr="00C45F92">
        <w:rPr>
          <w:rFonts w:asciiTheme="minorHAnsi" w:hAnsiTheme="minorHAnsi" w:cstheme="minorHAnsi"/>
          <w:color w:val="000000"/>
          <w:szCs w:val="24"/>
          <w:shd w:val="clear" w:color="auto" w:fill="FFFFFF"/>
        </w:rPr>
        <w:t>Tarnyba primena, jog skelbimo II.2.7 punkte turi būti pateikiama informacija apie sutarties trukmę</w:t>
      </w:r>
      <w:r w:rsidR="002104B2" w:rsidRPr="00C45F92">
        <w:rPr>
          <w:rFonts w:asciiTheme="minorHAnsi" w:hAnsiTheme="minorHAnsi" w:cstheme="minorHAnsi"/>
          <w:b/>
          <w:bCs/>
          <w:color w:val="000000"/>
          <w:szCs w:val="24"/>
          <w:shd w:val="clear" w:color="auto" w:fill="FFFFFF"/>
        </w:rPr>
        <w:t xml:space="preserve">, </w:t>
      </w:r>
      <w:r w:rsidR="002104B2" w:rsidRPr="00C45F92">
        <w:rPr>
          <w:rFonts w:asciiTheme="minorHAnsi" w:hAnsiTheme="minorHAnsi" w:cstheme="minorHAnsi"/>
          <w:b/>
          <w:bCs/>
          <w:szCs w:val="24"/>
        </w:rPr>
        <w:t>įvertinus ne tik darbų atlikimo terminą, bet ir abipusių įsipareigojimų įvykdymo terminą</w:t>
      </w:r>
      <w:r w:rsidR="002104B2" w:rsidRPr="00C45F92">
        <w:rPr>
          <w:rFonts w:asciiTheme="minorHAnsi" w:hAnsiTheme="minorHAnsi" w:cstheme="minorHAnsi"/>
          <w:szCs w:val="24"/>
          <w:vertAlign w:val="superscript"/>
        </w:rPr>
        <w:footnoteReference w:id="2"/>
      </w:r>
      <w:r w:rsidR="002104B2" w:rsidRPr="00C45F92">
        <w:rPr>
          <w:rFonts w:asciiTheme="minorHAnsi" w:hAnsiTheme="minorHAnsi" w:cstheme="minorHAnsi"/>
          <w:szCs w:val="24"/>
        </w:rPr>
        <w:t>.</w:t>
      </w:r>
    </w:p>
    <w:p w14:paraId="73F8AE99" w14:textId="77777777" w:rsidR="006C4EF1" w:rsidRDefault="006F4725" w:rsidP="00436871">
      <w:pPr>
        <w:tabs>
          <w:tab w:val="left" w:pos="0"/>
        </w:tabs>
        <w:spacing w:after="0" w:line="276" w:lineRule="auto"/>
        <w:ind w:firstLine="709"/>
        <w:rPr>
          <w:rFonts w:cstheme="minorHAnsi"/>
          <w:sz w:val="24"/>
          <w:szCs w:val="24"/>
        </w:rPr>
      </w:pPr>
      <w:r w:rsidRPr="00C45F92">
        <w:rPr>
          <w:rFonts w:cstheme="minorHAnsi"/>
          <w:sz w:val="24"/>
          <w:szCs w:val="24"/>
        </w:rPr>
        <w:t>Pažymėtina, kad jeigu yra prieštaravimų ar neatitikimų tarp skelbime apie pirkimą paskelbtos informacijos ir kitų pirkimo dokumentų nuostatų, skelbime apie pirkimą pateikta informacija laikoma teisinga (Įstatymo 35 straipsnio 3 dalis).</w:t>
      </w:r>
      <w:r w:rsidR="00436871">
        <w:rPr>
          <w:rFonts w:cstheme="minorHAnsi"/>
          <w:sz w:val="24"/>
          <w:szCs w:val="24"/>
        </w:rPr>
        <w:t xml:space="preserve"> </w:t>
      </w:r>
    </w:p>
    <w:p w14:paraId="6B60BE32" w14:textId="45EACBEB" w:rsidR="00163784" w:rsidRDefault="00163784" w:rsidP="00436871">
      <w:pPr>
        <w:tabs>
          <w:tab w:val="left" w:pos="0"/>
        </w:tabs>
        <w:spacing w:after="0" w:line="276" w:lineRule="auto"/>
        <w:ind w:firstLine="709"/>
        <w:rPr>
          <w:rFonts w:cstheme="minorHAnsi"/>
          <w:sz w:val="24"/>
          <w:szCs w:val="24"/>
        </w:rPr>
      </w:pPr>
      <w:r w:rsidRPr="00C45F92">
        <w:rPr>
          <w:rFonts w:cstheme="minorHAnsi"/>
          <w:sz w:val="24"/>
          <w:szCs w:val="24"/>
        </w:rPr>
        <w:t xml:space="preserve">Atsižvelgiant į tai, Tarnyba rekomenduoja tikslinti skelbimo apie </w:t>
      </w:r>
      <w:r w:rsidR="006A7BA5">
        <w:rPr>
          <w:rFonts w:cstheme="minorHAnsi"/>
          <w:sz w:val="24"/>
          <w:szCs w:val="24"/>
        </w:rPr>
        <w:t>P</w:t>
      </w:r>
      <w:r w:rsidRPr="00C45F92">
        <w:rPr>
          <w:rFonts w:cstheme="minorHAnsi"/>
          <w:sz w:val="24"/>
          <w:szCs w:val="24"/>
        </w:rPr>
        <w:t>irkimą II.2.7 punktą</w:t>
      </w:r>
      <w:r w:rsidR="00011486" w:rsidRPr="00C45F92">
        <w:rPr>
          <w:rFonts w:cstheme="minorHAnsi"/>
          <w:sz w:val="24"/>
          <w:szCs w:val="24"/>
        </w:rPr>
        <w:t xml:space="preserve"> ir </w:t>
      </w:r>
      <w:r w:rsidR="00091B2C">
        <w:rPr>
          <w:rFonts w:cstheme="minorHAnsi"/>
          <w:sz w:val="24"/>
          <w:szCs w:val="24"/>
        </w:rPr>
        <w:t xml:space="preserve">(ar) </w:t>
      </w:r>
      <w:r w:rsidR="00011486" w:rsidRPr="00C45F92">
        <w:rPr>
          <w:rFonts w:cstheme="minorHAnsi"/>
          <w:sz w:val="24"/>
          <w:szCs w:val="24"/>
        </w:rPr>
        <w:t xml:space="preserve">kitus Pirkimo dokumentus, </w:t>
      </w:r>
      <w:r w:rsidR="00091B2C">
        <w:rPr>
          <w:rFonts w:cstheme="minorHAnsi"/>
          <w:sz w:val="24"/>
          <w:szCs w:val="24"/>
        </w:rPr>
        <w:t xml:space="preserve">įvertinus planuojamą darbų atlikimo terminą, atsiskaitymo su tiekėjais terminus </w:t>
      </w:r>
      <w:r w:rsidR="00976C44">
        <w:rPr>
          <w:rFonts w:cstheme="minorHAnsi"/>
          <w:sz w:val="24"/>
          <w:szCs w:val="24"/>
        </w:rPr>
        <w:t xml:space="preserve">bei nustatytą sutarties trukmę (tikslinti arba darbų atlikimo terminą, arba sutarties galiojimą). </w:t>
      </w:r>
    </w:p>
    <w:p w14:paraId="32E1ABAD" w14:textId="77777777" w:rsidR="002363E5" w:rsidRPr="00C45F92" w:rsidRDefault="002363E5" w:rsidP="00436871">
      <w:pPr>
        <w:tabs>
          <w:tab w:val="left" w:pos="0"/>
        </w:tabs>
        <w:spacing w:after="0" w:line="276" w:lineRule="auto"/>
        <w:ind w:firstLine="709"/>
        <w:rPr>
          <w:rFonts w:cstheme="minorHAnsi"/>
          <w:sz w:val="24"/>
          <w:szCs w:val="24"/>
        </w:rPr>
      </w:pPr>
    </w:p>
    <w:p w14:paraId="3DA4B740" w14:textId="0143EDD6" w:rsidR="00A5350F" w:rsidRPr="00977DF2" w:rsidRDefault="002363E5" w:rsidP="00977DF2">
      <w:pPr>
        <w:pStyle w:val="Default"/>
        <w:spacing w:line="276" w:lineRule="auto"/>
        <w:rPr>
          <w:rFonts w:asciiTheme="minorHAnsi" w:hAnsiTheme="minorHAnsi" w:cstheme="minorHAnsi"/>
        </w:rPr>
      </w:pPr>
      <w:r w:rsidRPr="00977DF2">
        <w:rPr>
          <w:rFonts w:asciiTheme="minorHAnsi" w:hAnsiTheme="minorHAnsi" w:cstheme="minorHAnsi"/>
          <w:b/>
          <w:bCs/>
          <w:lang w:val="lt-LT"/>
        </w:rPr>
        <w:t xml:space="preserve">            </w:t>
      </w:r>
      <w:r w:rsidR="00F15F64" w:rsidRPr="00977DF2">
        <w:rPr>
          <w:rFonts w:asciiTheme="minorHAnsi" w:hAnsiTheme="minorHAnsi" w:cstheme="minorHAnsi"/>
          <w:b/>
          <w:bCs/>
          <w:lang w:val="lt-LT"/>
        </w:rPr>
        <w:t>2.3.</w:t>
      </w:r>
      <w:r w:rsidR="00F15F64" w:rsidRPr="00977DF2">
        <w:rPr>
          <w:rFonts w:asciiTheme="minorHAnsi" w:hAnsiTheme="minorHAnsi" w:cstheme="minorHAnsi"/>
          <w:lang w:val="lt-LT"/>
        </w:rPr>
        <w:t xml:space="preserve"> </w:t>
      </w:r>
      <w:r w:rsidR="001851C6" w:rsidRPr="00977DF2">
        <w:rPr>
          <w:rFonts w:asciiTheme="minorHAnsi" w:hAnsiTheme="minorHAnsi" w:cstheme="minorHAnsi"/>
          <w:lang w:val="lt-LT"/>
        </w:rPr>
        <w:t xml:space="preserve">Skelbimo apie Pirkimą II.1.6 dalyje </w:t>
      </w:r>
      <w:r w:rsidR="00580433" w:rsidRPr="00977DF2">
        <w:rPr>
          <w:rFonts w:asciiTheme="minorHAnsi" w:hAnsiTheme="minorHAnsi" w:cstheme="minorHAnsi"/>
          <w:lang w:val="lt-LT"/>
        </w:rPr>
        <w:t xml:space="preserve">nustatyta, kad sutartis suskaidyta į pirkimo dalis </w:t>
      </w:r>
      <w:r w:rsidR="0024726E" w:rsidRPr="00977DF2">
        <w:rPr>
          <w:rFonts w:asciiTheme="minorHAnsi" w:hAnsiTheme="minorHAnsi" w:cstheme="minorHAnsi"/>
          <w:lang w:val="lt-LT"/>
        </w:rPr>
        <w:t>ir „Pasiūlymai gali būti teikiami dėl visų pirkimo dalių“.</w:t>
      </w:r>
      <w:r w:rsidR="00AE2D72" w:rsidRPr="00977DF2">
        <w:rPr>
          <w:rFonts w:asciiTheme="minorHAnsi" w:hAnsiTheme="minorHAnsi" w:cstheme="minorHAnsi"/>
          <w:lang w:val="lt-LT"/>
        </w:rPr>
        <w:t xml:space="preserve"> </w:t>
      </w:r>
      <w:r w:rsidR="00102B92" w:rsidRPr="00977DF2">
        <w:rPr>
          <w:rFonts w:asciiTheme="minorHAnsi" w:hAnsiTheme="minorHAnsi" w:cstheme="minorHAnsi"/>
          <w:lang w:val="lt-LT"/>
        </w:rPr>
        <w:t xml:space="preserve">Įstatymo 28 straipsnio </w:t>
      </w:r>
      <w:r w:rsidR="002602A6" w:rsidRPr="00977DF2">
        <w:rPr>
          <w:rFonts w:asciiTheme="minorHAnsi" w:hAnsiTheme="minorHAnsi" w:cstheme="minorHAnsi"/>
          <w:lang w:val="lt-LT"/>
        </w:rPr>
        <w:t>4 dalyje nustatyta, kad „</w:t>
      </w:r>
      <w:r w:rsidR="00A5350F" w:rsidRPr="00977DF2">
        <w:rPr>
          <w:rFonts w:asciiTheme="minorHAnsi" w:hAnsiTheme="minorHAnsi" w:cstheme="minorHAnsi"/>
        </w:rPr>
        <w:t>Kai pirkimo objektas skaidomas į dalis, perkančioji organizacija skelbime</w:t>
      </w:r>
      <w:r w:rsidR="00A5350F" w:rsidRPr="00977DF2">
        <w:rPr>
          <w:rFonts w:asciiTheme="minorHAnsi" w:hAnsiTheme="minorHAnsi" w:cstheme="minorHAnsi"/>
          <w:b/>
          <w:bCs/>
        </w:rPr>
        <w:t xml:space="preserve"> </w:t>
      </w:r>
      <w:r w:rsidR="00A5350F" w:rsidRPr="00977DF2">
        <w:rPr>
          <w:rFonts w:asciiTheme="minorHAnsi" w:hAnsiTheme="minorHAnsi" w:cstheme="minorHAnsi"/>
        </w:rPr>
        <w:t>apie pirkimą</w:t>
      </w:r>
      <w:r w:rsidR="00B655EC" w:rsidRPr="00977DF2">
        <w:rPr>
          <w:rFonts w:asciiTheme="minorHAnsi" w:hAnsiTheme="minorHAnsi" w:cstheme="minorHAnsi"/>
        </w:rPr>
        <w:t xml:space="preserve"> </w:t>
      </w:r>
      <w:r w:rsidR="00A5350F" w:rsidRPr="00977DF2">
        <w:rPr>
          <w:rFonts w:asciiTheme="minorHAnsi" w:hAnsiTheme="minorHAnsi" w:cstheme="minorHAnsi"/>
        </w:rPr>
        <w:t xml:space="preserve">kvietime patvirtinti susidomėjimą ar kituose pirkimo dokumentuose, kuriais kviečiama dalyvauti pirkime, nurodo: </w:t>
      </w:r>
    </w:p>
    <w:p w14:paraId="28FFDB9F" w14:textId="2EEB90AE" w:rsidR="0039206B" w:rsidRPr="00977DF2" w:rsidRDefault="00A5350F" w:rsidP="00977DF2">
      <w:pPr>
        <w:pStyle w:val="Point1"/>
        <w:spacing w:before="0" w:after="0" w:line="276" w:lineRule="auto"/>
        <w:ind w:left="0" w:firstLine="0"/>
        <w:jc w:val="left"/>
        <w:rPr>
          <w:rFonts w:asciiTheme="minorHAnsi" w:hAnsiTheme="minorHAnsi" w:cstheme="minorHAnsi"/>
          <w:color w:val="000000"/>
          <w:szCs w:val="24"/>
          <w:lang w:val="lt-LT"/>
        </w:rPr>
      </w:pPr>
      <w:r w:rsidRPr="00977DF2">
        <w:rPr>
          <w:rFonts w:asciiTheme="minorHAnsi" w:eastAsiaTheme="minorHAnsi" w:hAnsiTheme="minorHAnsi" w:cstheme="minorHAnsi"/>
          <w:color w:val="000000"/>
          <w:szCs w:val="24"/>
          <w:lang w:val="en-US"/>
          <w14:ligatures w14:val="standardContextual"/>
        </w:rPr>
        <w:t>1) dėl kelių pirkimo objekto dalių (</w:t>
      </w:r>
      <w:r w:rsidRPr="00C932F2">
        <w:rPr>
          <w:rFonts w:asciiTheme="minorHAnsi" w:eastAsiaTheme="minorHAnsi" w:hAnsiTheme="minorHAnsi" w:cstheme="minorHAnsi"/>
          <w:b/>
          <w:bCs/>
          <w:color w:val="000000"/>
          <w:szCs w:val="24"/>
          <w:lang w:val="en-US"/>
          <w14:ligatures w14:val="standardContextual"/>
        </w:rPr>
        <w:t>vienos, dviejų ar daugiau</w:t>
      </w:r>
      <w:r w:rsidRPr="00977DF2">
        <w:rPr>
          <w:rFonts w:asciiTheme="minorHAnsi" w:eastAsiaTheme="minorHAnsi" w:hAnsiTheme="minorHAnsi" w:cstheme="minorHAnsi"/>
          <w:color w:val="000000"/>
          <w:szCs w:val="24"/>
          <w:lang w:val="en-US"/>
          <w14:ligatures w14:val="standardContextual"/>
        </w:rPr>
        <w:t>) tas pats tiekėjas gali pateikti pasiūlymą</w:t>
      </w:r>
      <w:r w:rsidR="00B655EC" w:rsidRPr="00977DF2">
        <w:rPr>
          <w:rFonts w:asciiTheme="minorHAnsi" w:eastAsiaTheme="minorHAnsi" w:hAnsiTheme="minorHAnsi" w:cstheme="minorHAnsi"/>
          <w:color w:val="000000"/>
          <w:szCs w:val="24"/>
          <w:lang w:val="en-US"/>
          <w14:ligatures w14:val="standardContextual"/>
        </w:rPr>
        <w:t>”.</w:t>
      </w:r>
    </w:p>
    <w:p w14:paraId="48507A59" w14:textId="500E4B87" w:rsidR="00B63A51" w:rsidRPr="00977DF2" w:rsidRDefault="00977DF2" w:rsidP="00977DF2">
      <w:pPr>
        <w:pStyle w:val="Point1"/>
        <w:spacing w:before="0" w:after="0" w:line="276" w:lineRule="auto"/>
        <w:ind w:left="0" w:firstLine="0"/>
        <w:jc w:val="left"/>
        <w:rPr>
          <w:rFonts w:asciiTheme="minorHAnsi" w:hAnsiTheme="minorHAnsi" w:cstheme="minorHAnsi"/>
          <w:color w:val="000000"/>
          <w:szCs w:val="24"/>
          <w:lang w:val="lt-LT"/>
        </w:rPr>
      </w:pPr>
      <w:r>
        <w:rPr>
          <w:rFonts w:asciiTheme="minorHAnsi" w:hAnsiTheme="minorHAnsi" w:cstheme="minorHAnsi"/>
          <w:color w:val="000000"/>
          <w:szCs w:val="24"/>
          <w:lang w:val="lt-LT"/>
        </w:rPr>
        <w:t xml:space="preserve">           </w:t>
      </w:r>
      <w:r w:rsidR="00BA4D4F" w:rsidRPr="00977DF2">
        <w:rPr>
          <w:rFonts w:asciiTheme="minorHAnsi" w:hAnsiTheme="minorHAnsi" w:cstheme="minorHAnsi"/>
          <w:color w:val="000000"/>
          <w:szCs w:val="24"/>
          <w:lang w:val="lt-LT"/>
        </w:rPr>
        <w:t xml:space="preserve">Atsižvelgiant į nurodyta, </w:t>
      </w:r>
      <w:r w:rsidR="00B63A51" w:rsidRPr="00977DF2">
        <w:rPr>
          <w:rFonts w:asciiTheme="minorHAnsi" w:hAnsiTheme="minorHAnsi" w:cstheme="minorHAnsi"/>
          <w:color w:val="000000"/>
          <w:szCs w:val="24"/>
          <w:lang w:val="lt-LT"/>
        </w:rPr>
        <w:t xml:space="preserve">Tarnyba rekomenduoja </w:t>
      </w:r>
      <w:r w:rsidR="00BA4D4F" w:rsidRPr="00977DF2">
        <w:rPr>
          <w:rFonts w:asciiTheme="minorHAnsi" w:hAnsiTheme="minorHAnsi" w:cstheme="minorHAnsi"/>
          <w:color w:val="000000"/>
          <w:szCs w:val="24"/>
          <w:lang w:val="lt-LT"/>
        </w:rPr>
        <w:t xml:space="preserve">patikslinti </w:t>
      </w:r>
      <w:r w:rsidR="005D1F5F" w:rsidRPr="00977DF2">
        <w:rPr>
          <w:rFonts w:asciiTheme="minorHAnsi" w:hAnsiTheme="minorHAnsi" w:cstheme="minorHAnsi"/>
          <w:color w:val="000000"/>
          <w:szCs w:val="24"/>
          <w:lang w:val="lt-LT"/>
        </w:rPr>
        <w:t xml:space="preserve">Skelbimo II.1.6 dalį, </w:t>
      </w:r>
      <w:r w:rsidR="00976C44">
        <w:rPr>
          <w:rFonts w:asciiTheme="minorHAnsi" w:hAnsiTheme="minorHAnsi" w:cstheme="minorHAnsi"/>
          <w:color w:val="000000"/>
          <w:szCs w:val="24"/>
          <w:lang w:val="lt-LT"/>
        </w:rPr>
        <w:t xml:space="preserve">aiškiai </w:t>
      </w:r>
      <w:r w:rsidR="00BC695E" w:rsidRPr="00977DF2">
        <w:rPr>
          <w:rFonts w:asciiTheme="minorHAnsi" w:hAnsiTheme="minorHAnsi" w:cstheme="minorHAnsi"/>
          <w:color w:val="000000"/>
          <w:szCs w:val="24"/>
          <w:lang w:val="lt-LT"/>
        </w:rPr>
        <w:t>nurodant dėl kelių pirkimo objekto dalių tas pats tiekėjas gali pateikti pasiūlymą.</w:t>
      </w:r>
    </w:p>
    <w:p w14:paraId="15AD94D5" w14:textId="77777777" w:rsidR="007D1393" w:rsidRDefault="007D1393"/>
    <w:p w14:paraId="54649BA6" w14:textId="77777777" w:rsidR="007D1393" w:rsidRPr="00484859" w:rsidRDefault="007D1393" w:rsidP="007D1393">
      <w:pPr>
        <w:spacing w:line="276" w:lineRule="auto"/>
        <w:rPr>
          <w:rFonts w:cstheme="minorHAnsi"/>
          <w:bCs/>
          <w:sz w:val="24"/>
          <w:szCs w:val="24"/>
          <w:lang w:val="lt-LT"/>
        </w:rPr>
      </w:pPr>
      <w:r w:rsidRPr="00281485">
        <w:rPr>
          <w:rFonts w:ascii="Times New Roman" w:hAnsi="Times New Roman" w:cs="Times New Roman"/>
          <w:sz w:val="24"/>
          <w:szCs w:val="24"/>
        </w:rPr>
        <w:t xml:space="preserve">      </w:t>
      </w:r>
      <w:r w:rsidRPr="00484859">
        <w:rPr>
          <w:rFonts w:cstheme="minorHAnsi"/>
          <w:bCs/>
          <w:sz w:val="24"/>
          <w:szCs w:val="24"/>
          <w:lang w:val="lt"/>
        </w:rPr>
        <w:t xml:space="preserve">Atsižvelgiant į aukščiau išdėstytą, Tarnyba rekomenduoja peržiūrėti ir patikslinti Pirkimo dokumentų nuostatas pagal pateiktą Rekomendaciją. Primename, kad Perkančioji organizacija, patikslinusi Pirkimo dokumentus, turi visus pakeitimus paskelbti viešai CVP IS ir prireikus pratęsti pasiūlymų pateikimo terminą protingumo kriterijų atitinkančiam laikotarpiui, per kurį tiekėjai, rengdami pasiūlymus, galėtų atsižvelgti į patikslinimus. Pažymėtina, kad visais atvejais sprendimą dėl tolimesnio Pirkimo procedūrų vykdymo ar nutraukimo priima pati Perkančioji organizacija, vadovaudamasi </w:t>
      </w:r>
      <w:r w:rsidRPr="00484859">
        <w:rPr>
          <w:rFonts w:cstheme="minorHAnsi"/>
          <w:bCs/>
          <w:sz w:val="24"/>
          <w:szCs w:val="24"/>
          <w:lang w:val="lt-LT"/>
        </w:rPr>
        <w:t>Įstatymo 29 straipsnio 3</w:t>
      </w:r>
      <w:r w:rsidRPr="00484859">
        <w:rPr>
          <w:rFonts w:cstheme="minorHAnsi"/>
          <w:bCs/>
          <w:sz w:val="24"/>
          <w:szCs w:val="24"/>
          <w:vertAlign w:val="superscript"/>
          <w:lang w:val="lt-LT"/>
        </w:rPr>
        <w:footnoteReference w:id="3"/>
      </w:r>
      <w:r w:rsidRPr="00484859">
        <w:rPr>
          <w:rFonts w:cstheme="minorHAnsi"/>
          <w:bCs/>
          <w:sz w:val="24"/>
          <w:szCs w:val="24"/>
          <w:lang w:val="lt-LT"/>
        </w:rPr>
        <w:t xml:space="preserve"> ir 4</w:t>
      </w:r>
      <w:r w:rsidRPr="00484859">
        <w:rPr>
          <w:rFonts w:cstheme="minorHAnsi"/>
          <w:bCs/>
          <w:sz w:val="24"/>
          <w:szCs w:val="24"/>
          <w:vertAlign w:val="superscript"/>
          <w:lang w:val="lt-LT"/>
        </w:rPr>
        <w:footnoteReference w:id="4"/>
      </w:r>
      <w:r w:rsidRPr="00484859">
        <w:rPr>
          <w:rFonts w:cstheme="minorHAnsi"/>
          <w:bCs/>
          <w:sz w:val="24"/>
          <w:szCs w:val="24"/>
          <w:lang w:val="lt-LT"/>
        </w:rPr>
        <w:t xml:space="preserve"> dalių nuostatomis.</w:t>
      </w:r>
    </w:p>
    <w:p w14:paraId="35A88C16" w14:textId="77777777" w:rsidR="007D1393" w:rsidRDefault="007D1393"/>
    <w:sectPr w:rsidR="007D13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EE89" w14:textId="77777777" w:rsidR="007A280A" w:rsidRDefault="007A280A" w:rsidP="007D1393">
      <w:pPr>
        <w:spacing w:after="0" w:line="240" w:lineRule="auto"/>
      </w:pPr>
      <w:r>
        <w:separator/>
      </w:r>
    </w:p>
  </w:endnote>
  <w:endnote w:type="continuationSeparator" w:id="0">
    <w:p w14:paraId="2093908B" w14:textId="77777777" w:rsidR="007A280A" w:rsidRDefault="007A280A" w:rsidP="007D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88AB" w14:textId="77777777" w:rsidR="007A280A" w:rsidRDefault="007A280A" w:rsidP="007D1393">
      <w:pPr>
        <w:spacing w:after="0" w:line="240" w:lineRule="auto"/>
      </w:pPr>
      <w:r>
        <w:separator/>
      </w:r>
    </w:p>
  </w:footnote>
  <w:footnote w:type="continuationSeparator" w:id="0">
    <w:p w14:paraId="3A32C638" w14:textId="77777777" w:rsidR="007A280A" w:rsidRDefault="007A280A" w:rsidP="007D1393">
      <w:pPr>
        <w:spacing w:after="0" w:line="240" w:lineRule="auto"/>
      </w:pPr>
      <w:r>
        <w:continuationSeparator/>
      </w:r>
    </w:p>
  </w:footnote>
  <w:footnote w:id="1">
    <w:p w14:paraId="56EB34E3" w14:textId="77777777" w:rsidR="00F13CD9" w:rsidRPr="00947C2A" w:rsidRDefault="00F13CD9" w:rsidP="00F13CD9">
      <w:pPr>
        <w:pStyle w:val="FootnoteText"/>
        <w:rPr>
          <w:rFonts w:cstheme="minorHAnsi"/>
        </w:rPr>
      </w:pPr>
      <w:r w:rsidRPr="00947C2A">
        <w:rPr>
          <w:rStyle w:val="FootnoteReference"/>
          <w:rFonts w:cstheme="minorHAnsi"/>
        </w:rPr>
        <w:footnoteRef/>
      </w:r>
      <w:r w:rsidRPr="00947C2A">
        <w:rPr>
          <w:rFonts w:cstheme="minorHAnsi"/>
        </w:rPr>
        <w:t xml:space="preserve"> Tiekėjo kvalifikacijos reikalavimų nustatymo metodik</w:t>
      </w:r>
      <w:r>
        <w:rPr>
          <w:rFonts w:cstheme="minorHAnsi"/>
        </w:rPr>
        <w:t>a, p</w:t>
      </w:r>
      <w:r w:rsidRPr="00947C2A">
        <w:rPr>
          <w:rFonts w:cstheme="minorHAnsi"/>
        </w:rPr>
        <w:t>atvirtinta Viešųjų pirkimų tarnybos direktoriaus 2017 m. birželio 29 d. įsakymu Nr. 1S-105 „Dėl Tiekėjo kvalifikacijos reikalavimų nustatymo metodikos patvirtinimo“</w:t>
      </w:r>
      <w:r>
        <w:rPr>
          <w:rFonts w:cstheme="minorHAnsi"/>
        </w:rPr>
        <w:t xml:space="preserve"> (aktuali redakcija)</w:t>
      </w:r>
      <w:r w:rsidRPr="00947C2A">
        <w:rPr>
          <w:rFonts w:cstheme="minorHAnsi"/>
        </w:rPr>
        <w:t>.</w:t>
      </w:r>
    </w:p>
  </w:footnote>
  <w:footnote w:id="2">
    <w:p w14:paraId="386830E1" w14:textId="77777777" w:rsidR="002104B2" w:rsidRPr="003565D7" w:rsidRDefault="002104B2" w:rsidP="002104B2">
      <w:pPr>
        <w:pStyle w:val="FootnoteText"/>
      </w:pPr>
      <w:r w:rsidRPr="003565D7">
        <w:rPr>
          <w:rStyle w:val="FootnoteReference"/>
        </w:rPr>
        <w:footnoteRef/>
      </w:r>
      <w:r w:rsidRPr="003565D7">
        <w:t xml:space="preserve"> Tarnybos direktoriaus 2017 m. birželio 21 d. įsakymu Nr. 1S-92 patvirtinto Skelbimų teikimo Viešųjų pirkimų tarnybai tvarkos ir reikalavimų skelbiamai supaprastintų pirkimų informacijai aprašo 12 punkto lentelės 12.21 papunktis dėl skelbimo II.2.7 dalies pildymo</w:t>
      </w:r>
    </w:p>
  </w:footnote>
  <w:footnote w:id="3">
    <w:p w14:paraId="43141C7B" w14:textId="77777777" w:rsidR="007D1393" w:rsidRPr="009E438D" w:rsidRDefault="007D1393" w:rsidP="007D1393">
      <w:pPr>
        <w:pStyle w:val="FootnoteText"/>
        <w:jc w:val="both"/>
        <w:rPr>
          <w:rFonts w:cstheme="minorHAnsi"/>
        </w:rPr>
      </w:pPr>
      <w:r w:rsidRPr="004E2975">
        <w:rPr>
          <w:rStyle w:val="FootnoteReference"/>
          <w:rFonts w:ascii="Times New Roman" w:hAnsi="Times New Roman" w:cs="Times New Roman"/>
        </w:rPr>
        <w:footnoteRef/>
      </w:r>
      <w:r w:rsidRPr="004E2975">
        <w:rPr>
          <w:rFonts w:ascii="Times New Roman" w:hAnsi="Times New Roman" w:cs="Times New Roman"/>
        </w:rPr>
        <w:t xml:space="preserve"> </w:t>
      </w:r>
      <w:r w:rsidRPr="004E2975">
        <w:rPr>
          <w:rFonts w:ascii="Times New Roman" w:hAnsi="Times New Roman" w:cs="Times New Roman"/>
          <w:i/>
          <w:iCs/>
        </w:rPr>
        <w:t>„</w:t>
      </w:r>
      <w:r w:rsidRPr="009E438D">
        <w:rPr>
          <w:rFonts w:cstheme="minorHAnsi"/>
          <w:bCs/>
          <w:color w:val="000000"/>
        </w:rPr>
        <w:t>Perkančioji</w:t>
      </w:r>
      <w:r w:rsidRPr="009E438D">
        <w:rPr>
          <w:rFonts w:cstheme="minorHAnsi"/>
          <w:color w:val="000000"/>
        </w:rPr>
        <w:t xml:space="preserve"> organizacija privalo </w:t>
      </w:r>
      <w:r w:rsidRPr="009E438D">
        <w:rPr>
          <w:rFonts w:cstheme="minorHAnsi"/>
          <w:bCs/>
          <w:color w:val="000000"/>
        </w:rPr>
        <w:t>nutraukti pradėtas pirkimo ar projekto konkurso procedūras</w:t>
      </w:r>
      <w:r w:rsidRPr="009E438D">
        <w:rPr>
          <w:rFonts w:cstheme="minorHAnsi"/>
          <w:color w:val="000000"/>
        </w:rPr>
        <w:t>, jeigu buvo pažeisti šio įstatymo 17 straipsnio 1 dalyje nustatyti principai ir atitinkamos padėties negalima ištaisyti.“</w:t>
      </w:r>
    </w:p>
  </w:footnote>
  <w:footnote w:id="4">
    <w:p w14:paraId="75956A1B" w14:textId="77777777" w:rsidR="007D1393" w:rsidRPr="009E438D" w:rsidRDefault="007D1393" w:rsidP="007D1393">
      <w:pPr>
        <w:pStyle w:val="FootnoteText"/>
        <w:jc w:val="both"/>
        <w:rPr>
          <w:rFonts w:cstheme="minorHAnsi"/>
          <w:i/>
          <w:iCs/>
        </w:rPr>
      </w:pPr>
      <w:r w:rsidRPr="009E438D">
        <w:rPr>
          <w:rStyle w:val="FootnoteReference"/>
          <w:rFonts w:cstheme="minorHAnsi"/>
        </w:rPr>
        <w:footnoteRef/>
      </w:r>
      <w:r w:rsidRPr="009E438D">
        <w:rPr>
          <w:rFonts w:cstheme="minorHAnsi"/>
        </w:rPr>
        <w:t>„</w:t>
      </w:r>
      <w:r w:rsidRPr="009E438D">
        <w:rPr>
          <w:rFonts w:cstheme="minorHAnsi"/>
          <w:bCs/>
          <w:color w:val="000000"/>
        </w:rPr>
        <w:t xml:space="preserve">Perkančioji organizacija turi teisę savo iniciatyva nutraukti pradėtas pirkimo ar projekto konkurso procedūras, jeigu atsirado aplinkybių, kurių nebuvo galima numatyti, arba </w:t>
      </w:r>
      <w:r w:rsidRPr="009E438D">
        <w:rPr>
          <w:rFonts w:cstheme="minorHAns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4A6"/>
    <w:multiLevelType w:val="multilevel"/>
    <w:tmpl w:val="AB78BD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D936AD"/>
    <w:multiLevelType w:val="multilevel"/>
    <w:tmpl w:val="861443C6"/>
    <w:lvl w:ilvl="0">
      <w:start w:val="1"/>
      <w:numFmt w:val="decimal"/>
      <w:lvlText w:val="%1."/>
      <w:lvlJc w:val="left"/>
      <w:pPr>
        <w:ind w:left="420" w:hanging="420"/>
      </w:pPr>
      <w:rPr>
        <w:rFonts w:cstheme="minorHAnsi" w:hint="default"/>
        <w:sz w:val="24"/>
      </w:rPr>
    </w:lvl>
    <w:lvl w:ilvl="1">
      <w:start w:val="1"/>
      <w:numFmt w:val="decimal"/>
      <w:lvlText w:val="%1.%2."/>
      <w:lvlJc w:val="left"/>
      <w:pPr>
        <w:ind w:left="420" w:hanging="420"/>
      </w:pPr>
      <w:rPr>
        <w:rFonts w:cstheme="minorHAnsi" w:hint="default"/>
        <w:sz w:val="24"/>
      </w:rPr>
    </w:lvl>
    <w:lvl w:ilvl="2">
      <w:start w:val="1"/>
      <w:numFmt w:val="decimal"/>
      <w:lvlText w:val="%1.%2.%3."/>
      <w:lvlJc w:val="left"/>
      <w:pPr>
        <w:ind w:left="720" w:hanging="720"/>
      </w:pPr>
      <w:rPr>
        <w:rFonts w:cstheme="minorHAnsi" w:hint="default"/>
        <w:sz w:val="24"/>
      </w:rPr>
    </w:lvl>
    <w:lvl w:ilvl="3">
      <w:start w:val="1"/>
      <w:numFmt w:val="decimal"/>
      <w:lvlText w:val="%1.%2.%3.%4."/>
      <w:lvlJc w:val="left"/>
      <w:pPr>
        <w:ind w:left="720" w:hanging="720"/>
      </w:pPr>
      <w:rPr>
        <w:rFonts w:cstheme="minorHAnsi" w:hint="default"/>
        <w:sz w:val="24"/>
      </w:rPr>
    </w:lvl>
    <w:lvl w:ilvl="4">
      <w:start w:val="1"/>
      <w:numFmt w:val="decimal"/>
      <w:lvlText w:val="%1.%2.%3.%4.%5."/>
      <w:lvlJc w:val="left"/>
      <w:pPr>
        <w:ind w:left="1080" w:hanging="1080"/>
      </w:pPr>
      <w:rPr>
        <w:rFonts w:cstheme="minorHAnsi" w:hint="default"/>
        <w:sz w:val="24"/>
      </w:rPr>
    </w:lvl>
    <w:lvl w:ilvl="5">
      <w:start w:val="1"/>
      <w:numFmt w:val="decimal"/>
      <w:lvlText w:val="%1.%2.%3.%4.%5.%6."/>
      <w:lvlJc w:val="left"/>
      <w:pPr>
        <w:ind w:left="1080" w:hanging="1080"/>
      </w:pPr>
      <w:rPr>
        <w:rFonts w:cstheme="minorHAnsi" w:hint="default"/>
        <w:sz w:val="24"/>
      </w:rPr>
    </w:lvl>
    <w:lvl w:ilvl="6">
      <w:start w:val="1"/>
      <w:numFmt w:val="decimal"/>
      <w:lvlText w:val="%1.%2.%3.%4.%5.%6.%7."/>
      <w:lvlJc w:val="left"/>
      <w:pPr>
        <w:ind w:left="1440" w:hanging="1440"/>
      </w:pPr>
      <w:rPr>
        <w:rFonts w:cstheme="minorHAnsi" w:hint="default"/>
        <w:sz w:val="24"/>
      </w:rPr>
    </w:lvl>
    <w:lvl w:ilvl="7">
      <w:start w:val="1"/>
      <w:numFmt w:val="decimal"/>
      <w:lvlText w:val="%1.%2.%3.%4.%5.%6.%7.%8."/>
      <w:lvlJc w:val="left"/>
      <w:pPr>
        <w:ind w:left="1440" w:hanging="1440"/>
      </w:pPr>
      <w:rPr>
        <w:rFonts w:cstheme="minorHAnsi" w:hint="default"/>
        <w:sz w:val="24"/>
      </w:rPr>
    </w:lvl>
    <w:lvl w:ilvl="8">
      <w:start w:val="1"/>
      <w:numFmt w:val="decimal"/>
      <w:lvlText w:val="%1.%2.%3.%4.%5.%6.%7.%8.%9."/>
      <w:lvlJc w:val="left"/>
      <w:pPr>
        <w:ind w:left="1800" w:hanging="1800"/>
      </w:pPr>
      <w:rPr>
        <w:rFonts w:cstheme="minorHAnsi" w:hint="default"/>
        <w:sz w:val="24"/>
      </w:rPr>
    </w:lvl>
  </w:abstractNum>
  <w:abstractNum w:abstractNumId="2" w15:restartNumberingAfterBreak="0">
    <w:nsid w:val="38C04BD9"/>
    <w:multiLevelType w:val="hybridMultilevel"/>
    <w:tmpl w:val="C5BC6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C4599"/>
    <w:multiLevelType w:val="multilevel"/>
    <w:tmpl w:val="94C4A4E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5384463A"/>
    <w:multiLevelType w:val="multilevel"/>
    <w:tmpl w:val="D78489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77775E"/>
    <w:multiLevelType w:val="multilevel"/>
    <w:tmpl w:val="4A38CF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F801673"/>
    <w:multiLevelType w:val="hybridMultilevel"/>
    <w:tmpl w:val="A60494B0"/>
    <w:lvl w:ilvl="0" w:tplc="BD8E90E2">
      <w:start w:val="1"/>
      <w:numFmt w:val="decimal"/>
      <w:lvlText w:val="%1."/>
      <w:lvlJc w:val="left"/>
      <w:pPr>
        <w:ind w:left="1080" w:hanging="360"/>
      </w:pPr>
      <w:rPr>
        <w:rFonts w:ascii="Times New Roman" w:eastAsia="Calibri" w:hAnsi="Times New Roman" w:cs="Times New Roman"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0512903">
    <w:abstractNumId w:val="2"/>
  </w:num>
  <w:num w:numId="2" w16cid:durableId="383798138">
    <w:abstractNumId w:val="0"/>
  </w:num>
  <w:num w:numId="3" w16cid:durableId="1831484058">
    <w:abstractNumId w:val="4"/>
  </w:num>
  <w:num w:numId="4" w16cid:durableId="632833453">
    <w:abstractNumId w:val="5"/>
  </w:num>
  <w:num w:numId="5" w16cid:durableId="731973293">
    <w:abstractNumId w:val="1"/>
  </w:num>
  <w:num w:numId="6" w16cid:durableId="943149467">
    <w:abstractNumId w:val="6"/>
  </w:num>
  <w:num w:numId="7" w16cid:durableId="141644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D3"/>
    <w:rsid w:val="0001028D"/>
    <w:rsid w:val="00011486"/>
    <w:rsid w:val="000517CF"/>
    <w:rsid w:val="000579D1"/>
    <w:rsid w:val="00060A17"/>
    <w:rsid w:val="00063C8A"/>
    <w:rsid w:val="0007512A"/>
    <w:rsid w:val="000803BA"/>
    <w:rsid w:val="0008392E"/>
    <w:rsid w:val="00083EDC"/>
    <w:rsid w:val="00091B2C"/>
    <w:rsid w:val="00092403"/>
    <w:rsid w:val="000945F0"/>
    <w:rsid w:val="000B103C"/>
    <w:rsid w:val="000E5525"/>
    <w:rsid w:val="000F51D7"/>
    <w:rsid w:val="00102B92"/>
    <w:rsid w:val="001134E6"/>
    <w:rsid w:val="00124B02"/>
    <w:rsid w:val="00154E3A"/>
    <w:rsid w:val="00163784"/>
    <w:rsid w:val="001851C6"/>
    <w:rsid w:val="00186932"/>
    <w:rsid w:val="001A48B6"/>
    <w:rsid w:val="001B0D43"/>
    <w:rsid w:val="001C5260"/>
    <w:rsid w:val="002104B2"/>
    <w:rsid w:val="00211178"/>
    <w:rsid w:val="002363E5"/>
    <w:rsid w:val="0024726E"/>
    <w:rsid w:val="002602A6"/>
    <w:rsid w:val="00260E3C"/>
    <w:rsid w:val="0026675B"/>
    <w:rsid w:val="00273CB4"/>
    <w:rsid w:val="002811E4"/>
    <w:rsid w:val="002A5067"/>
    <w:rsid w:val="002B4585"/>
    <w:rsid w:val="002C29DD"/>
    <w:rsid w:val="002C33E7"/>
    <w:rsid w:val="002F2083"/>
    <w:rsid w:val="002F4904"/>
    <w:rsid w:val="002F4B19"/>
    <w:rsid w:val="0030471D"/>
    <w:rsid w:val="00305210"/>
    <w:rsid w:val="00313780"/>
    <w:rsid w:val="003565D7"/>
    <w:rsid w:val="00376E86"/>
    <w:rsid w:val="0039206B"/>
    <w:rsid w:val="003A7BAF"/>
    <w:rsid w:val="003C107B"/>
    <w:rsid w:val="003F2838"/>
    <w:rsid w:val="003F2F64"/>
    <w:rsid w:val="003F6E64"/>
    <w:rsid w:val="0043427F"/>
    <w:rsid w:val="00436871"/>
    <w:rsid w:val="00474546"/>
    <w:rsid w:val="004A6A58"/>
    <w:rsid w:val="004B6BB9"/>
    <w:rsid w:val="004C73FC"/>
    <w:rsid w:val="004E26B7"/>
    <w:rsid w:val="00513792"/>
    <w:rsid w:val="00515A57"/>
    <w:rsid w:val="005243FA"/>
    <w:rsid w:val="005319FA"/>
    <w:rsid w:val="0056552A"/>
    <w:rsid w:val="00580433"/>
    <w:rsid w:val="005A0C7D"/>
    <w:rsid w:val="005C7421"/>
    <w:rsid w:val="005D1F5F"/>
    <w:rsid w:val="005D4B7D"/>
    <w:rsid w:val="005E145C"/>
    <w:rsid w:val="0061480C"/>
    <w:rsid w:val="006279EB"/>
    <w:rsid w:val="00647398"/>
    <w:rsid w:val="00666726"/>
    <w:rsid w:val="006A7BA5"/>
    <w:rsid w:val="006C4EF1"/>
    <w:rsid w:val="006C60C3"/>
    <w:rsid w:val="006D1C19"/>
    <w:rsid w:val="006F4725"/>
    <w:rsid w:val="00707B67"/>
    <w:rsid w:val="00717221"/>
    <w:rsid w:val="00761069"/>
    <w:rsid w:val="00770B40"/>
    <w:rsid w:val="00797082"/>
    <w:rsid w:val="007A280A"/>
    <w:rsid w:val="007A4804"/>
    <w:rsid w:val="007C4083"/>
    <w:rsid w:val="007C72BC"/>
    <w:rsid w:val="007D1393"/>
    <w:rsid w:val="007D1E67"/>
    <w:rsid w:val="007E52AE"/>
    <w:rsid w:val="007F4377"/>
    <w:rsid w:val="0080209E"/>
    <w:rsid w:val="008129BF"/>
    <w:rsid w:val="00816DA2"/>
    <w:rsid w:val="00861CB4"/>
    <w:rsid w:val="0087402F"/>
    <w:rsid w:val="0088414C"/>
    <w:rsid w:val="00887420"/>
    <w:rsid w:val="008918DF"/>
    <w:rsid w:val="00894263"/>
    <w:rsid w:val="008A1162"/>
    <w:rsid w:val="008B0379"/>
    <w:rsid w:val="008C5395"/>
    <w:rsid w:val="008D0BD7"/>
    <w:rsid w:val="008D2A35"/>
    <w:rsid w:val="00904941"/>
    <w:rsid w:val="00906660"/>
    <w:rsid w:val="009401BF"/>
    <w:rsid w:val="00976292"/>
    <w:rsid w:val="00976C44"/>
    <w:rsid w:val="00977DF2"/>
    <w:rsid w:val="0098215C"/>
    <w:rsid w:val="009A0542"/>
    <w:rsid w:val="009A7ACD"/>
    <w:rsid w:val="009E3C9E"/>
    <w:rsid w:val="009E711F"/>
    <w:rsid w:val="00A147D7"/>
    <w:rsid w:val="00A26634"/>
    <w:rsid w:val="00A27504"/>
    <w:rsid w:val="00A30BFE"/>
    <w:rsid w:val="00A5350F"/>
    <w:rsid w:val="00A86257"/>
    <w:rsid w:val="00A90C19"/>
    <w:rsid w:val="00A9395C"/>
    <w:rsid w:val="00AB348B"/>
    <w:rsid w:val="00AC2F2E"/>
    <w:rsid w:val="00AE2D72"/>
    <w:rsid w:val="00AF6B89"/>
    <w:rsid w:val="00B36295"/>
    <w:rsid w:val="00B63A51"/>
    <w:rsid w:val="00B655EC"/>
    <w:rsid w:val="00B702B0"/>
    <w:rsid w:val="00B70702"/>
    <w:rsid w:val="00B7174B"/>
    <w:rsid w:val="00BA4D4F"/>
    <w:rsid w:val="00BC639E"/>
    <w:rsid w:val="00BC695E"/>
    <w:rsid w:val="00C45F92"/>
    <w:rsid w:val="00C616A1"/>
    <w:rsid w:val="00C628D3"/>
    <w:rsid w:val="00C861C4"/>
    <w:rsid w:val="00C87E6C"/>
    <w:rsid w:val="00C932F2"/>
    <w:rsid w:val="00CC10D1"/>
    <w:rsid w:val="00CC3621"/>
    <w:rsid w:val="00D214D7"/>
    <w:rsid w:val="00D4372D"/>
    <w:rsid w:val="00D7395B"/>
    <w:rsid w:val="00D8713D"/>
    <w:rsid w:val="00DD1548"/>
    <w:rsid w:val="00E17E17"/>
    <w:rsid w:val="00E33C43"/>
    <w:rsid w:val="00E342AB"/>
    <w:rsid w:val="00E627AE"/>
    <w:rsid w:val="00E70676"/>
    <w:rsid w:val="00E92832"/>
    <w:rsid w:val="00EC4E97"/>
    <w:rsid w:val="00EF06D5"/>
    <w:rsid w:val="00F13CD9"/>
    <w:rsid w:val="00F15F64"/>
    <w:rsid w:val="00F17893"/>
    <w:rsid w:val="00F31143"/>
    <w:rsid w:val="00F33182"/>
    <w:rsid w:val="00F578A4"/>
    <w:rsid w:val="00F61D09"/>
    <w:rsid w:val="00F76B9D"/>
    <w:rsid w:val="00FC0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1A6B8"/>
  <w15:chartTrackingRefBased/>
  <w15:docId w15:val="{0A9AEEF9-A05E-47D6-BC58-6309930F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nhideWhenUsed/>
    <w:qFormat/>
    <w:rsid w:val="007D1393"/>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qFormat/>
    <w:rsid w:val="007D1393"/>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7D1393"/>
    <w:rPr>
      <w:vertAlign w:val="superscript"/>
    </w:rPr>
  </w:style>
  <w:style w:type="paragraph" w:customStyle="1" w:styleId="xmsonormal">
    <w:name w:val="x_msonormal"/>
    <w:basedOn w:val="Normal"/>
    <w:rsid w:val="002B4585"/>
    <w:pPr>
      <w:spacing w:after="0" w:line="240" w:lineRule="auto"/>
    </w:pPr>
    <w:rPr>
      <w:rFonts w:ascii="Calibri" w:hAnsi="Calibri" w:cs="Calibri"/>
      <w:kern w:val="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9E711F"/>
    <w:pPr>
      <w:ind w:left="720"/>
      <w:contextualSpacing/>
    </w:pPr>
  </w:style>
  <w:style w:type="character" w:styleId="CommentReference">
    <w:name w:val="annotation reference"/>
    <w:basedOn w:val="DefaultParagraphFont"/>
    <w:uiPriority w:val="99"/>
    <w:qFormat/>
    <w:rsid w:val="009A7ACD"/>
    <w:rPr>
      <w:rFonts w:cs="Times New Roman"/>
      <w:sz w:val="16"/>
      <w:szCs w:val="16"/>
    </w:rPr>
  </w:style>
  <w:style w:type="paragraph" w:styleId="CommentText">
    <w:name w:val="annotation text"/>
    <w:aliases w:val="Diagrama,Diagrama Diagrama Char Char,Diagrama Diagrama Char,Diagrama Diagrama Diagrama Diagrama,Diagrama Diagrama Diagrama,Char3,Diagrama Diagrama Char Char Char,Komentaro tekstas Diagrama Diagrama,Char1, Diagrama Diagrama Diagrama"/>
    <w:basedOn w:val="Normal"/>
    <w:link w:val="CommentTextChar"/>
    <w:qFormat/>
    <w:rsid w:val="009A7ACD"/>
    <w:pPr>
      <w:spacing w:after="0" w:line="240" w:lineRule="auto"/>
    </w:pPr>
    <w:rPr>
      <w:rFonts w:ascii="Times New Roman" w:eastAsia="SimSun" w:hAnsi="Times New Roman" w:cs="Times New Roman"/>
      <w:kern w:val="0"/>
      <w:sz w:val="20"/>
      <w:szCs w:val="20"/>
      <w:lang w:val="ru-RU"/>
      <w14:ligatures w14:val="none"/>
    </w:rPr>
  </w:style>
  <w:style w:type="character" w:customStyle="1" w:styleId="CommentTextChar">
    <w:name w:val="Comment Text Char"/>
    <w:aliases w:val="Diagrama Char,Diagrama Diagrama Char Char Char1,Diagrama Diagrama Char Char1,Diagrama Diagrama Diagrama Diagrama Char,Diagrama Diagrama Diagrama Char,Char3 Char,Diagrama Diagrama Char Char Char Char,Char1 Char"/>
    <w:basedOn w:val="DefaultParagraphFont"/>
    <w:link w:val="CommentText"/>
    <w:qFormat/>
    <w:rsid w:val="009A7ACD"/>
    <w:rPr>
      <w:rFonts w:ascii="Times New Roman" w:eastAsia="SimSun" w:hAnsi="Times New Roman" w:cs="Times New Roman"/>
      <w:kern w:val="0"/>
      <w:sz w:val="20"/>
      <w:szCs w:val="20"/>
      <w:lang w:val="ru-RU"/>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906660"/>
  </w:style>
  <w:style w:type="character" w:styleId="Hyperlink">
    <w:name w:val="Hyperlink"/>
    <w:basedOn w:val="DefaultParagraphFont"/>
    <w:uiPriority w:val="99"/>
    <w:unhideWhenUsed/>
    <w:rsid w:val="001A48B6"/>
    <w:rPr>
      <w:color w:val="0563C1" w:themeColor="hyperlink"/>
      <w:u w:val="single"/>
    </w:rPr>
  </w:style>
  <w:style w:type="paragraph" w:customStyle="1" w:styleId="Point1">
    <w:name w:val="Point 1"/>
    <w:basedOn w:val="Normal"/>
    <w:rsid w:val="00313780"/>
    <w:pPr>
      <w:spacing w:before="120" w:after="120" w:line="240" w:lineRule="auto"/>
      <w:ind w:left="1418" w:hanging="567"/>
      <w:jc w:val="both"/>
    </w:pPr>
    <w:rPr>
      <w:rFonts w:ascii="Times New Roman" w:eastAsia="SimSun" w:hAnsi="Times New Roman" w:cs="Times New Roman"/>
      <w:kern w:val="0"/>
      <w:sz w:val="24"/>
      <w:szCs w:val="20"/>
      <w:lang w:val="en-GB"/>
      <w14:ligatures w14:val="none"/>
    </w:rPr>
  </w:style>
  <w:style w:type="paragraph" w:customStyle="1" w:styleId="Default">
    <w:name w:val="Default"/>
    <w:rsid w:val="00F31143"/>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091B2C"/>
    <w:pPr>
      <w:spacing w:after="0" w:line="240" w:lineRule="auto"/>
    </w:pPr>
  </w:style>
  <w:style w:type="paragraph" w:styleId="CommentSubject">
    <w:name w:val="annotation subject"/>
    <w:basedOn w:val="CommentText"/>
    <w:next w:val="CommentText"/>
    <w:link w:val="CommentSubjectChar"/>
    <w:uiPriority w:val="99"/>
    <w:semiHidden/>
    <w:unhideWhenUsed/>
    <w:rsid w:val="00091B2C"/>
    <w:pPr>
      <w:spacing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091B2C"/>
    <w:rPr>
      <w:rFonts w:ascii="Times New Roman" w:eastAsia="SimSun" w:hAnsi="Times New Roman" w:cs="Times New Roman"/>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990</Words>
  <Characters>5647</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3</cp:revision>
  <dcterms:created xsi:type="dcterms:W3CDTF">2024-04-12T06:13:00Z</dcterms:created>
  <dcterms:modified xsi:type="dcterms:W3CDTF">2024-04-12T06:45:00Z</dcterms:modified>
</cp:coreProperties>
</file>