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5471" w14:textId="77777777" w:rsidR="008A3D35" w:rsidRPr="00B65D25" w:rsidRDefault="008A3D35" w:rsidP="00B65D25">
      <w:pPr>
        <w:spacing w:line="276" w:lineRule="auto"/>
        <w:rPr>
          <w:rFonts w:cs="Calibri"/>
          <w:sz w:val="24"/>
          <w:szCs w:val="24"/>
          <w:lang w:val="lt-LT"/>
        </w:rPr>
      </w:pPr>
      <w:r w:rsidRPr="00B65D25">
        <w:rPr>
          <w:rFonts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35346265" w14:textId="35C57269" w:rsidR="008A3D35" w:rsidRPr="00B65D25" w:rsidRDefault="008A3D35" w:rsidP="00B65D25">
      <w:pPr>
        <w:shd w:val="clear" w:color="auto" w:fill="FFFFFF"/>
        <w:spacing w:after="0" w:line="276" w:lineRule="auto"/>
        <w:rPr>
          <w:rFonts w:eastAsia="Times New Roman" w:cs="Calibri"/>
          <w:color w:val="333333"/>
          <w:kern w:val="0"/>
          <w:sz w:val="24"/>
          <w:szCs w:val="24"/>
          <w:lang w:val="lt-LT"/>
          <w14:ligatures w14:val="none"/>
        </w:rPr>
      </w:pPr>
      <w:r w:rsidRPr="00B65D25">
        <w:rPr>
          <w:rFonts w:cs="Calibri"/>
          <w:sz w:val="24"/>
          <w:szCs w:val="24"/>
          <w:lang w:val="lt-LT"/>
        </w:rPr>
        <w:t xml:space="preserve">Vadovaujantis Tarnybai Įstatyme nustatyta pažeidimų prevencijos funkcija, šiuo metu atliekama </w:t>
      </w:r>
      <w:r w:rsidR="004D7F64" w:rsidRPr="00B65D25">
        <w:rPr>
          <w:rFonts w:cs="Calibri"/>
          <w:b/>
          <w:bCs/>
          <w:sz w:val="24"/>
          <w:szCs w:val="24"/>
          <w:lang w:val="lt-LT"/>
        </w:rPr>
        <w:t>Rokiškio</w:t>
      </w:r>
      <w:r w:rsidRPr="00B65D25">
        <w:rPr>
          <w:rFonts w:cs="Calibri"/>
          <w:b/>
          <w:bCs/>
          <w:sz w:val="24"/>
          <w:szCs w:val="24"/>
          <w:lang w:val="lt-LT"/>
        </w:rPr>
        <w:t xml:space="preserve"> rajono savivaldybės administracijos </w:t>
      </w:r>
      <w:r w:rsidRPr="00B65D25">
        <w:rPr>
          <w:rFonts w:cs="Calibri"/>
          <w:sz w:val="24"/>
          <w:szCs w:val="24"/>
          <w:lang w:val="lt-LT"/>
        </w:rPr>
        <w:t>(toliau – Perkančioji organizacija) vykdomo pirkimo Nr.</w:t>
      </w:r>
      <w:r w:rsidRPr="00B65D25">
        <w:rPr>
          <w:rFonts w:cs="Calibri"/>
          <w:b/>
          <w:bCs/>
          <w:sz w:val="24"/>
          <w:szCs w:val="24"/>
          <w:lang w:val="lt-LT"/>
        </w:rPr>
        <w:t xml:space="preserve"> 7</w:t>
      </w:r>
      <w:r w:rsidR="004D7F64" w:rsidRPr="00B65D25">
        <w:rPr>
          <w:rFonts w:cs="Calibri"/>
          <w:b/>
          <w:bCs/>
          <w:sz w:val="24"/>
          <w:szCs w:val="24"/>
          <w:lang w:val="lt-LT"/>
        </w:rPr>
        <w:t>11174</w:t>
      </w:r>
      <w:r w:rsidRPr="00B65D25">
        <w:rPr>
          <w:rFonts w:cs="Calibri"/>
          <w:b/>
          <w:bCs/>
          <w:sz w:val="24"/>
          <w:szCs w:val="24"/>
          <w:lang w:val="lt-LT"/>
        </w:rPr>
        <w:t xml:space="preserve"> „</w:t>
      </w:r>
      <w:r w:rsidR="00A50E53" w:rsidRPr="00B65D25">
        <w:rPr>
          <w:rFonts w:eastAsia="Times New Roman" w:cs="Calibri"/>
          <w:b/>
          <w:bCs/>
          <w:kern w:val="0"/>
          <w:sz w:val="24"/>
          <w:szCs w:val="24"/>
          <w:lang w:val="lt-LT"/>
          <w14:ligatures w14:val="none"/>
        </w:rPr>
        <w:t>Rokiškio miesto pravažiavimo pro sodus ir Rokiškio kaimiškosios seniūnijos vietinės reikšmės kelio Rokiškis-Velniakalnis kapitalinio remonto darbai</w:t>
      </w:r>
      <w:r w:rsidRPr="00B65D25">
        <w:rPr>
          <w:rFonts w:cs="Calibri"/>
          <w:b/>
          <w:bCs/>
          <w:sz w:val="24"/>
          <w:szCs w:val="24"/>
          <w:lang w:val="lt-LT"/>
        </w:rPr>
        <w:t>“</w:t>
      </w:r>
      <w:r w:rsidRPr="00B65D25">
        <w:rPr>
          <w:rFonts w:cs="Calibri"/>
          <w:sz w:val="24"/>
          <w:szCs w:val="24"/>
          <w:lang w:val="lt-LT"/>
        </w:rPr>
        <w:t xml:space="preserve"> (toliau – Pirkimas) dokumentų atitikties Įstatymui ir su jo įgyvendinimu susijusiems teisės aktams peržiūra (peržiūra prevenciniais tikslais atliekama tam tikra apimtimi). </w:t>
      </w:r>
    </w:p>
    <w:p w14:paraId="35AF9389" w14:textId="77777777" w:rsidR="008A3D35" w:rsidRPr="00B65D25" w:rsidRDefault="008A3D35" w:rsidP="00B65D25">
      <w:pPr>
        <w:spacing w:line="276" w:lineRule="auto"/>
        <w:rPr>
          <w:rFonts w:cs="Calibri"/>
          <w:sz w:val="24"/>
          <w:szCs w:val="24"/>
          <w:lang w:val="lt-LT"/>
        </w:rPr>
      </w:pPr>
      <w:r w:rsidRPr="00B65D25">
        <w:rPr>
          <w:rFonts w:cs="Calibri"/>
          <w:sz w:val="24"/>
          <w:szCs w:val="24"/>
          <w:lang w:val="lt-LT"/>
        </w:rPr>
        <w:t>Tarnyba, prevencine tvarka peržiūrėjusi Pirkimų dokumentus, teikia pastabas ir rekomendacijas (toliau – Rekomendacija) dėl Pirkimo dokumentų nuostatų.</w:t>
      </w:r>
    </w:p>
    <w:p w14:paraId="35A6AF87" w14:textId="28803DA4" w:rsidR="00C87E6C" w:rsidRPr="00B65D25" w:rsidRDefault="000A3FC2" w:rsidP="00B65D25">
      <w:pPr>
        <w:numPr>
          <w:ilvl w:val="0"/>
          <w:numId w:val="1"/>
        </w:numPr>
        <w:tabs>
          <w:tab w:val="left" w:pos="851"/>
        </w:tabs>
        <w:spacing w:after="0" w:line="276" w:lineRule="auto"/>
        <w:ind w:hanging="153"/>
        <w:contextualSpacing/>
        <w:rPr>
          <w:rFonts w:asciiTheme="minorHAnsi" w:eastAsiaTheme="minorHAnsi" w:hAnsiTheme="minorHAnsi" w:cstheme="minorHAnsi"/>
          <w:b/>
          <w:bCs/>
          <w:kern w:val="0"/>
          <w:sz w:val="24"/>
          <w:szCs w:val="24"/>
          <w:lang w:val="lt-LT" w:eastAsia="lt-LT"/>
          <w14:ligatures w14:val="none"/>
        </w:rPr>
      </w:pPr>
      <w:r w:rsidRPr="00B65D25">
        <w:rPr>
          <w:rFonts w:asciiTheme="minorHAnsi" w:eastAsiaTheme="minorHAnsi" w:hAnsiTheme="minorHAnsi" w:cstheme="minorHAnsi"/>
          <w:b/>
          <w:bCs/>
          <w:kern w:val="0"/>
          <w:sz w:val="24"/>
          <w:szCs w:val="24"/>
          <w:lang w:val="lt-LT" w:eastAsia="lt-LT"/>
          <w14:ligatures w14:val="none"/>
        </w:rPr>
        <w:t xml:space="preserve">Dėl kvalifikacijos reikalavimo </w:t>
      </w:r>
    </w:p>
    <w:p w14:paraId="3CBD8673" w14:textId="1DCCABF0" w:rsidR="00F63215" w:rsidRPr="00B65D25" w:rsidRDefault="00E72D80" w:rsidP="00B65D25">
      <w:pPr>
        <w:spacing w:after="0" w:line="276" w:lineRule="auto"/>
        <w:rPr>
          <w:rFonts w:asciiTheme="minorHAnsi" w:hAnsiTheme="minorHAnsi" w:cstheme="minorHAnsi"/>
          <w:kern w:val="0"/>
          <w:sz w:val="24"/>
          <w:szCs w:val="24"/>
          <w:lang w:val="lt-LT"/>
          <w14:ligatures w14:val="none"/>
        </w:rPr>
      </w:pPr>
      <w:r w:rsidRPr="00B65D25">
        <w:rPr>
          <w:rFonts w:asciiTheme="minorHAnsi" w:hAnsiTheme="minorHAnsi" w:cstheme="minorHAnsi"/>
          <w:sz w:val="24"/>
          <w:szCs w:val="24"/>
          <w:lang w:val="lt-LT"/>
        </w:rPr>
        <w:t xml:space="preserve">          </w:t>
      </w:r>
      <w:r w:rsidRPr="00B65D25">
        <w:rPr>
          <w:rFonts w:asciiTheme="minorHAnsi" w:hAnsiTheme="minorHAnsi" w:cstheme="minorHAnsi"/>
          <w:b/>
          <w:bCs/>
          <w:sz w:val="24"/>
          <w:szCs w:val="24"/>
          <w:lang w:val="lt-LT"/>
        </w:rPr>
        <w:t>1.1.</w:t>
      </w:r>
      <w:r w:rsidRPr="00B65D25">
        <w:rPr>
          <w:rFonts w:asciiTheme="minorHAnsi" w:hAnsiTheme="minorHAnsi" w:cstheme="minorHAnsi"/>
          <w:sz w:val="24"/>
          <w:szCs w:val="24"/>
          <w:lang w:val="lt-LT"/>
        </w:rPr>
        <w:t xml:space="preserve"> </w:t>
      </w:r>
      <w:r w:rsidR="000E3BE8" w:rsidRPr="00B65D25">
        <w:rPr>
          <w:rFonts w:asciiTheme="minorHAnsi" w:hAnsiTheme="minorHAnsi" w:cstheme="minorHAnsi"/>
          <w:sz w:val="24"/>
          <w:szCs w:val="24"/>
          <w:lang w:val="lt-LT"/>
        </w:rPr>
        <w:t xml:space="preserve">Pirkimo sąlygų </w:t>
      </w:r>
      <w:r w:rsidR="00274757" w:rsidRPr="00B65D25">
        <w:rPr>
          <w:rFonts w:asciiTheme="minorHAnsi" w:hAnsiTheme="minorHAnsi" w:cstheme="minorHAnsi"/>
          <w:sz w:val="24"/>
          <w:szCs w:val="24"/>
          <w:lang w:val="lt-LT"/>
        </w:rPr>
        <w:t>22</w:t>
      </w:r>
      <w:r w:rsidR="00D104E4" w:rsidRPr="00B65D25">
        <w:rPr>
          <w:rFonts w:asciiTheme="minorHAnsi" w:hAnsiTheme="minorHAnsi" w:cstheme="minorHAnsi"/>
          <w:sz w:val="24"/>
          <w:szCs w:val="24"/>
          <w:lang w:val="lt-LT"/>
        </w:rPr>
        <w:t>.1 papunktyje  nustatytas kvalifikacinis reikalavimas</w:t>
      </w:r>
      <w:r w:rsidR="00C21C03" w:rsidRPr="00B65D25">
        <w:rPr>
          <w:rFonts w:asciiTheme="minorHAnsi" w:hAnsiTheme="minorHAnsi" w:cstheme="minorHAnsi"/>
          <w:sz w:val="24"/>
          <w:szCs w:val="24"/>
          <w:lang w:val="lt-LT"/>
        </w:rPr>
        <w:t>:</w:t>
      </w:r>
      <w:r w:rsidR="00D104E4" w:rsidRPr="00B65D25">
        <w:rPr>
          <w:rFonts w:asciiTheme="minorHAnsi" w:hAnsiTheme="minorHAnsi" w:cstheme="minorHAnsi"/>
          <w:sz w:val="24"/>
          <w:szCs w:val="24"/>
          <w:lang w:val="lt-LT"/>
        </w:rPr>
        <w:t xml:space="preserve"> </w:t>
      </w:r>
      <w:r w:rsidR="00711C84" w:rsidRPr="00B65D25">
        <w:rPr>
          <w:rFonts w:asciiTheme="minorHAnsi" w:hAnsiTheme="minorHAnsi" w:cstheme="minorHAnsi"/>
          <w:sz w:val="24"/>
          <w:szCs w:val="24"/>
          <w:lang w:val="lt-LT"/>
        </w:rPr>
        <w:t>„</w:t>
      </w:r>
      <w:r w:rsidR="00627CA7" w:rsidRPr="00B65D25">
        <w:rPr>
          <w:rFonts w:asciiTheme="minorHAnsi" w:hAnsiTheme="minorHAnsi" w:cstheme="minorHAnsi"/>
          <w:kern w:val="0"/>
          <w:sz w:val="24"/>
          <w:szCs w:val="24"/>
          <w:lang w:val="lt-LT"/>
          <w14:ligatures w14:val="none"/>
        </w:rPr>
        <w:t xml:space="preserve">Tiekėjas turi turėti bent 1 (vieną) statinio statybos vadovą, turintį teisę būti </w:t>
      </w:r>
      <w:r w:rsidR="00627CA7" w:rsidRPr="00B65D25">
        <w:rPr>
          <w:rFonts w:asciiTheme="minorHAnsi" w:hAnsiTheme="minorHAnsi" w:cstheme="minorHAnsi"/>
          <w:b/>
          <w:bCs/>
          <w:kern w:val="0"/>
          <w:sz w:val="24"/>
          <w:szCs w:val="24"/>
          <w:lang w:val="lt-LT"/>
          <w14:ligatures w14:val="none"/>
        </w:rPr>
        <w:t>neypatingo statinio</w:t>
      </w:r>
      <w:r w:rsidR="00627CA7" w:rsidRPr="00B65D25">
        <w:rPr>
          <w:rFonts w:asciiTheme="minorHAnsi" w:hAnsiTheme="minorHAnsi" w:cstheme="minorHAnsi"/>
          <w:kern w:val="0"/>
          <w:sz w:val="24"/>
          <w:szCs w:val="24"/>
          <w:lang w:val="lt-LT"/>
          <w14:ligatures w14:val="none"/>
        </w:rPr>
        <w:t xml:space="preserve"> statybos vadovu ir vykdyti sutartyje nurodytus darbus (statinių grupė: susisiekimo komunikacijos, </w:t>
      </w:r>
      <w:r w:rsidR="00627CA7" w:rsidRPr="00B65D25">
        <w:rPr>
          <w:rFonts w:asciiTheme="minorHAnsi" w:hAnsiTheme="minorHAnsi" w:cstheme="minorHAnsi"/>
          <w:b/>
          <w:bCs/>
          <w:kern w:val="0"/>
          <w:sz w:val="24"/>
          <w:szCs w:val="24"/>
          <w:lang w:val="lt-LT"/>
          <w14:ligatures w14:val="none"/>
        </w:rPr>
        <w:t>pogrupis – gatvės)</w:t>
      </w:r>
      <w:r w:rsidR="00627CA7" w:rsidRPr="00B65D25">
        <w:rPr>
          <w:rFonts w:asciiTheme="minorHAnsi" w:hAnsiTheme="minorHAnsi" w:cstheme="minorHAnsi"/>
          <w:kern w:val="0"/>
          <w:sz w:val="24"/>
          <w:szCs w:val="24"/>
          <w:lang w:val="lt-LT"/>
          <w14:ligatures w14:val="none"/>
        </w:rPr>
        <w:t xml:space="preserve">.“ Kaip atitiktį </w:t>
      </w:r>
      <w:r w:rsidR="00F74B91" w:rsidRPr="00B65D25">
        <w:rPr>
          <w:rFonts w:asciiTheme="minorHAnsi" w:hAnsiTheme="minorHAnsi" w:cstheme="minorHAnsi"/>
          <w:kern w:val="0"/>
          <w:sz w:val="24"/>
          <w:szCs w:val="24"/>
          <w:lang w:val="lt-LT"/>
          <w14:ligatures w14:val="none"/>
        </w:rPr>
        <w:t>nustatytam reikalavimui pagrįsti prašoma pateikti „</w:t>
      </w:r>
      <w:r w:rsidR="00C21C03" w:rsidRPr="00B65D25">
        <w:rPr>
          <w:rFonts w:asciiTheme="minorHAnsi" w:hAnsiTheme="minorHAnsi" w:cstheme="minorHAnsi"/>
          <w:kern w:val="0"/>
          <w:sz w:val="24"/>
          <w:szCs w:val="24"/>
          <w:lang w:val="lt-LT"/>
          <w14:ligatures w14:val="none"/>
        </w:rPr>
        <w:t xml:space="preserve">Kvalifikacijos atestatas </w:t>
      </w:r>
      <w:r w:rsidR="00C21C03" w:rsidRPr="00B65D25">
        <w:rPr>
          <w:rFonts w:asciiTheme="minorHAnsi" w:hAnsiTheme="minorHAnsi" w:cstheme="minorHAnsi"/>
          <w:bCs/>
          <w:kern w:val="0"/>
          <w:sz w:val="24"/>
          <w:szCs w:val="24"/>
          <w:lang w:val="lt-LT"/>
          <w14:ligatures w14:val="none"/>
        </w:rPr>
        <w:t xml:space="preserve">ar </w:t>
      </w:r>
      <w:r w:rsidR="00C21C03" w:rsidRPr="00B65D25">
        <w:rPr>
          <w:rFonts w:asciiTheme="minorHAnsi" w:hAnsiTheme="minorHAnsi" w:cstheme="minorHAnsi"/>
          <w:kern w:val="0"/>
          <w:sz w:val="24"/>
          <w:szCs w:val="24"/>
          <w:lang w:val="lt-LT"/>
          <w14:ligatures w14:val="none"/>
        </w:rPr>
        <w:t>kiti reikiamą kvalifikaciją įrodantys dokumentai.“</w:t>
      </w:r>
      <w:r w:rsidR="0070087D" w:rsidRPr="00B65D25">
        <w:rPr>
          <w:rFonts w:asciiTheme="minorHAnsi" w:hAnsiTheme="minorHAnsi" w:cstheme="minorHAnsi"/>
          <w:kern w:val="0"/>
          <w:sz w:val="24"/>
          <w:szCs w:val="24"/>
          <w:lang w:val="lt-LT"/>
          <w14:ligatures w14:val="none"/>
        </w:rPr>
        <w:t xml:space="preserve"> </w:t>
      </w:r>
    </w:p>
    <w:p w14:paraId="7D737A6C" w14:textId="674FE1AA" w:rsidR="00AA32CB" w:rsidRPr="00B65D25" w:rsidRDefault="000D75F1" w:rsidP="00B65D25">
      <w:pPr>
        <w:spacing w:after="0" w:line="276" w:lineRule="auto"/>
        <w:rPr>
          <w:rFonts w:asciiTheme="minorHAnsi" w:hAnsiTheme="minorHAnsi" w:cstheme="minorHAnsi"/>
          <w:sz w:val="24"/>
          <w:szCs w:val="24"/>
          <w:lang w:val="lt-LT"/>
        </w:rPr>
      </w:pPr>
      <w:r w:rsidRPr="00B65D25">
        <w:rPr>
          <w:rFonts w:asciiTheme="minorHAnsi" w:hAnsiTheme="minorHAnsi" w:cstheme="minorHAnsi"/>
          <w:kern w:val="0"/>
          <w:sz w:val="24"/>
          <w:szCs w:val="24"/>
          <w:lang w:val="lt-LT"/>
          <w14:ligatures w14:val="none"/>
        </w:rPr>
        <w:t xml:space="preserve">         </w:t>
      </w:r>
      <w:r w:rsidR="00AA32CB" w:rsidRPr="00B65D25">
        <w:rPr>
          <w:rFonts w:asciiTheme="minorHAnsi" w:hAnsiTheme="minorHAnsi" w:cstheme="minorHAnsi"/>
          <w:kern w:val="0"/>
          <w:sz w:val="24"/>
          <w:szCs w:val="24"/>
          <w:lang w:val="lt-LT"/>
          <w14:ligatures w14:val="none"/>
        </w:rPr>
        <w:t xml:space="preserve">Tarnyba atkreipia dėmesį, kad pagal </w:t>
      </w:r>
      <w:r w:rsidR="004F272F" w:rsidRPr="00B65D25">
        <w:rPr>
          <w:rFonts w:asciiTheme="minorHAnsi" w:hAnsiTheme="minorHAnsi" w:cstheme="minorHAnsi"/>
          <w:kern w:val="0"/>
          <w:sz w:val="24"/>
          <w:szCs w:val="24"/>
          <w:lang w:val="lt-LT"/>
          <w14:ligatures w14:val="none"/>
        </w:rPr>
        <w:t xml:space="preserve">Perkančiosios organizacijos </w:t>
      </w:r>
      <w:r w:rsidR="00AA32CB" w:rsidRPr="00B65D25">
        <w:rPr>
          <w:rFonts w:asciiTheme="minorHAnsi" w:hAnsiTheme="minorHAnsi" w:cstheme="minorHAnsi"/>
          <w:kern w:val="0"/>
          <w:sz w:val="24"/>
          <w:szCs w:val="24"/>
          <w:lang w:val="lt-LT"/>
          <w14:ligatures w14:val="none"/>
        </w:rPr>
        <w:t>prid</w:t>
      </w:r>
      <w:r w:rsidR="004F272F" w:rsidRPr="00B65D25">
        <w:rPr>
          <w:rFonts w:asciiTheme="minorHAnsi" w:hAnsiTheme="minorHAnsi" w:cstheme="minorHAnsi"/>
          <w:kern w:val="0"/>
          <w:sz w:val="24"/>
          <w:szCs w:val="24"/>
          <w:lang w:val="lt-LT"/>
          <w14:ligatures w14:val="none"/>
        </w:rPr>
        <w:t>ėtus</w:t>
      </w:r>
      <w:r w:rsidR="00AA32CB" w:rsidRPr="00B65D25">
        <w:rPr>
          <w:rFonts w:asciiTheme="minorHAnsi" w:hAnsiTheme="minorHAnsi" w:cstheme="minorHAnsi"/>
          <w:kern w:val="0"/>
          <w:sz w:val="24"/>
          <w:szCs w:val="24"/>
          <w:lang w:val="lt-LT"/>
          <w14:ligatures w14:val="none"/>
        </w:rPr>
        <w:t xml:space="preserve"> Techninius darbo projektus Nr. </w:t>
      </w:r>
      <w:r w:rsidR="00AA32CB" w:rsidRPr="00B65D25">
        <w:rPr>
          <w:rFonts w:asciiTheme="minorHAnsi" w:eastAsiaTheme="minorHAnsi" w:hAnsiTheme="minorHAnsi" w:cstheme="minorHAnsi"/>
          <w:kern w:val="0"/>
          <w:sz w:val="24"/>
          <w:szCs w:val="24"/>
          <w:lang w:val="lt-LT"/>
        </w:rPr>
        <w:t xml:space="preserve">SS2231-10-01-TDP-S ir SS2231-11-01-TDP-S </w:t>
      </w:r>
      <w:r w:rsidR="009D4C50" w:rsidRPr="00B65D25">
        <w:rPr>
          <w:rFonts w:asciiTheme="minorHAnsi" w:eastAsiaTheme="minorHAnsi" w:hAnsiTheme="minorHAnsi" w:cstheme="minorHAnsi"/>
          <w:kern w:val="0"/>
          <w:sz w:val="24"/>
          <w:szCs w:val="24"/>
          <w:lang w:val="lt-LT"/>
        </w:rPr>
        <w:t xml:space="preserve">pirkimo objektui </w:t>
      </w:r>
      <w:r w:rsidR="00AA32CB" w:rsidRPr="00B65D25">
        <w:rPr>
          <w:rFonts w:asciiTheme="minorHAnsi" w:eastAsiaTheme="minorHAnsi" w:hAnsiTheme="minorHAnsi" w:cstheme="minorHAnsi"/>
          <w:kern w:val="0"/>
          <w:sz w:val="24"/>
          <w:szCs w:val="24"/>
          <w:lang w:val="lt-LT"/>
        </w:rPr>
        <w:t xml:space="preserve">nustatyta statinio kategorija – </w:t>
      </w:r>
      <w:r w:rsidR="00AA32CB" w:rsidRPr="00B65D25">
        <w:rPr>
          <w:rFonts w:asciiTheme="minorHAnsi" w:eastAsiaTheme="minorHAnsi" w:hAnsiTheme="minorHAnsi" w:cstheme="minorHAnsi"/>
          <w:b/>
          <w:bCs/>
          <w:kern w:val="0"/>
          <w:sz w:val="24"/>
          <w:szCs w:val="24"/>
          <w:lang w:val="lt-LT"/>
        </w:rPr>
        <w:t>nesudėtingasis statinys</w:t>
      </w:r>
      <w:r w:rsidR="00AA0B10" w:rsidRPr="00B65D25">
        <w:rPr>
          <w:rFonts w:asciiTheme="minorHAnsi" w:eastAsiaTheme="minorHAnsi" w:hAnsiTheme="minorHAnsi" w:cstheme="minorHAnsi"/>
          <w:b/>
          <w:bCs/>
          <w:kern w:val="0"/>
          <w:sz w:val="24"/>
          <w:szCs w:val="24"/>
          <w:lang w:val="lt-LT"/>
        </w:rPr>
        <w:t xml:space="preserve">, </w:t>
      </w:r>
      <w:r w:rsidR="00EB5A28" w:rsidRPr="00B65D25">
        <w:rPr>
          <w:rFonts w:asciiTheme="minorHAnsi" w:eastAsiaTheme="minorHAnsi" w:hAnsiTheme="minorHAnsi" w:cstheme="minorHAnsi"/>
          <w:kern w:val="0"/>
          <w:sz w:val="24"/>
          <w:szCs w:val="24"/>
          <w:lang w:val="lt-LT"/>
        </w:rPr>
        <w:t>statinio paskirtis</w:t>
      </w:r>
      <w:r w:rsidR="00EB5A28" w:rsidRPr="00B65D25">
        <w:rPr>
          <w:rFonts w:asciiTheme="minorHAnsi" w:eastAsiaTheme="minorHAnsi" w:hAnsiTheme="minorHAnsi" w:cstheme="minorHAnsi"/>
          <w:b/>
          <w:bCs/>
          <w:kern w:val="0"/>
          <w:sz w:val="24"/>
          <w:szCs w:val="24"/>
          <w:lang w:val="lt-LT"/>
        </w:rPr>
        <w:t xml:space="preserve"> -</w:t>
      </w:r>
      <w:r w:rsidR="00EB5A28" w:rsidRPr="00B65D25">
        <w:rPr>
          <w:rFonts w:asciiTheme="minorHAnsi" w:eastAsiaTheme="minorHAnsi" w:hAnsiTheme="minorHAnsi" w:cstheme="minorHAnsi"/>
          <w:kern w:val="0"/>
          <w:sz w:val="24"/>
          <w:szCs w:val="24"/>
          <w:lang w:val="lt-LT"/>
        </w:rPr>
        <w:t xml:space="preserve"> susisiekimo komunikacijos (</w:t>
      </w:r>
      <w:r w:rsidR="00EB5A28" w:rsidRPr="00B65D25">
        <w:rPr>
          <w:rFonts w:asciiTheme="minorHAnsi" w:eastAsiaTheme="minorHAnsi" w:hAnsiTheme="minorHAnsi" w:cstheme="minorHAnsi"/>
          <w:b/>
          <w:bCs/>
          <w:kern w:val="0"/>
          <w:sz w:val="24"/>
          <w:szCs w:val="24"/>
          <w:lang w:val="lt-LT"/>
        </w:rPr>
        <w:t>keliai</w:t>
      </w:r>
      <w:r w:rsidR="00FE2981" w:rsidRPr="00B65D25">
        <w:rPr>
          <w:rFonts w:asciiTheme="minorHAnsi" w:eastAsiaTheme="minorHAnsi" w:hAnsiTheme="minorHAnsi" w:cstheme="minorHAnsi"/>
          <w:kern w:val="0"/>
          <w:sz w:val="24"/>
          <w:szCs w:val="24"/>
          <w:lang w:val="lt-LT"/>
        </w:rPr>
        <w:t>)</w:t>
      </w:r>
      <w:r w:rsidR="00AA32CB" w:rsidRPr="00B65D25">
        <w:rPr>
          <w:rFonts w:asciiTheme="minorHAnsi" w:eastAsiaTheme="minorHAnsi" w:hAnsiTheme="minorHAnsi" w:cstheme="minorHAnsi"/>
          <w:kern w:val="0"/>
          <w:sz w:val="24"/>
          <w:szCs w:val="24"/>
          <w:lang w:val="lt-LT"/>
        </w:rPr>
        <w:t xml:space="preserve">. </w:t>
      </w:r>
    </w:p>
    <w:p w14:paraId="13127BD9" w14:textId="22B073BE" w:rsidR="00D7407D" w:rsidRPr="00B65D25" w:rsidRDefault="000D75F1" w:rsidP="00B65D25">
      <w:pPr>
        <w:tabs>
          <w:tab w:val="left" w:pos="1276"/>
        </w:tabs>
        <w:spacing w:after="0" w:line="276" w:lineRule="auto"/>
        <w:contextualSpacing/>
        <w:rPr>
          <w:rFonts w:asciiTheme="minorHAnsi" w:eastAsiaTheme="minorHAnsi" w:hAnsiTheme="minorHAnsi" w:cstheme="minorHAnsi"/>
          <w:kern w:val="0"/>
          <w:sz w:val="24"/>
          <w:szCs w:val="24"/>
          <w:lang w:val="lt-LT"/>
          <w14:ligatures w14:val="none"/>
        </w:rPr>
      </w:pPr>
      <w:r w:rsidRPr="00B65D25">
        <w:rPr>
          <w:rFonts w:asciiTheme="minorHAnsi" w:eastAsiaTheme="minorHAnsi" w:hAnsiTheme="minorHAnsi" w:cstheme="minorHAnsi"/>
          <w:kern w:val="0"/>
          <w:sz w:val="24"/>
          <w:szCs w:val="24"/>
          <w:lang w:val="lt-LT"/>
          <w14:ligatures w14:val="none"/>
        </w:rPr>
        <w:t xml:space="preserve">         </w:t>
      </w:r>
      <w:r w:rsidR="00645B02" w:rsidRPr="00B65D25">
        <w:rPr>
          <w:rFonts w:asciiTheme="minorHAnsi" w:eastAsiaTheme="minorHAnsi" w:hAnsiTheme="minorHAnsi" w:cstheme="minorHAnsi"/>
          <w:kern w:val="0"/>
          <w:sz w:val="24"/>
          <w:szCs w:val="24"/>
          <w:lang w:val="lt-LT"/>
          <w14:ligatures w14:val="none"/>
        </w:rPr>
        <w:t xml:space="preserve">Pažymėtina, kad </w:t>
      </w:r>
      <w:r w:rsidR="00D7407D" w:rsidRPr="00B65D25">
        <w:rPr>
          <w:rFonts w:asciiTheme="minorHAnsi" w:eastAsiaTheme="minorHAnsi" w:hAnsiTheme="minorHAnsi" w:cstheme="minorHAnsi"/>
          <w:kern w:val="0"/>
          <w:sz w:val="24"/>
          <w:szCs w:val="24"/>
          <w:lang w:val="lt-LT"/>
          <w14:ligatures w14:val="none"/>
        </w:rPr>
        <w:t>Statybos įstatymo 12 straipsnio 9 dalyje nustatyta, jog „</w:t>
      </w:r>
      <w:r w:rsidR="00D7407D" w:rsidRPr="00B65D25">
        <w:rPr>
          <w:rFonts w:asciiTheme="minorHAnsi" w:eastAsiaTheme="minorHAnsi" w:hAnsiTheme="minorHAnsi" w:cstheme="minorHAnsi"/>
          <w:b/>
          <w:bCs/>
          <w:kern w:val="0"/>
          <w:sz w:val="24"/>
          <w:szCs w:val="24"/>
          <w:lang w:val="lt-LT"/>
          <w14:ligatures w14:val="none"/>
        </w:rPr>
        <w:t>vadovauti nesudėtingojo statinio</w:t>
      </w:r>
      <w:r w:rsidR="00D7407D" w:rsidRPr="00B65D25">
        <w:rPr>
          <w:rFonts w:asciiTheme="minorHAnsi" w:eastAsiaTheme="minorHAnsi" w:hAnsiTheme="minorHAnsi" w:cstheme="minorHAnsi"/>
          <w:kern w:val="0"/>
          <w:sz w:val="24"/>
          <w:szCs w:val="24"/>
          <w:lang w:val="lt-LT"/>
          <w14:ligatures w14:val="none"/>
        </w:rPr>
        <w:t xml:space="preserve"> projektavimui, statinio projekto vykdymo priežiūrai, statinio statybos techninei priežiūrai ir statybai turi teisę asmenys, įgiję šio įstatymo 2 straipsnio 1 arba 92 dalyje nurodytą išsilavinimą“, taip pat Statybos techninio reglamento STR 1.06.01:2016 „Statybos darbai. Statinio statybos priežiūra“ 15.4 papunktyje nurodyta, kad </w:t>
      </w:r>
      <w:r w:rsidR="00D7407D" w:rsidRPr="00B65D25">
        <w:rPr>
          <w:rFonts w:asciiTheme="minorHAnsi" w:eastAsiaTheme="minorHAnsi" w:hAnsiTheme="minorHAnsi" w:cstheme="minorHAnsi"/>
          <w:b/>
          <w:bCs/>
          <w:kern w:val="0"/>
          <w:sz w:val="24"/>
          <w:szCs w:val="24"/>
          <w:lang w:val="lt-LT"/>
          <w14:ligatures w14:val="none"/>
        </w:rPr>
        <w:t>vadovauti nesudėtingojo statinio statybai turi teisę neatestuoti asmenys</w:t>
      </w:r>
      <w:r w:rsidR="00D7407D" w:rsidRPr="00B65D25">
        <w:rPr>
          <w:rFonts w:asciiTheme="minorHAnsi" w:eastAsiaTheme="minorHAnsi" w:hAnsiTheme="minorHAnsi" w:cstheme="minorHAnsi"/>
          <w:kern w:val="0"/>
          <w:sz w:val="24"/>
          <w:szCs w:val="24"/>
          <w:lang w:val="lt-LT"/>
          <w14:ligatures w14:val="none"/>
        </w:rPr>
        <w:t>.</w:t>
      </w:r>
    </w:p>
    <w:p w14:paraId="5A8E4E4B" w14:textId="58B5D926" w:rsidR="00333738" w:rsidRPr="00B65D25" w:rsidRDefault="00241015" w:rsidP="00B65D25">
      <w:pPr>
        <w:tabs>
          <w:tab w:val="left" w:pos="851"/>
        </w:tabs>
        <w:spacing w:after="0" w:line="276" w:lineRule="auto"/>
        <w:ind w:firstLine="567"/>
        <w:contextualSpacing/>
        <w:rPr>
          <w:rFonts w:asciiTheme="minorHAnsi" w:hAnsiTheme="minorHAnsi" w:cstheme="minorHAnsi"/>
          <w:bCs/>
          <w:sz w:val="24"/>
          <w:szCs w:val="24"/>
          <w:lang w:val="lt-LT"/>
        </w:rPr>
      </w:pPr>
      <w:r w:rsidRPr="00B65D25">
        <w:rPr>
          <w:rFonts w:asciiTheme="minorHAnsi" w:hAnsiTheme="minorHAnsi" w:cstheme="minorHAnsi"/>
          <w:bCs/>
          <w:sz w:val="24"/>
          <w:szCs w:val="24"/>
          <w:lang w:val="lt-LT"/>
        </w:rPr>
        <w:t xml:space="preserve">Tarnybos nuomone, nustatytas kvalifikacijos reikalavimas yra nepagrįstas ir neproporcingas, nes Pirkimo atveju nesudėtingojo statinio statybos vadovui (taip pat ir užsienio šalių specialistui) pakanka turėti </w:t>
      </w:r>
      <w:r w:rsidR="002F7AA3" w:rsidRPr="00B65D25">
        <w:rPr>
          <w:rFonts w:asciiTheme="minorHAnsi" w:hAnsiTheme="minorHAnsi" w:cstheme="minorHAnsi"/>
          <w:bCs/>
          <w:sz w:val="24"/>
          <w:szCs w:val="24"/>
          <w:lang w:val="lt-LT"/>
        </w:rPr>
        <w:t xml:space="preserve">architekto ar </w:t>
      </w:r>
      <w:r w:rsidRPr="00B65D25">
        <w:rPr>
          <w:rFonts w:asciiTheme="minorHAnsi" w:hAnsiTheme="minorHAnsi" w:cstheme="minorHAnsi"/>
          <w:bCs/>
          <w:sz w:val="24"/>
          <w:szCs w:val="24"/>
          <w:lang w:val="lt-LT"/>
        </w:rPr>
        <w:t>statybos inžinieriaus išsilavinimą ir pateikti išsilavinimą liudijančių diplomų kopijas. Galimybė (bet ne pareiga) tiekėjui pateikti siūlomo specialisto kvalifikacijos dokumentus (atestatus ir teisės pripažinimo dokumentus), įrodančius aukštesnę nei nesudėtingojo statinio statybos vadovo kvalifikaciją gali būti nurodyta tik pastaboje. Atsižvelgdama į tai, kas nurodyta, Tarnyba rekomenduoja aukščiau nurodytą kvalifikacijos reikalavimą tikslinti / keisti, atsižvelgiant į pateiktas pastabas.</w:t>
      </w:r>
    </w:p>
    <w:p w14:paraId="2B7DADD0" w14:textId="3E46F7EB" w:rsidR="00E72D80" w:rsidRPr="00B65D25" w:rsidRDefault="00E72D80" w:rsidP="00B65D25">
      <w:pPr>
        <w:tabs>
          <w:tab w:val="left" w:pos="851"/>
        </w:tabs>
        <w:spacing w:after="0" w:line="276" w:lineRule="auto"/>
        <w:ind w:firstLine="567"/>
        <w:contextualSpacing/>
        <w:rPr>
          <w:rFonts w:asciiTheme="minorHAnsi" w:eastAsiaTheme="minorEastAsia" w:hAnsiTheme="minorHAnsi" w:cstheme="minorHAnsi"/>
          <w:bCs/>
          <w:sz w:val="24"/>
          <w:szCs w:val="24"/>
          <w:lang w:val="lt-LT" w:eastAsia="lt-LT"/>
        </w:rPr>
      </w:pPr>
      <w:r w:rsidRPr="00B65D25">
        <w:rPr>
          <w:rFonts w:asciiTheme="minorHAnsi" w:hAnsiTheme="minorHAnsi" w:cstheme="minorHAnsi"/>
          <w:b/>
          <w:sz w:val="24"/>
          <w:szCs w:val="24"/>
          <w:lang w:val="lt-LT"/>
        </w:rPr>
        <w:t xml:space="preserve">1.2. </w:t>
      </w:r>
      <w:r w:rsidR="00706FBC" w:rsidRPr="00B65D25">
        <w:rPr>
          <w:rFonts w:asciiTheme="minorHAnsi" w:hAnsiTheme="minorHAnsi" w:cstheme="minorHAnsi"/>
          <w:sz w:val="24"/>
          <w:szCs w:val="24"/>
          <w:lang w:val="lt-LT"/>
        </w:rPr>
        <w:t>Pirkimo sąlygų 22.2 papunktyje  nustatytas kvalifikacinis reikalavimas</w:t>
      </w:r>
      <w:r w:rsidR="006B5A84" w:rsidRPr="00B65D25">
        <w:rPr>
          <w:rFonts w:asciiTheme="minorHAnsi" w:hAnsiTheme="minorHAnsi" w:cstheme="minorHAnsi"/>
          <w:sz w:val="24"/>
          <w:szCs w:val="24"/>
          <w:lang w:val="lt-LT"/>
        </w:rPr>
        <w:t>: „Tiekėjas &lt;...&gt;</w:t>
      </w:r>
      <w:r w:rsidR="00C64284" w:rsidRPr="00B65D25">
        <w:rPr>
          <w:rFonts w:asciiTheme="minorHAnsi" w:hAnsiTheme="minorHAnsi" w:cstheme="minorHAnsi"/>
          <w:kern w:val="0"/>
          <w:sz w:val="24"/>
          <w:szCs w:val="24"/>
          <w:lang w:val="lt-LT"/>
          <w14:ligatures w14:val="none"/>
        </w:rPr>
        <w:t xml:space="preserve"> yra atlikęs statybos, rekonstravimo, kapitalinio ir (ar) paprastojo remonto darbų </w:t>
      </w:r>
      <w:r w:rsidR="00C64284" w:rsidRPr="00B65D25">
        <w:rPr>
          <w:rFonts w:asciiTheme="minorHAnsi" w:eastAsia="Times New Roman" w:hAnsiTheme="minorHAnsi" w:cstheme="minorHAnsi"/>
          <w:kern w:val="0"/>
          <w:sz w:val="24"/>
          <w:szCs w:val="24"/>
          <w:lang w:val="lt-LT"/>
          <w14:ligatures w14:val="none"/>
        </w:rPr>
        <w:t xml:space="preserve">(statinių  grupės: susisiekimo komunikacijos, pogrupiai – keliai, gatvės, statinių kategorijos: ypatingi, </w:t>
      </w:r>
      <w:r w:rsidR="00C64284" w:rsidRPr="00B65D25">
        <w:rPr>
          <w:rFonts w:asciiTheme="minorHAnsi" w:eastAsia="Times New Roman" w:hAnsiTheme="minorHAnsi" w:cstheme="minorHAnsi"/>
          <w:kern w:val="0"/>
          <w:sz w:val="24"/>
          <w:szCs w:val="24"/>
          <w:lang w:val="lt-LT"/>
          <w14:ligatures w14:val="none"/>
        </w:rPr>
        <w:lastRenderedPageBreak/>
        <w:t>neypatingi, nesudėtingi),</w:t>
      </w:r>
      <w:r w:rsidR="00C64284" w:rsidRPr="00B65D25">
        <w:rPr>
          <w:rFonts w:asciiTheme="minorHAnsi" w:hAnsiTheme="minorHAnsi" w:cstheme="minorHAnsi"/>
          <w:kern w:val="0"/>
          <w:sz w:val="24"/>
          <w:szCs w:val="24"/>
          <w:lang w:val="lt-LT"/>
          <w14:ligatures w14:val="none"/>
        </w:rPr>
        <w:t xml:space="preserve"> kurių bendra vertė ne mažesnė nei 200 000,00 Eur be PVM.“</w:t>
      </w:r>
      <w:r w:rsidR="008E0D5C" w:rsidRPr="00B65D25">
        <w:rPr>
          <w:rFonts w:asciiTheme="minorHAnsi" w:hAnsiTheme="minorHAnsi" w:cstheme="minorHAnsi"/>
          <w:kern w:val="0"/>
          <w:sz w:val="24"/>
          <w:szCs w:val="24"/>
          <w:lang w:val="lt-LT"/>
          <w14:ligatures w14:val="none"/>
        </w:rPr>
        <w:t xml:space="preserve"> </w:t>
      </w:r>
      <w:r w:rsidR="008E0D5C" w:rsidRPr="00B65D25">
        <w:rPr>
          <w:rFonts w:asciiTheme="minorHAnsi" w:eastAsiaTheme="minorEastAsia" w:hAnsiTheme="minorHAnsi" w:cstheme="minorHAnsi"/>
          <w:bCs/>
          <w:sz w:val="24"/>
          <w:szCs w:val="24"/>
          <w:lang w:val="lt-LT" w:eastAsia="lt-LT"/>
        </w:rPr>
        <w:t xml:space="preserve">Atsižvelgiant į tai, kad šiuo atveju tiekėjai savo kvalifikaciją gali grįsti </w:t>
      </w:r>
      <w:r w:rsidR="00843C32" w:rsidRPr="00B65D25">
        <w:rPr>
          <w:rFonts w:asciiTheme="minorHAnsi" w:eastAsiaTheme="minorEastAsia" w:hAnsiTheme="minorHAnsi" w:cstheme="minorHAnsi"/>
          <w:bCs/>
          <w:sz w:val="24"/>
          <w:szCs w:val="24"/>
          <w:lang w:val="lt-LT" w:eastAsia="lt-LT"/>
        </w:rPr>
        <w:t>viena ar</w:t>
      </w:r>
      <w:r w:rsidR="005F6789" w:rsidRPr="00B65D25">
        <w:rPr>
          <w:rFonts w:asciiTheme="minorHAnsi" w:eastAsiaTheme="minorEastAsia" w:hAnsiTheme="minorHAnsi" w:cstheme="minorHAnsi"/>
          <w:bCs/>
          <w:sz w:val="24"/>
          <w:szCs w:val="24"/>
          <w:lang w:val="lt-LT" w:eastAsia="lt-LT"/>
        </w:rPr>
        <w:t xml:space="preserve"> daugiau </w:t>
      </w:r>
      <w:r w:rsidR="008E0D5C" w:rsidRPr="00B65D25">
        <w:rPr>
          <w:rFonts w:asciiTheme="minorHAnsi" w:eastAsiaTheme="minorEastAsia" w:hAnsiTheme="minorHAnsi" w:cstheme="minorHAnsi"/>
          <w:bCs/>
          <w:sz w:val="24"/>
          <w:szCs w:val="24"/>
          <w:lang w:val="lt-LT" w:eastAsia="lt-LT"/>
        </w:rPr>
        <w:t>sutar</w:t>
      </w:r>
      <w:r w:rsidR="005F6789" w:rsidRPr="00B65D25">
        <w:rPr>
          <w:rFonts w:asciiTheme="minorHAnsi" w:eastAsiaTheme="minorEastAsia" w:hAnsiTheme="minorHAnsi" w:cstheme="minorHAnsi"/>
          <w:bCs/>
          <w:sz w:val="24"/>
          <w:szCs w:val="24"/>
          <w:lang w:val="lt-LT" w:eastAsia="lt-LT"/>
        </w:rPr>
        <w:t>čių</w:t>
      </w:r>
      <w:r w:rsidR="008E0D5C" w:rsidRPr="00B65D25">
        <w:rPr>
          <w:rFonts w:asciiTheme="minorHAnsi" w:eastAsiaTheme="minorEastAsia" w:hAnsiTheme="minorHAnsi" w:cstheme="minorHAnsi"/>
          <w:bCs/>
          <w:sz w:val="24"/>
          <w:szCs w:val="24"/>
          <w:lang w:val="lt-LT" w:eastAsia="lt-LT"/>
        </w:rPr>
        <w:t xml:space="preserve">, kurių metu </w:t>
      </w:r>
      <w:r w:rsidR="00EA58F2" w:rsidRPr="00B65D25">
        <w:rPr>
          <w:rFonts w:asciiTheme="minorHAnsi" w:eastAsiaTheme="minorEastAsia" w:hAnsiTheme="minorHAnsi" w:cstheme="minorHAnsi"/>
          <w:bCs/>
          <w:sz w:val="24"/>
          <w:szCs w:val="24"/>
          <w:lang w:val="lt-LT" w:eastAsia="lt-LT"/>
        </w:rPr>
        <w:t>yra atlikę</w:t>
      </w:r>
      <w:r w:rsidR="0064697B" w:rsidRPr="00B65D25">
        <w:rPr>
          <w:rFonts w:asciiTheme="minorHAnsi" w:eastAsiaTheme="minorEastAsia" w:hAnsiTheme="minorHAnsi" w:cstheme="minorHAnsi"/>
          <w:bCs/>
          <w:sz w:val="24"/>
          <w:szCs w:val="24"/>
          <w:lang w:val="lt-LT" w:eastAsia="lt-LT"/>
        </w:rPr>
        <w:t xml:space="preserve"> </w:t>
      </w:r>
      <w:r w:rsidR="008E0D5C" w:rsidRPr="00B65D25">
        <w:rPr>
          <w:rFonts w:asciiTheme="minorHAnsi" w:eastAsiaTheme="minorEastAsia" w:hAnsiTheme="minorHAnsi" w:cstheme="minorHAnsi"/>
          <w:bCs/>
          <w:sz w:val="24"/>
          <w:szCs w:val="24"/>
          <w:lang w:val="lt-LT" w:eastAsia="lt-LT"/>
        </w:rPr>
        <w:t xml:space="preserve">statybos, </w:t>
      </w:r>
      <w:r w:rsidR="00EA58F2" w:rsidRPr="00B65D25">
        <w:rPr>
          <w:rFonts w:asciiTheme="minorHAnsi" w:eastAsiaTheme="minorEastAsia" w:hAnsiTheme="minorHAnsi" w:cstheme="minorHAnsi"/>
          <w:bCs/>
          <w:sz w:val="24"/>
          <w:szCs w:val="24"/>
          <w:lang w:val="lt-LT" w:eastAsia="lt-LT"/>
        </w:rPr>
        <w:t>rekonstravimo</w:t>
      </w:r>
      <w:r w:rsidR="00D00D85" w:rsidRPr="00B65D25">
        <w:rPr>
          <w:rFonts w:asciiTheme="minorHAnsi" w:eastAsiaTheme="minorEastAsia" w:hAnsiTheme="minorHAnsi" w:cstheme="minorHAnsi"/>
          <w:bCs/>
          <w:sz w:val="24"/>
          <w:szCs w:val="24"/>
          <w:lang w:val="lt-LT" w:eastAsia="lt-LT"/>
        </w:rPr>
        <w:t xml:space="preserve">, </w:t>
      </w:r>
      <w:r w:rsidR="008E0D5C" w:rsidRPr="00B65D25">
        <w:rPr>
          <w:rFonts w:asciiTheme="minorHAnsi" w:eastAsiaTheme="minorEastAsia" w:hAnsiTheme="minorHAnsi" w:cstheme="minorHAnsi"/>
          <w:bCs/>
          <w:sz w:val="24"/>
          <w:szCs w:val="24"/>
          <w:lang w:val="lt-LT" w:eastAsia="lt-LT"/>
        </w:rPr>
        <w:t xml:space="preserve">kapitalinio </w:t>
      </w:r>
      <w:r w:rsidR="00D00D85" w:rsidRPr="00B65D25">
        <w:rPr>
          <w:rFonts w:asciiTheme="minorHAnsi" w:eastAsiaTheme="minorEastAsia" w:hAnsiTheme="minorHAnsi" w:cstheme="minorHAnsi"/>
          <w:bCs/>
          <w:sz w:val="24"/>
          <w:szCs w:val="24"/>
          <w:lang w:val="lt-LT" w:eastAsia="lt-LT"/>
        </w:rPr>
        <w:t xml:space="preserve">ir (ar) paprastojo remonto </w:t>
      </w:r>
      <w:r w:rsidR="008E0D5C" w:rsidRPr="00B65D25">
        <w:rPr>
          <w:rFonts w:asciiTheme="minorHAnsi" w:eastAsiaTheme="minorEastAsia" w:hAnsiTheme="minorHAnsi" w:cstheme="minorHAnsi"/>
          <w:bCs/>
          <w:sz w:val="24"/>
          <w:szCs w:val="24"/>
          <w:lang w:val="lt-LT" w:eastAsia="lt-LT"/>
        </w:rPr>
        <w:t>darb</w:t>
      </w:r>
      <w:r w:rsidR="00390802" w:rsidRPr="00B65D25">
        <w:rPr>
          <w:rFonts w:asciiTheme="minorHAnsi" w:eastAsiaTheme="minorEastAsia" w:hAnsiTheme="minorHAnsi" w:cstheme="minorHAnsi"/>
          <w:bCs/>
          <w:sz w:val="24"/>
          <w:szCs w:val="24"/>
          <w:lang w:val="lt-LT" w:eastAsia="lt-LT"/>
        </w:rPr>
        <w:t>ų</w:t>
      </w:r>
      <w:r w:rsidR="008E0D5C" w:rsidRPr="00B65D25">
        <w:rPr>
          <w:rFonts w:asciiTheme="minorHAnsi" w:eastAsiaTheme="minorEastAsia" w:hAnsiTheme="minorHAnsi" w:cstheme="minorHAnsi"/>
          <w:bCs/>
          <w:sz w:val="24"/>
          <w:szCs w:val="24"/>
          <w:lang w:val="lt-LT" w:eastAsia="lt-LT"/>
        </w:rPr>
        <w:t xml:space="preserve">, bei siekiant paties reikalavimo pernelyg nesusiaurinti, Tarnyba rekomenduoja jį  patikslinti taip: </w:t>
      </w:r>
      <w:r w:rsidR="006E40A7" w:rsidRPr="00B65D25">
        <w:rPr>
          <w:rFonts w:asciiTheme="minorHAnsi" w:eastAsiaTheme="minorEastAsia" w:hAnsiTheme="minorHAnsi" w:cstheme="minorHAnsi"/>
          <w:bCs/>
          <w:sz w:val="24"/>
          <w:szCs w:val="24"/>
          <w:lang w:val="lt-LT" w:eastAsia="lt-LT"/>
        </w:rPr>
        <w:t xml:space="preserve">      </w:t>
      </w:r>
      <w:r w:rsidR="008E0D5C" w:rsidRPr="00B65D25">
        <w:rPr>
          <w:rFonts w:asciiTheme="minorHAnsi" w:eastAsiaTheme="minorEastAsia" w:hAnsiTheme="minorHAnsi" w:cstheme="minorHAnsi"/>
          <w:bCs/>
          <w:sz w:val="24"/>
          <w:szCs w:val="24"/>
          <w:lang w:val="lt-LT" w:eastAsia="lt-LT"/>
        </w:rPr>
        <w:t>„</w:t>
      </w:r>
      <w:r w:rsidR="006E40A7" w:rsidRPr="00B65D25">
        <w:rPr>
          <w:rFonts w:asciiTheme="minorHAnsi" w:hAnsiTheme="minorHAnsi" w:cstheme="minorHAnsi"/>
          <w:kern w:val="0"/>
          <w:sz w:val="24"/>
          <w:szCs w:val="24"/>
          <w:lang w:val="lt-LT"/>
          <w14:ligatures w14:val="none"/>
        </w:rPr>
        <w:t>&lt;...&gt;</w:t>
      </w:r>
      <w:r w:rsidR="00551EAA" w:rsidRPr="00B65D25">
        <w:rPr>
          <w:rFonts w:asciiTheme="minorHAnsi" w:hAnsiTheme="minorHAnsi" w:cstheme="minorHAnsi"/>
          <w:kern w:val="0"/>
          <w:sz w:val="24"/>
          <w:szCs w:val="24"/>
          <w:lang w:val="lt-LT"/>
          <w14:ligatures w14:val="none"/>
        </w:rPr>
        <w:t xml:space="preserve">yra atlikęs statybos </w:t>
      </w:r>
      <w:r w:rsidR="00551EAA" w:rsidRPr="00B65D25">
        <w:rPr>
          <w:rFonts w:asciiTheme="minorHAnsi" w:hAnsiTheme="minorHAnsi" w:cstheme="minorHAnsi"/>
          <w:b/>
          <w:bCs/>
          <w:kern w:val="0"/>
          <w:sz w:val="24"/>
          <w:szCs w:val="24"/>
          <w:lang w:val="lt-LT"/>
          <w14:ligatures w14:val="none"/>
        </w:rPr>
        <w:t>ir/ar</w:t>
      </w:r>
      <w:r w:rsidR="00013227" w:rsidRPr="00B65D25">
        <w:rPr>
          <w:rFonts w:asciiTheme="minorHAnsi" w:hAnsiTheme="minorHAnsi" w:cstheme="minorHAnsi"/>
          <w:b/>
          <w:bCs/>
          <w:kern w:val="0"/>
          <w:sz w:val="24"/>
          <w:szCs w:val="24"/>
          <w:lang w:val="lt-LT"/>
          <w14:ligatures w14:val="none"/>
        </w:rPr>
        <w:t>ba</w:t>
      </w:r>
      <w:r w:rsidR="00551EAA" w:rsidRPr="00B65D25">
        <w:rPr>
          <w:rFonts w:asciiTheme="minorHAnsi" w:hAnsiTheme="minorHAnsi" w:cstheme="minorHAnsi"/>
          <w:kern w:val="0"/>
          <w:sz w:val="24"/>
          <w:szCs w:val="24"/>
          <w:lang w:val="lt-LT"/>
          <w14:ligatures w14:val="none"/>
        </w:rPr>
        <w:t xml:space="preserve"> rekonstravimo</w:t>
      </w:r>
      <w:r w:rsidR="0064697B" w:rsidRPr="00B65D25">
        <w:rPr>
          <w:rFonts w:asciiTheme="minorHAnsi" w:hAnsiTheme="minorHAnsi" w:cstheme="minorHAnsi"/>
          <w:kern w:val="0"/>
          <w:sz w:val="24"/>
          <w:szCs w:val="24"/>
          <w:lang w:val="lt-LT"/>
          <w14:ligatures w14:val="none"/>
        </w:rPr>
        <w:t>,</w:t>
      </w:r>
      <w:r w:rsidR="00013227" w:rsidRPr="00B65D25">
        <w:rPr>
          <w:rFonts w:asciiTheme="minorHAnsi" w:hAnsiTheme="minorHAnsi" w:cstheme="minorHAnsi"/>
          <w:kern w:val="0"/>
          <w:sz w:val="24"/>
          <w:szCs w:val="24"/>
          <w:lang w:val="lt-LT"/>
          <w14:ligatures w14:val="none"/>
        </w:rPr>
        <w:t xml:space="preserve"> </w:t>
      </w:r>
      <w:r w:rsidR="00013227" w:rsidRPr="00B65D25">
        <w:rPr>
          <w:rFonts w:asciiTheme="minorHAnsi" w:hAnsiTheme="minorHAnsi" w:cstheme="minorHAnsi"/>
          <w:b/>
          <w:bCs/>
          <w:kern w:val="0"/>
          <w:sz w:val="24"/>
          <w:szCs w:val="24"/>
          <w:lang w:val="lt-LT"/>
          <w14:ligatures w14:val="none"/>
        </w:rPr>
        <w:t>ir/arba</w:t>
      </w:r>
      <w:r w:rsidR="00551EAA" w:rsidRPr="00B65D25">
        <w:rPr>
          <w:rFonts w:asciiTheme="minorHAnsi" w:hAnsiTheme="minorHAnsi" w:cstheme="minorHAnsi"/>
          <w:kern w:val="0"/>
          <w:sz w:val="24"/>
          <w:szCs w:val="24"/>
          <w:lang w:val="lt-LT"/>
          <w14:ligatures w14:val="none"/>
        </w:rPr>
        <w:t xml:space="preserve"> kapitalinio</w:t>
      </w:r>
      <w:r w:rsidR="0064697B" w:rsidRPr="00B65D25">
        <w:rPr>
          <w:rFonts w:asciiTheme="minorHAnsi" w:hAnsiTheme="minorHAnsi" w:cstheme="minorHAnsi"/>
          <w:kern w:val="0"/>
          <w:sz w:val="24"/>
          <w:szCs w:val="24"/>
          <w:lang w:val="lt-LT"/>
          <w14:ligatures w14:val="none"/>
        </w:rPr>
        <w:t>,</w:t>
      </w:r>
      <w:r w:rsidR="00551EAA" w:rsidRPr="00B65D25">
        <w:rPr>
          <w:rFonts w:asciiTheme="minorHAnsi" w:hAnsiTheme="minorHAnsi" w:cstheme="minorHAnsi"/>
          <w:kern w:val="0"/>
          <w:sz w:val="24"/>
          <w:szCs w:val="24"/>
          <w:lang w:val="lt-LT"/>
          <w14:ligatures w14:val="none"/>
        </w:rPr>
        <w:t xml:space="preserve"> </w:t>
      </w:r>
      <w:r w:rsidR="00551EAA" w:rsidRPr="00B65D25">
        <w:rPr>
          <w:rFonts w:asciiTheme="minorHAnsi" w:hAnsiTheme="minorHAnsi" w:cstheme="minorHAnsi"/>
          <w:b/>
          <w:bCs/>
          <w:kern w:val="0"/>
          <w:sz w:val="24"/>
          <w:szCs w:val="24"/>
          <w:lang w:val="lt-LT"/>
          <w14:ligatures w14:val="none"/>
        </w:rPr>
        <w:t>ir</w:t>
      </w:r>
      <w:r w:rsidR="00013227" w:rsidRPr="00B65D25">
        <w:rPr>
          <w:rFonts w:asciiTheme="minorHAnsi" w:hAnsiTheme="minorHAnsi" w:cstheme="minorHAnsi"/>
          <w:b/>
          <w:bCs/>
          <w:kern w:val="0"/>
          <w:sz w:val="24"/>
          <w:szCs w:val="24"/>
          <w:lang w:val="lt-LT"/>
          <w14:ligatures w14:val="none"/>
        </w:rPr>
        <w:t>/arba</w:t>
      </w:r>
      <w:r w:rsidR="00551EAA" w:rsidRPr="00B65D25">
        <w:rPr>
          <w:rFonts w:asciiTheme="minorHAnsi" w:hAnsiTheme="minorHAnsi" w:cstheme="minorHAnsi"/>
          <w:kern w:val="0"/>
          <w:sz w:val="24"/>
          <w:szCs w:val="24"/>
          <w:lang w:val="lt-LT"/>
          <w14:ligatures w14:val="none"/>
        </w:rPr>
        <w:t xml:space="preserve"> paprastojo remonto darbų </w:t>
      </w:r>
      <w:r w:rsidR="00551EAA" w:rsidRPr="00B65D25">
        <w:rPr>
          <w:rFonts w:asciiTheme="minorHAnsi" w:eastAsia="Times New Roman" w:hAnsiTheme="minorHAnsi" w:cstheme="minorHAnsi"/>
          <w:kern w:val="0"/>
          <w:sz w:val="24"/>
          <w:szCs w:val="24"/>
          <w:lang w:val="lt-LT"/>
          <w14:ligatures w14:val="none"/>
        </w:rPr>
        <w:t xml:space="preserve">(statinių  grupės: susisiekimo komunikacijos, pogrupiai – </w:t>
      </w:r>
      <w:r w:rsidR="00551EAA" w:rsidRPr="00B65D25">
        <w:rPr>
          <w:rFonts w:asciiTheme="minorHAnsi" w:eastAsia="Times New Roman" w:hAnsiTheme="minorHAnsi" w:cstheme="minorHAnsi"/>
          <w:b/>
          <w:bCs/>
          <w:kern w:val="0"/>
          <w:sz w:val="24"/>
          <w:szCs w:val="24"/>
          <w:lang w:val="lt-LT"/>
          <w14:ligatures w14:val="none"/>
        </w:rPr>
        <w:t>keliai</w:t>
      </w:r>
      <w:r w:rsidR="0064697B" w:rsidRPr="00B65D25">
        <w:rPr>
          <w:rFonts w:asciiTheme="minorHAnsi" w:eastAsia="Times New Roman" w:hAnsiTheme="minorHAnsi" w:cstheme="minorHAnsi"/>
          <w:b/>
          <w:bCs/>
          <w:kern w:val="0"/>
          <w:sz w:val="24"/>
          <w:szCs w:val="24"/>
          <w:lang w:val="lt-LT"/>
          <w14:ligatures w14:val="none"/>
        </w:rPr>
        <w:t>/</w:t>
      </w:r>
      <w:r w:rsidR="00551EAA" w:rsidRPr="00B65D25">
        <w:rPr>
          <w:rFonts w:asciiTheme="minorHAnsi" w:eastAsia="Times New Roman" w:hAnsiTheme="minorHAnsi" w:cstheme="minorHAnsi"/>
          <w:b/>
          <w:bCs/>
          <w:kern w:val="0"/>
          <w:sz w:val="24"/>
          <w:szCs w:val="24"/>
          <w:lang w:val="lt-LT"/>
          <w14:ligatures w14:val="none"/>
        </w:rPr>
        <w:t>gatvės</w:t>
      </w:r>
      <w:r w:rsidR="00551EAA" w:rsidRPr="00B65D25">
        <w:rPr>
          <w:rFonts w:asciiTheme="minorHAnsi" w:eastAsia="Times New Roman" w:hAnsiTheme="minorHAnsi" w:cstheme="minorHAnsi"/>
          <w:kern w:val="0"/>
          <w:sz w:val="24"/>
          <w:szCs w:val="24"/>
          <w:lang w:val="lt-LT"/>
          <w14:ligatures w14:val="none"/>
        </w:rPr>
        <w:t xml:space="preserve">, statinių kategorijos: </w:t>
      </w:r>
      <w:r w:rsidR="00551EAA" w:rsidRPr="00B65D25">
        <w:rPr>
          <w:rFonts w:asciiTheme="minorHAnsi" w:eastAsia="Times New Roman" w:hAnsiTheme="minorHAnsi" w:cstheme="minorHAnsi"/>
          <w:b/>
          <w:bCs/>
          <w:kern w:val="0"/>
          <w:sz w:val="24"/>
          <w:szCs w:val="24"/>
          <w:lang w:val="lt-LT"/>
          <w14:ligatures w14:val="none"/>
        </w:rPr>
        <w:t>ypatingi</w:t>
      </w:r>
      <w:r w:rsidR="0064697B" w:rsidRPr="00B65D25">
        <w:rPr>
          <w:rFonts w:asciiTheme="minorHAnsi" w:eastAsia="Times New Roman" w:hAnsiTheme="minorHAnsi" w:cstheme="minorHAnsi"/>
          <w:b/>
          <w:bCs/>
          <w:kern w:val="0"/>
          <w:sz w:val="24"/>
          <w:szCs w:val="24"/>
          <w:lang w:val="lt-LT"/>
          <w14:ligatures w14:val="none"/>
        </w:rPr>
        <w:t>/</w:t>
      </w:r>
      <w:r w:rsidR="00551EAA" w:rsidRPr="00B65D25">
        <w:rPr>
          <w:rFonts w:asciiTheme="minorHAnsi" w:eastAsia="Times New Roman" w:hAnsiTheme="minorHAnsi" w:cstheme="minorHAnsi"/>
          <w:b/>
          <w:bCs/>
          <w:kern w:val="0"/>
          <w:sz w:val="24"/>
          <w:szCs w:val="24"/>
          <w:lang w:val="lt-LT"/>
          <w14:ligatures w14:val="none"/>
        </w:rPr>
        <w:t>neypatingi</w:t>
      </w:r>
      <w:r w:rsidR="0064697B" w:rsidRPr="00B65D25">
        <w:rPr>
          <w:rFonts w:asciiTheme="minorHAnsi" w:eastAsia="Times New Roman" w:hAnsiTheme="minorHAnsi" w:cstheme="minorHAnsi"/>
          <w:b/>
          <w:bCs/>
          <w:kern w:val="0"/>
          <w:sz w:val="24"/>
          <w:szCs w:val="24"/>
          <w:lang w:val="lt-LT"/>
          <w14:ligatures w14:val="none"/>
        </w:rPr>
        <w:t>/</w:t>
      </w:r>
      <w:r w:rsidR="00551EAA" w:rsidRPr="00B65D25">
        <w:rPr>
          <w:rFonts w:asciiTheme="minorHAnsi" w:eastAsia="Times New Roman" w:hAnsiTheme="minorHAnsi" w:cstheme="minorHAnsi"/>
          <w:b/>
          <w:bCs/>
          <w:kern w:val="0"/>
          <w:sz w:val="24"/>
          <w:szCs w:val="24"/>
          <w:lang w:val="lt-LT"/>
          <w14:ligatures w14:val="none"/>
        </w:rPr>
        <w:t>nesudėtingi</w:t>
      </w:r>
      <w:r w:rsidR="00551EAA" w:rsidRPr="00B65D25">
        <w:rPr>
          <w:rFonts w:asciiTheme="minorHAnsi" w:eastAsia="Times New Roman" w:hAnsiTheme="minorHAnsi" w:cstheme="minorHAnsi"/>
          <w:kern w:val="0"/>
          <w:sz w:val="24"/>
          <w:szCs w:val="24"/>
          <w:lang w:val="lt-LT"/>
          <w14:ligatures w14:val="none"/>
        </w:rPr>
        <w:t>),</w:t>
      </w:r>
      <w:r w:rsidR="00551EAA" w:rsidRPr="00B65D25">
        <w:rPr>
          <w:rFonts w:asciiTheme="minorHAnsi" w:hAnsiTheme="minorHAnsi" w:cstheme="minorHAnsi"/>
          <w:kern w:val="0"/>
          <w:sz w:val="24"/>
          <w:szCs w:val="24"/>
          <w:lang w:val="lt-LT"/>
          <w14:ligatures w14:val="none"/>
        </w:rPr>
        <w:t xml:space="preserve"> kurių bendra vertė ne mažesnė nei 200 000,00 Eur be PVM.“</w:t>
      </w:r>
    </w:p>
    <w:p w14:paraId="0194A5BF" w14:textId="77777777" w:rsidR="00E72D80" w:rsidRPr="00B65D25" w:rsidRDefault="00E72D80" w:rsidP="00B65D25">
      <w:pPr>
        <w:tabs>
          <w:tab w:val="left" w:pos="851"/>
        </w:tabs>
        <w:spacing w:after="0" w:line="276" w:lineRule="auto"/>
        <w:ind w:firstLine="567"/>
        <w:contextualSpacing/>
        <w:rPr>
          <w:rFonts w:asciiTheme="minorHAnsi" w:hAnsiTheme="minorHAnsi" w:cstheme="minorHAnsi"/>
          <w:bCs/>
          <w:sz w:val="24"/>
          <w:szCs w:val="24"/>
          <w:lang w:val="lt-LT"/>
        </w:rPr>
      </w:pPr>
    </w:p>
    <w:p w14:paraId="2186F585" w14:textId="2A6D20DF" w:rsidR="008E2968" w:rsidRPr="00B65D25" w:rsidRDefault="00F449E9" w:rsidP="00B65D25">
      <w:pPr>
        <w:pStyle w:val="paragraph"/>
        <w:tabs>
          <w:tab w:val="left" w:pos="1134"/>
        </w:tabs>
        <w:spacing w:before="0" w:beforeAutospacing="0" w:after="0" w:afterAutospacing="0" w:line="276" w:lineRule="auto"/>
        <w:textAlignment w:val="baseline"/>
        <w:rPr>
          <w:rFonts w:asciiTheme="minorHAnsi" w:hAnsiTheme="minorHAnsi" w:cstheme="minorHAnsi"/>
          <w:b/>
          <w:bCs/>
          <w:lang w:val="lt-LT"/>
        </w:rPr>
      </w:pPr>
      <w:r w:rsidRPr="00B65D25">
        <w:rPr>
          <w:rFonts w:asciiTheme="minorHAnsi" w:hAnsiTheme="minorHAnsi" w:cstheme="minorHAnsi"/>
          <w:b/>
          <w:bCs/>
          <w:lang w:val="lt-LT"/>
        </w:rPr>
        <w:t xml:space="preserve">          2. Dėl žali</w:t>
      </w:r>
      <w:r w:rsidR="006F26B1" w:rsidRPr="00B65D25">
        <w:rPr>
          <w:rFonts w:asciiTheme="minorHAnsi" w:hAnsiTheme="minorHAnsi" w:cstheme="minorHAnsi"/>
          <w:b/>
          <w:bCs/>
          <w:lang w:val="lt-LT"/>
        </w:rPr>
        <w:t>ųjų</w:t>
      </w:r>
      <w:r w:rsidRPr="00B65D25">
        <w:rPr>
          <w:rFonts w:asciiTheme="minorHAnsi" w:hAnsiTheme="minorHAnsi" w:cstheme="minorHAnsi"/>
          <w:b/>
          <w:bCs/>
          <w:lang w:val="lt-LT"/>
        </w:rPr>
        <w:t xml:space="preserve"> kriterijų taikymo</w:t>
      </w:r>
    </w:p>
    <w:p w14:paraId="736719A3" w14:textId="77777777" w:rsidR="005C0F91" w:rsidRPr="00B65D25" w:rsidRDefault="005C0F91" w:rsidP="00B65D25">
      <w:pPr>
        <w:pStyle w:val="BodyText"/>
        <w:spacing w:after="0" w:line="276" w:lineRule="auto"/>
        <w:rPr>
          <w:rFonts w:asciiTheme="minorHAnsi" w:hAnsiTheme="minorHAnsi" w:cstheme="minorHAnsi"/>
          <w:sz w:val="24"/>
          <w:szCs w:val="24"/>
          <w:lang w:val="lt-LT"/>
        </w:rPr>
      </w:pPr>
      <w:r w:rsidRPr="00B65D25">
        <w:rPr>
          <w:rFonts w:asciiTheme="minorHAnsi" w:hAnsiTheme="minorHAnsi" w:cstheme="minorHAnsi"/>
          <w:b/>
          <w:bCs/>
          <w:sz w:val="24"/>
          <w:szCs w:val="24"/>
          <w:lang w:val="lt-LT"/>
        </w:rPr>
        <w:t xml:space="preserve">         2.1.</w:t>
      </w:r>
      <w:r w:rsidRPr="00B65D25">
        <w:rPr>
          <w:rFonts w:asciiTheme="minorHAnsi" w:hAnsiTheme="minorHAnsi" w:cstheme="minorHAnsi"/>
          <w:sz w:val="24"/>
          <w:szCs w:val="24"/>
          <w:lang w:val="lt-LT"/>
        </w:rPr>
        <w:t xml:space="preserve"> </w:t>
      </w:r>
      <w:r w:rsidR="008E2968" w:rsidRPr="00B65D25">
        <w:rPr>
          <w:rFonts w:asciiTheme="minorHAnsi" w:hAnsiTheme="minorHAnsi" w:cstheme="minorHAnsi"/>
          <w:sz w:val="24"/>
          <w:szCs w:val="24"/>
          <w:lang w:val="lt-LT"/>
        </w:rPr>
        <w:t xml:space="preserve">Skelbime apie Pirkimą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w:t>
      </w:r>
      <w:r w:rsidR="008E2968" w:rsidRPr="00B65D25">
        <w:rPr>
          <w:rFonts w:asciiTheme="minorHAnsi" w:hAnsiTheme="minorHAnsi" w:cstheme="minorHAnsi"/>
          <w:b/>
          <w:bCs/>
          <w:sz w:val="24"/>
          <w:szCs w:val="24"/>
          <w:lang w:val="lt-LT"/>
        </w:rPr>
        <w:t>4.3 papunktį</w:t>
      </w:r>
      <w:r w:rsidR="008E2968" w:rsidRPr="00B65D25">
        <w:rPr>
          <w:rFonts w:asciiTheme="minorHAnsi" w:hAnsiTheme="minorHAnsi" w:cstheme="minorHAnsi"/>
          <w:sz w:val="24"/>
          <w:szCs w:val="24"/>
          <w:lang w:val="lt-LT"/>
        </w:rPr>
        <w:t xml:space="preserve"> („</w:t>
      </w:r>
      <w:r w:rsidR="008E2968" w:rsidRPr="00B65D25">
        <w:rPr>
          <w:rFonts w:asciiTheme="minorHAnsi" w:hAnsiTheme="minorHAnsi" w:cstheme="minorHAnsi"/>
          <w:b/>
          <w:bCs/>
          <w:sz w:val="24"/>
          <w:szCs w:val="24"/>
          <w:lang w:val="lt-LT"/>
        </w:rPr>
        <w:t>nėra produktų sąraše</w:t>
      </w:r>
      <w:r w:rsidR="008E2968" w:rsidRPr="00B65D25">
        <w:rPr>
          <w:rFonts w:asciiTheme="minorHAnsi" w:hAnsiTheme="minorHAnsi" w:cstheme="minorHAnsi"/>
          <w:sz w:val="24"/>
          <w:szCs w:val="24"/>
          <w:lang w:val="lt-LT"/>
        </w:rPr>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p>
    <w:p w14:paraId="2A3BA55E" w14:textId="58692566" w:rsidR="005C0F91" w:rsidRPr="00B65D25" w:rsidRDefault="005C0F91" w:rsidP="00B65D25">
      <w:pPr>
        <w:pStyle w:val="BodyText"/>
        <w:spacing w:after="0" w:line="276" w:lineRule="auto"/>
        <w:rPr>
          <w:rFonts w:asciiTheme="minorHAnsi" w:hAnsiTheme="minorHAnsi" w:cstheme="minorHAnsi"/>
          <w:sz w:val="24"/>
          <w:szCs w:val="24"/>
          <w:lang w:val="lt-LT"/>
        </w:rPr>
      </w:pPr>
      <w:r w:rsidRPr="00B65D25">
        <w:rPr>
          <w:rFonts w:asciiTheme="minorHAnsi" w:hAnsiTheme="minorHAnsi" w:cstheme="minorHAnsi"/>
          <w:sz w:val="24"/>
          <w:szCs w:val="24"/>
          <w:lang w:val="lt-LT"/>
        </w:rPr>
        <w:t xml:space="preserve">            </w:t>
      </w:r>
      <w:r w:rsidRPr="00B65D25">
        <w:rPr>
          <w:rFonts w:asciiTheme="minorHAnsi" w:eastAsia="Times New Roman" w:hAnsiTheme="minorHAnsi" w:cstheme="minorHAnsi"/>
          <w:kern w:val="0"/>
          <w:sz w:val="24"/>
          <w:szCs w:val="24"/>
          <w:lang w:val="lt-LT"/>
          <w14:ligatures w14:val="none"/>
        </w:rPr>
        <w:t xml:space="preserve">Pažymima, kad Pirkimo objektas šiuo atveju </w:t>
      </w:r>
      <w:r w:rsidRPr="00B65D25">
        <w:rPr>
          <w:rFonts w:asciiTheme="minorHAnsi" w:eastAsia="Times New Roman" w:hAnsiTheme="minorHAnsi" w:cstheme="minorHAnsi"/>
          <w:b/>
          <w:bCs/>
          <w:kern w:val="0"/>
          <w:sz w:val="24"/>
          <w:szCs w:val="24"/>
          <w:lang w:val="lt-LT"/>
          <w14:ligatures w14:val="none"/>
        </w:rPr>
        <w:t>patenka</w:t>
      </w:r>
      <w:r w:rsidRPr="00B65D25">
        <w:rPr>
          <w:rFonts w:asciiTheme="minorHAnsi" w:eastAsia="Times New Roman" w:hAnsiTheme="minorHAnsi" w:cstheme="minorHAnsi"/>
          <w:kern w:val="0"/>
          <w:sz w:val="24"/>
          <w:szCs w:val="24"/>
          <w:lang w:val="lt-LT"/>
          <w14:ligatures w14:val="none"/>
        </w:rPr>
        <w:t xml:space="preserve"> į Tvarkos aprašo priede Nr. 1 „Produktų, kurių viešiesiems pirkimams ir pirkimams taikytini minimalūs aplinkos apsaugos kriterijai, sąrašas“ nurodytą </w:t>
      </w:r>
      <w:r w:rsidRPr="00B65D25">
        <w:rPr>
          <w:rFonts w:asciiTheme="minorHAnsi" w:eastAsia="Times New Roman" w:hAnsiTheme="minorHAnsi" w:cstheme="minorHAnsi"/>
          <w:b/>
          <w:bCs/>
          <w:kern w:val="0"/>
          <w:sz w:val="24"/>
          <w:szCs w:val="24"/>
          <w:lang w:val="lt-LT"/>
          <w14:ligatures w14:val="none"/>
        </w:rPr>
        <w:t>sąrašą</w:t>
      </w:r>
      <w:r w:rsidRPr="00B65D25">
        <w:rPr>
          <w:rFonts w:asciiTheme="minorHAnsi" w:eastAsia="Times New Roman" w:hAnsiTheme="minorHAnsi" w:cstheme="minorHAnsi"/>
          <w:kern w:val="0"/>
          <w:sz w:val="24"/>
          <w:szCs w:val="24"/>
          <w:lang w:val="lt-LT"/>
          <w14:ligatures w14:val="none"/>
        </w:rPr>
        <w:t xml:space="preserve">, t. y. taikomas 17.1 papunktis „kelių projektavimo paslaugos ir jų statybos darbai“. 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priedo Nr. 2 „Minimalūs aplinkos apsaugos kriterijai“ 26.1 punkte nustatyti kelių statybos darbų minimalūs aplinkos apsaugos kriterijai, kuriuos privaloma taikyti vykdant žaliąjį pirkimą. </w:t>
      </w:r>
    </w:p>
    <w:p w14:paraId="4D43E21C" w14:textId="77777777" w:rsidR="005C0F91" w:rsidRPr="00B65D25" w:rsidRDefault="005C0F91" w:rsidP="00B65D25">
      <w:pPr>
        <w:spacing w:after="0" w:line="276" w:lineRule="auto"/>
        <w:textAlignment w:val="baseline"/>
        <w:rPr>
          <w:rFonts w:asciiTheme="minorHAnsi" w:eastAsia="Times New Roman" w:hAnsiTheme="minorHAnsi" w:cstheme="minorHAnsi"/>
          <w:kern w:val="0"/>
          <w:sz w:val="24"/>
          <w:szCs w:val="24"/>
          <w:lang w:val="lt-LT"/>
          <w14:ligatures w14:val="none"/>
        </w:rPr>
      </w:pPr>
      <w:r w:rsidRPr="00B65D25">
        <w:rPr>
          <w:rFonts w:asciiTheme="minorHAnsi" w:eastAsia="Times New Roman" w:hAnsiTheme="minorHAnsi" w:cstheme="minorHAnsi"/>
          <w:color w:val="2F5496" w:themeColor="accent1" w:themeShade="BF"/>
          <w:kern w:val="0"/>
          <w:sz w:val="24"/>
          <w:szCs w:val="24"/>
          <w:lang w:val="lt-LT"/>
          <w14:ligatures w14:val="none"/>
        </w:rPr>
        <w:t xml:space="preserve">           </w:t>
      </w:r>
      <w:r w:rsidRPr="00B65D25">
        <w:rPr>
          <w:rFonts w:asciiTheme="minorHAnsi" w:eastAsia="Times New Roman" w:hAnsiTheme="minorHAnsi" w:cstheme="minorHAnsi"/>
          <w:kern w:val="0"/>
          <w:sz w:val="24"/>
          <w:szCs w:val="24"/>
          <w:lang w:val="lt-LT"/>
          <w14:ligatures w14:val="none"/>
        </w:rPr>
        <w:t xml:space="preserve">Papildomai atkreipiame dėmesį, kad perkančiosios organizacijos taip pat 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konkretaus pirkimo aplinkos pasaugos kriterijai ir kurioje pirkimo dokumentų dalyje. Tai ypač svarbu, kadangi būtent perkančiųjų organizacijų skelbimuose pateiktų duomenų pagrindu įgyvendinama galimybė analizuoti informaciją apie žaliuosius </w:t>
      </w:r>
      <w:r w:rsidRPr="00B65D25">
        <w:rPr>
          <w:rFonts w:asciiTheme="minorHAnsi" w:eastAsia="Times New Roman" w:hAnsiTheme="minorHAnsi" w:cstheme="minorHAnsi"/>
          <w:kern w:val="0"/>
          <w:sz w:val="24"/>
          <w:szCs w:val="24"/>
          <w:lang w:val="lt-LT"/>
          <w14:ligatures w14:val="none"/>
        </w:rPr>
        <w:lastRenderedPageBreak/>
        <w:t>pirkimus Centriniame viešųjų pirkimų portale (CVPP) ir analitiniame stebėsenos įrankyje „Žalieji pirkimai pagal pirkimų skelbimuose pildomą informaciją (daugiau informacijos Tarnybos 2023 m. liepos 24 d. informaciniame pranešime „Dėl pirkimų skelbimuose pildomos „Žalia informacija“ skilties:</w:t>
      </w:r>
      <w:r w:rsidRPr="00B65D25">
        <w:rPr>
          <w:rFonts w:asciiTheme="minorHAnsi" w:eastAsiaTheme="minorHAnsi" w:hAnsiTheme="minorHAnsi" w:cstheme="minorBidi"/>
          <w:kern w:val="0"/>
          <w:sz w:val="24"/>
          <w:szCs w:val="24"/>
          <w:lang w:val="lt-LT"/>
          <w14:ligatures w14:val="none"/>
        </w:rPr>
        <w:t xml:space="preserve"> </w:t>
      </w:r>
    </w:p>
    <w:p w14:paraId="404639A4" w14:textId="77777777" w:rsidR="005C0F91" w:rsidRPr="00B65D25" w:rsidRDefault="00743287" w:rsidP="00B65D25">
      <w:pPr>
        <w:spacing w:after="0" w:line="276" w:lineRule="auto"/>
        <w:textAlignment w:val="baseline"/>
        <w:rPr>
          <w:rFonts w:asciiTheme="minorHAnsi" w:eastAsia="Times New Roman" w:hAnsiTheme="minorHAnsi" w:cstheme="minorHAnsi"/>
          <w:kern w:val="0"/>
          <w:sz w:val="24"/>
          <w:szCs w:val="24"/>
          <w:lang w:val="lt-LT"/>
          <w14:ligatures w14:val="none"/>
        </w:rPr>
      </w:pPr>
      <w:hyperlink r:id="rId8" w:history="1">
        <w:r w:rsidR="005C0F91" w:rsidRPr="00B65D25">
          <w:rPr>
            <w:rFonts w:asciiTheme="minorHAnsi" w:eastAsia="Times New Roman" w:hAnsiTheme="minorHAnsi" w:cstheme="minorHAnsi"/>
            <w:color w:val="0563C1" w:themeColor="hyperlink"/>
            <w:kern w:val="0"/>
            <w:sz w:val="24"/>
            <w:szCs w:val="24"/>
            <w:u w:val="single"/>
            <w:lang w:val="lt-LT"/>
            <w14:ligatures w14:val="none"/>
          </w:rPr>
          <w:t>https://vpt.lrv.lt/lt/naujienos-3/del-pirkimu-skelbimuose-pildomos-zalia-informacija-skilties/</w:t>
        </w:r>
      </w:hyperlink>
      <w:r w:rsidR="005C0F91" w:rsidRPr="00B65D25">
        <w:rPr>
          <w:rFonts w:asciiTheme="minorHAnsi" w:eastAsia="Times New Roman" w:hAnsiTheme="minorHAnsi" w:cstheme="minorHAnsi"/>
          <w:kern w:val="0"/>
          <w:sz w:val="24"/>
          <w:szCs w:val="24"/>
          <w:lang w:val="lt-LT"/>
          <w14:ligatures w14:val="none"/>
        </w:rPr>
        <w:t xml:space="preserve"> </w:t>
      </w:r>
    </w:p>
    <w:p w14:paraId="611E30E0" w14:textId="77777777" w:rsidR="005C0F91" w:rsidRPr="00B65D25" w:rsidRDefault="005C0F91" w:rsidP="00B65D25">
      <w:pPr>
        <w:spacing w:after="0" w:line="276" w:lineRule="auto"/>
        <w:ind w:firstLine="705"/>
        <w:textAlignment w:val="baseline"/>
        <w:rPr>
          <w:rFonts w:asciiTheme="minorHAnsi" w:eastAsia="Times New Roman" w:hAnsiTheme="minorHAnsi" w:cstheme="minorHAnsi"/>
          <w:kern w:val="0"/>
          <w:sz w:val="24"/>
          <w:szCs w:val="24"/>
          <w:lang w:val="lt-LT"/>
          <w14:ligatures w14:val="none"/>
        </w:rPr>
      </w:pPr>
      <w:r w:rsidRPr="00B65D25">
        <w:rPr>
          <w:rFonts w:asciiTheme="minorHAnsi" w:eastAsia="Times New Roman" w:hAnsiTheme="minorHAnsi" w:cstheme="minorHAnsi"/>
          <w:kern w:val="0"/>
          <w:sz w:val="24"/>
          <w:szCs w:val="24"/>
          <w:lang w:val="lt-LT"/>
          <w14:ligatures w14:val="none"/>
        </w:rPr>
        <w:t>Atsižvelgiant į tai, kad šiuo atveju užpildyti ir pateikti Klaidų ištaisymo skelbimo nėra galimybės, rekomenduotina ateityje vykdant pirkimus skelbime apie pirkimą nurodyti teisingą Tvarkos aprašo punktą. </w:t>
      </w:r>
    </w:p>
    <w:p w14:paraId="48D21108" w14:textId="5E45FB95" w:rsidR="005C0F91" w:rsidRPr="00B65D25" w:rsidRDefault="005C0F91" w:rsidP="00B65D25">
      <w:pPr>
        <w:pStyle w:val="BodyText"/>
        <w:spacing w:after="0" w:line="276" w:lineRule="auto"/>
        <w:rPr>
          <w:rFonts w:asciiTheme="minorHAnsi" w:hAnsiTheme="minorHAnsi" w:cstheme="minorHAnsi"/>
          <w:sz w:val="24"/>
          <w:szCs w:val="24"/>
          <w:lang w:val="lt-LT"/>
        </w:rPr>
      </w:pPr>
    </w:p>
    <w:p w14:paraId="34E20180" w14:textId="04072B84" w:rsidR="009574C9" w:rsidRPr="00B65D25" w:rsidRDefault="005C0F91" w:rsidP="00B65D25">
      <w:pPr>
        <w:tabs>
          <w:tab w:val="left" w:pos="851"/>
        </w:tabs>
        <w:spacing w:after="0" w:line="276" w:lineRule="auto"/>
        <w:ind w:firstLine="567"/>
        <w:rPr>
          <w:rFonts w:eastAsia="Times New Roman"/>
          <w:sz w:val="24"/>
          <w:szCs w:val="24"/>
          <w:lang w:val="pt-PT"/>
        </w:rPr>
      </w:pPr>
      <w:r w:rsidRPr="00B65D25">
        <w:rPr>
          <w:rFonts w:asciiTheme="minorHAnsi" w:hAnsiTheme="minorHAnsi" w:cstheme="minorHAnsi"/>
          <w:b/>
          <w:bCs/>
          <w:sz w:val="24"/>
          <w:szCs w:val="24"/>
          <w:lang w:val="lt-LT"/>
        </w:rPr>
        <w:t>2.2.</w:t>
      </w:r>
      <w:r w:rsidRPr="00B65D25">
        <w:rPr>
          <w:rFonts w:asciiTheme="minorHAnsi" w:hAnsiTheme="minorHAnsi" w:cstheme="minorHAnsi"/>
          <w:sz w:val="24"/>
          <w:szCs w:val="24"/>
          <w:lang w:val="lt-LT"/>
        </w:rPr>
        <w:t xml:space="preserve"> </w:t>
      </w:r>
      <w:r w:rsidR="009574C9" w:rsidRPr="00B65D25">
        <w:rPr>
          <w:rFonts w:asciiTheme="minorHAnsi" w:hAnsiTheme="minorHAnsi" w:cstheme="minorHAnsi"/>
          <w:sz w:val="24"/>
          <w:szCs w:val="24"/>
          <w:lang w:val="lt-LT"/>
        </w:rPr>
        <w:t xml:space="preserve"> Pirkimo sąlygų 2 priedo Preliminariosios pirkimo sutarties projekto 7.3.13 papunktyje nurodyta: </w:t>
      </w:r>
      <w:r w:rsidR="009574C9" w:rsidRPr="00B65D25">
        <w:rPr>
          <w:rFonts w:asciiTheme="minorHAnsi" w:hAnsiTheme="minorHAnsi" w:cstheme="minorHAnsi"/>
          <w:color w:val="000000"/>
          <w:sz w:val="24"/>
          <w:szCs w:val="24"/>
          <w:lang w:val="lt-LT"/>
        </w:rPr>
        <w:t>„</w:t>
      </w:r>
      <w:r w:rsidR="009574C9" w:rsidRPr="00B65D25">
        <w:rPr>
          <w:b/>
          <w:bCs/>
          <w:sz w:val="24"/>
          <w:szCs w:val="24"/>
          <w:lang w:val="lt-LT"/>
        </w:rPr>
        <w:t>naudoti statybos produktus</w:t>
      </w:r>
      <w:r w:rsidR="009574C9" w:rsidRPr="00B65D25">
        <w:rPr>
          <w:sz w:val="24"/>
          <w:szCs w:val="24"/>
          <w:lang w:val="lt-LT"/>
        </w:rPr>
        <w:t xml:space="preserve">,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w:t>
      </w:r>
      <w:r w:rsidR="009574C9" w:rsidRPr="00B65D25">
        <w:rPr>
          <w:sz w:val="24"/>
          <w:szCs w:val="24"/>
          <w:lang w:val="pt-PT"/>
        </w:rPr>
        <w:t xml:space="preserve">III tipo aplinkosauginės deklaracijos. Principai ir procedūros“ </w:t>
      </w:r>
      <w:r w:rsidR="009574C9" w:rsidRPr="00B65D25">
        <w:rPr>
          <w:b/>
          <w:bCs/>
          <w:sz w:val="24"/>
          <w:szCs w:val="24"/>
          <w:lang w:val="pt-PT"/>
        </w:rPr>
        <w:t>arba lygiavertį standartą LST EN ISO 14024 „Aplinkosauginiai ženklai ir aplinkosauginės deklaracijos. I tipo aplinkosauginis ženklinimas. Principai ir procedūros“</w:t>
      </w:r>
      <w:r w:rsidR="009574C9" w:rsidRPr="00B65D25">
        <w:rPr>
          <w:sz w:val="24"/>
          <w:szCs w:val="24"/>
          <w:lang w:val="pt-PT"/>
        </w:rPr>
        <w:t xml:space="preserve"> arba lygiavertį standartą.</w:t>
      </w:r>
    </w:p>
    <w:p w14:paraId="2E231468" w14:textId="11EB10B6" w:rsidR="00F449E9" w:rsidRPr="00B65D25" w:rsidRDefault="007F55E6" w:rsidP="00B65D25">
      <w:pPr>
        <w:tabs>
          <w:tab w:val="left" w:pos="851"/>
        </w:tabs>
        <w:spacing w:after="0" w:line="276" w:lineRule="auto"/>
        <w:ind w:firstLine="567"/>
        <w:rPr>
          <w:rFonts w:asciiTheme="minorHAnsi" w:hAnsiTheme="minorHAnsi" w:cstheme="minorHAnsi"/>
          <w:color w:val="000000"/>
          <w:sz w:val="24"/>
          <w:szCs w:val="24"/>
          <w:lang w:val="pt-PT"/>
        </w:rPr>
      </w:pPr>
      <w:r w:rsidRPr="00B65D25">
        <w:rPr>
          <w:rFonts w:asciiTheme="minorHAnsi" w:hAnsiTheme="minorHAnsi" w:cstheme="minorHAnsi"/>
          <w:sz w:val="24"/>
          <w:szCs w:val="24"/>
          <w:lang w:val="lt-LT"/>
        </w:rPr>
        <w:t>Pažymėtina, kad pagal galiojanči</w:t>
      </w:r>
      <w:r w:rsidR="002E7AED" w:rsidRPr="00B65D25">
        <w:rPr>
          <w:rFonts w:asciiTheme="minorHAnsi" w:hAnsiTheme="minorHAnsi" w:cstheme="minorHAnsi"/>
          <w:sz w:val="24"/>
          <w:szCs w:val="24"/>
          <w:lang w:val="lt-LT"/>
        </w:rPr>
        <w:t>ą</w:t>
      </w:r>
      <w:r w:rsidRPr="00B65D25">
        <w:rPr>
          <w:rFonts w:asciiTheme="minorHAnsi" w:hAnsiTheme="minorHAnsi" w:cstheme="minorHAnsi"/>
          <w:sz w:val="24"/>
          <w:szCs w:val="24"/>
          <w:lang w:val="lt-LT"/>
        </w:rPr>
        <w:t xml:space="preserve"> Tvarkos aprašo redakcij</w:t>
      </w:r>
      <w:r w:rsidR="002E7AED" w:rsidRPr="00B65D25">
        <w:rPr>
          <w:rFonts w:asciiTheme="minorHAnsi" w:hAnsiTheme="minorHAnsi" w:cstheme="minorHAnsi"/>
          <w:sz w:val="24"/>
          <w:szCs w:val="24"/>
          <w:lang w:val="lt-LT"/>
        </w:rPr>
        <w:t>ą</w:t>
      </w:r>
      <w:r w:rsidR="007010BE" w:rsidRPr="00B65D25">
        <w:rPr>
          <w:rStyle w:val="FootnoteReference"/>
          <w:rFonts w:asciiTheme="minorHAnsi" w:hAnsiTheme="minorHAnsi" w:cstheme="minorHAnsi"/>
          <w:sz w:val="24"/>
          <w:szCs w:val="24"/>
        </w:rPr>
        <w:footnoteReference w:id="1"/>
      </w:r>
      <w:r w:rsidR="002E7AED" w:rsidRPr="00B65D25">
        <w:rPr>
          <w:rFonts w:asciiTheme="minorHAnsi" w:hAnsiTheme="minorHAnsi" w:cstheme="minorHAnsi"/>
          <w:sz w:val="24"/>
          <w:szCs w:val="24"/>
          <w:lang w:val="lt-LT"/>
        </w:rPr>
        <w:t xml:space="preserve">, </w:t>
      </w:r>
      <w:r w:rsidR="00F05E8C" w:rsidRPr="00B65D25">
        <w:rPr>
          <w:rFonts w:asciiTheme="minorHAnsi" w:hAnsiTheme="minorHAnsi" w:cstheme="minorHAnsi"/>
          <w:sz w:val="24"/>
          <w:szCs w:val="24"/>
          <w:lang w:val="lt-LT"/>
        </w:rPr>
        <w:t xml:space="preserve"> </w:t>
      </w:r>
      <w:r w:rsidR="005560E2" w:rsidRPr="00B65D25">
        <w:rPr>
          <w:rFonts w:asciiTheme="minorHAnsi" w:hAnsiTheme="minorHAnsi" w:cstheme="minorHAnsi"/>
          <w:sz w:val="24"/>
          <w:szCs w:val="24"/>
          <w:lang w:val="lt-LT"/>
        </w:rPr>
        <w:t>26.2.3 papunk</w:t>
      </w:r>
      <w:r w:rsidR="00656B2B" w:rsidRPr="00B65D25">
        <w:rPr>
          <w:rFonts w:asciiTheme="minorHAnsi" w:hAnsiTheme="minorHAnsi" w:cstheme="minorHAnsi"/>
          <w:sz w:val="24"/>
          <w:szCs w:val="24"/>
          <w:lang w:val="lt-LT"/>
        </w:rPr>
        <w:t>čio</w:t>
      </w:r>
      <w:r w:rsidR="00770142" w:rsidRPr="00B65D25">
        <w:rPr>
          <w:rFonts w:asciiTheme="minorHAnsi" w:hAnsiTheme="minorHAnsi" w:cstheme="minorHAnsi"/>
          <w:sz w:val="24"/>
          <w:szCs w:val="24"/>
          <w:lang w:val="lt-LT"/>
        </w:rPr>
        <w:t xml:space="preserve"> reikalavimas dėstomas sekančiai: </w:t>
      </w:r>
      <w:r w:rsidR="005773D6" w:rsidRPr="00B65D25">
        <w:rPr>
          <w:rFonts w:asciiTheme="minorHAnsi" w:hAnsiTheme="minorHAnsi" w:cstheme="minorHAnsi"/>
          <w:sz w:val="24"/>
          <w:szCs w:val="24"/>
          <w:lang w:val="lt-LT"/>
        </w:rPr>
        <w:t>„</w:t>
      </w:r>
      <w:r w:rsidR="00356BA0" w:rsidRPr="00B65D25">
        <w:rPr>
          <w:rFonts w:asciiTheme="minorHAnsi" w:hAnsiTheme="minorHAnsi" w:cstheme="minorHAnsi"/>
          <w:b/>
          <w:bCs/>
          <w:color w:val="000000"/>
          <w:sz w:val="24"/>
          <w:szCs w:val="24"/>
          <w:lang w:val="lt-LT"/>
        </w:rPr>
        <w:t>ne mažiau kaip pusę išlaidų statybos produktams sudaro išlaidos tokiems produktams, kurie turi aplinkosaugines produktų deklaracijas</w:t>
      </w:r>
      <w:r w:rsidR="00356BA0" w:rsidRPr="00B65D25">
        <w:rPr>
          <w:rFonts w:asciiTheme="minorHAnsi" w:hAnsiTheme="minorHAnsi" w:cstheme="minorHAnsi"/>
          <w:color w:val="000000"/>
          <w:sz w:val="24"/>
          <w:szCs w:val="24"/>
          <w:lang w:val="lt-LT"/>
        </w:rPr>
        <w:t xml:space="preserve"> pagal LST EN 15804 „Statinių tvarumas. Aplinkosauginės produktų deklaracijos. Pagrindinės taisyklės, taikomos statybos produktų kategorijoms“ arba lygiavertį standartą ir (ar) LST EN ISO 14025:2010 „Aplinkosauginiai ženklai ir aplinkosauginės deklaracijos. </w:t>
      </w:r>
      <w:r w:rsidR="00356BA0" w:rsidRPr="00B65D25">
        <w:rPr>
          <w:rFonts w:asciiTheme="minorHAnsi" w:hAnsiTheme="minorHAnsi" w:cstheme="minorHAnsi"/>
          <w:color w:val="000000"/>
          <w:sz w:val="24"/>
          <w:szCs w:val="24"/>
          <w:lang w:val="pt-PT"/>
        </w:rPr>
        <w:t>III tipo aplinkosauginės deklaracijos. Principai ir procedūros“ arba lygiavertį standartą”.</w:t>
      </w:r>
      <w:r w:rsidR="00B369DB" w:rsidRPr="00B65D25">
        <w:rPr>
          <w:rFonts w:asciiTheme="minorHAnsi" w:hAnsiTheme="minorHAnsi" w:cstheme="minorHAnsi"/>
          <w:color w:val="000000"/>
          <w:sz w:val="24"/>
          <w:szCs w:val="24"/>
          <w:lang w:val="pt-PT"/>
        </w:rPr>
        <w:t xml:space="preserve"> </w:t>
      </w:r>
      <w:r w:rsidR="00B83A8C" w:rsidRPr="00B65D25">
        <w:rPr>
          <w:rFonts w:asciiTheme="minorHAnsi" w:hAnsiTheme="minorHAnsi" w:cstheme="minorHAnsi"/>
          <w:color w:val="000000"/>
          <w:sz w:val="24"/>
          <w:szCs w:val="24"/>
          <w:lang w:val="pt-PT"/>
        </w:rPr>
        <w:t xml:space="preserve">Atsižvelgiant į tai, rekomenduotina </w:t>
      </w:r>
      <w:r w:rsidR="00BB4157" w:rsidRPr="00B65D25">
        <w:rPr>
          <w:rFonts w:asciiTheme="minorHAnsi" w:hAnsiTheme="minorHAnsi" w:cstheme="minorHAnsi"/>
          <w:color w:val="000000"/>
          <w:sz w:val="24"/>
          <w:szCs w:val="24"/>
          <w:lang w:val="pt-PT"/>
        </w:rPr>
        <w:t>patikslinti</w:t>
      </w:r>
      <w:r w:rsidR="00CE4D17" w:rsidRPr="00B65D25">
        <w:rPr>
          <w:rFonts w:asciiTheme="minorHAnsi" w:hAnsiTheme="minorHAnsi" w:cstheme="minorHAnsi"/>
          <w:color w:val="000000"/>
          <w:sz w:val="24"/>
          <w:szCs w:val="24"/>
          <w:lang w:val="pt-PT"/>
        </w:rPr>
        <w:t xml:space="preserve"> </w:t>
      </w:r>
      <w:r w:rsidR="00CE4D17" w:rsidRPr="00B65D25">
        <w:rPr>
          <w:rFonts w:asciiTheme="minorHAnsi" w:hAnsiTheme="minorHAnsi" w:cstheme="minorHAnsi"/>
          <w:sz w:val="24"/>
          <w:szCs w:val="24"/>
          <w:lang w:val="pt-PT"/>
        </w:rPr>
        <w:t>Pirkimo sąlygų 2 priedo Preliminariosios pirkimo sutarties projekto 7.3.13 papunkčio</w:t>
      </w:r>
      <w:r w:rsidR="00BB4157" w:rsidRPr="00B65D25">
        <w:rPr>
          <w:rFonts w:asciiTheme="minorHAnsi" w:hAnsiTheme="minorHAnsi" w:cstheme="minorHAnsi"/>
          <w:sz w:val="24"/>
          <w:szCs w:val="24"/>
          <w:lang w:val="pt-PT"/>
        </w:rPr>
        <w:t xml:space="preserve"> </w:t>
      </w:r>
      <w:r w:rsidR="00BB4157" w:rsidRPr="00B65D25">
        <w:rPr>
          <w:rFonts w:asciiTheme="minorHAnsi" w:hAnsiTheme="minorHAnsi" w:cstheme="minorHAnsi"/>
          <w:color w:val="000000"/>
          <w:sz w:val="24"/>
          <w:szCs w:val="24"/>
          <w:lang w:val="pt-PT"/>
        </w:rPr>
        <w:t>reikalavim</w:t>
      </w:r>
      <w:r w:rsidR="004C050F" w:rsidRPr="00B65D25">
        <w:rPr>
          <w:rFonts w:asciiTheme="minorHAnsi" w:hAnsiTheme="minorHAnsi" w:cstheme="minorHAnsi"/>
          <w:color w:val="000000"/>
          <w:sz w:val="24"/>
          <w:szCs w:val="24"/>
          <w:lang w:val="pt-PT"/>
        </w:rPr>
        <w:t>o formuluotę</w:t>
      </w:r>
      <w:r w:rsidR="00FA29BA" w:rsidRPr="00B65D25">
        <w:rPr>
          <w:rFonts w:asciiTheme="minorHAnsi" w:hAnsiTheme="minorHAnsi" w:cstheme="minorHAnsi"/>
          <w:color w:val="000000"/>
          <w:sz w:val="24"/>
          <w:szCs w:val="24"/>
          <w:lang w:val="pt-PT"/>
        </w:rPr>
        <w:t xml:space="preserve">, taip pat Tarnyba prašo </w:t>
      </w:r>
      <w:r w:rsidR="00F2370B" w:rsidRPr="00B65D25">
        <w:rPr>
          <w:rFonts w:asciiTheme="minorHAnsi" w:hAnsiTheme="minorHAnsi" w:cstheme="minorHAnsi"/>
          <w:color w:val="000000"/>
          <w:sz w:val="24"/>
          <w:szCs w:val="24"/>
          <w:lang w:val="pt-PT"/>
        </w:rPr>
        <w:t xml:space="preserve">paaiškinti, kokiems statybos produktams bus taikomas šis reikalavimas ir kaip </w:t>
      </w:r>
      <w:r w:rsidR="00786F5F" w:rsidRPr="00B65D25">
        <w:rPr>
          <w:rFonts w:asciiTheme="minorHAnsi" w:hAnsiTheme="minorHAnsi" w:cstheme="minorHAnsi"/>
          <w:color w:val="000000"/>
          <w:sz w:val="24"/>
          <w:szCs w:val="24"/>
          <w:lang w:val="pt-PT"/>
        </w:rPr>
        <w:t xml:space="preserve">bus užtikrintas </w:t>
      </w:r>
      <w:r w:rsidR="00BE4A9D" w:rsidRPr="00B65D25">
        <w:rPr>
          <w:rFonts w:asciiTheme="minorHAnsi" w:hAnsiTheme="minorHAnsi" w:cstheme="minorHAnsi"/>
          <w:color w:val="000000"/>
          <w:sz w:val="24"/>
          <w:szCs w:val="24"/>
          <w:lang w:val="pt-PT"/>
        </w:rPr>
        <w:t>šios nuostatos įgyvendinimas.</w:t>
      </w:r>
    </w:p>
    <w:p w14:paraId="04DD5917" w14:textId="1C025A67" w:rsidR="008E2968" w:rsidRPr="00B65D25" w:rsidRDefault="008E2968" w:rsidP="00B65D25">
      <w:pPr>
        <w:tabs>
          <w:tab w:val="left" w:pos="851"/>
        </w:tabs>
        <w:spacing w:after="0" w:line="276" w:lineRule="auto"/>
        <w:contextualSpacing/>
        <w:rPr>
          <w:rFonts w:cstheme="minorHAnsi"/>
          <w:sz w:val="24"/>
          <w:szCs w:val="24"/>
          <w:lang w:val="pt-PT"/>
        </w:rPr>
      </w:pPr>
    </w:p>
    <w:p w14:paraId="7D4E97E8" w14:textId="58A99DE8" w:rsidR="003F580E" w:rsidRPr="00B65D25" w:rsidRDefault="003F580E" w:rsidP="00B65D25">
      <w:pPr>
        <w:spacing w:after="0" w:line="276" w:lineRule="auto"/>
        <w:ind w:firstLine="709"/>
        <w:rPr>
          <w:rFonts w:cstheme="minorHAnsi"/>
          <w:sz w:val="24"/>
          <w:szCs w:val="24"/>
          <w:lang w:val="lt"/>
        </w:rPr>
      </w:pPr>
      <w:r w:rsidRPr="00B65D25">
        <w:rPr>
          <w:rFonts w:cstheme="minorHAnsi"/>
          <w:sz w:val="24"/>
          <w:szCs w:val="24"/>
          <w:lang w:val="lt"/>
        </w:rPr>
        <w:t>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ir</w:t>
      </w:r>
      <w:r w:rsidR="001B6B14" w:rsidRPr="00B65D25">
        <w:rPr>
          <w:rFonts w:cstheme="minorHAnsi"/>
          <w:sz w:val="24"/>
          <w:szCs w:val="24"/>
          <w:lang w:val="lt"/>
        </w:rPr>
        <w:t xml:space="preserve"> </w:t>
      </w:r>
      <w:r w:rsidRPr="00B65D25">
        <w:rPr>
          <w:rFonts w:cstheme="minorHAnsi"/>
          <w:sz w:val="24"/>
          <w:szCs w:val="24"/>
          <w:lang w:val="lt"/>
        </w:rPr>
        <w:t>pratęsti pasiūlymų pateikimo terminą protingumo kriterijų atitinkančiam laikotarpiui, per kurį tiekėjai, rengdami pasiūlymus, galėtų atsižvelgti į patikslinimus.</w:t>
      </w:r>
    </w:p>
    <w:p w14:paraId="6C9FD372" w14:textId="6DC6134A" w:rsidR="001B7AA9" w:rsidRPr="00B65D25" w:rsidRDefault="00004D65" w:rsidP="00B65D25">
      <w:pPr>
        <w:spacing w:after="0" w:line="276" w:lineRule="auto"/>
        <w:rPr>
          <w:rFonts w:asciiTheme="minorHAnsi" w:eastAsiaTheme="minorHAnsi" w:hAnsiTheme="minorHAnsi" w:cstheme="minorHAnsi"/>
          <w:kern w:val="0"/>
          <w:sz w:val="24"/>
          <w:szCs w:val="24"/>
          <w:lang w:val="lt-LT"/>
          <w14:ligatures w14:val="none"/>
        </w:rPr>
      </w:pPr>
      <w:r w:rsidRPr="00B65D25">
        <w:rPr>
          <w:rFonts w:asciiTheme="minorHAnsi" w:eastAsia="Times New Roman" w:hAnsiTheme="minorHAnsi" w:cstheme="minorHAnsi"/>
          <w:kern w:val="0"/>
          <w:sz w:val="24"/>
          <w:szCs w:val="24"/>
          <w:lang w:val="lt"/>
          <w14:ligatures w14:val="none"/>
        </w:rPr>
        <w:t xml:space="preserve">            </w:t>
      </w:r>
      <w:r w:rsidR="001B7AA9" w:rsidRPr="00B65D25">
        <w:rPr>
          <w:rFonts w:asciiTheme="minorHAnsi" w:eastAsia="Times New Roman" w:hAnsiTheme="minorHAnsi" w:cstheme="minorHAnsi"/>
          <w:kern w:val="0"/>
          <w:sz w:val="24"/>
          <w:szCs w:val="24"/>
          <w:lang w:val="lt"/>
          <w14:ligatures w14:val="none"/>
        </w:rPr>
        <w:t xml:space="preserve">Pažymime, kad visais atvejais sprendimą dėl tolimesnio pirkimo vykdymo / nutraukimo priima pati Perkančioji organizacija, kadangi Tarnybos pateikta rekomendacija nėra privalomojo </w:t>
      </w:r>
      <w:r w:rsidR="001B7AA9" w:rsidRPr="00B65D25">
        <w:rPr>
          <w:rFonts w:asciiTheme="minorHAnsi" w:eastAsia="Times New Roman" w:hAnsiTheme="minorHAnsi" w:cstheme="minorHAnsi"/>
          <w:kern w:val="0"/>
          <w:sz w:val="24"/>
          <w:szCs w:val="24"/>
          <w:lang w:val="lt"/>
          <w14:ligatures w14:val="none"/>
        </w:rPr>
        <w:lastRenderedPageBreak/>
        <w:t>pobūdžio įpareigojimas, tačiau Perkančiajai organizacijai, neatsižvelgus į rekomendacijoje pateiktas pastabas ir / ar pasiūlymus, yra sprendžiamas klausimas dėl Pirkimo perdavimo vertinimui.</w:t>
      </w:r>
    </w:p>
    <w:p w14:paraId="5F96251F" w14:textId="26D92377" w:rsidR="001C3503" w:rsidRPr="00B65D25" w:rsidRDefault="001C3503" w:rsidP="00B65D25">
      <w:pPr>
        <w:spacing w:after="0" w:line="276" w:lineRule="auto"/>
        <w:ind w:firstLine="709"/>
        <w:rPr>
          <w:rFonts w:asciiTheme="minorHAnsi" w:eastAsiaTheme="minorHAnsi" w:hAnsiTheme="minorHAnsi" w:cstheme="minorHAnsi"/>
          <w:kern w:val="0"/>
          <w:sz w:val="24"/>
          <w:szCs w:val="24"/>
          <w:lang w:val="lt-LT"/>
          <w14:ligatures w14:val="none"/>
        </w:rPr>
      </w:pPr>
      <w:r w:rsidRPr="00B65D25">
        <w:rPr>
          <w:rFonts w:asciiTheme="minorHAnsi" w:eastAsia="Times New Roman" w:hAnsiTheme="minorHAnsi" w:cstheme="minorHAnsi"/>
          <w:kern w:val="0"/>
          <w:sz w:val="24"/>
          <w:szCs w:val="24"/>
          <w:lang w:val="lt"/>
          <w14:ligatures w14:val="none"/>
        </w:rPr>
        <w:t xml:space="preserve">   </w:t>
      </w:r>
    </w:p>
    <w:p w14:paraId="1CA9695A" w14:textId="3FF0AC68" w:rsidR="00805A85" w:rsidRPr="00B65D25" w:rsidRDefault="00805A85" w:rsidP="00B65D25">
      <w:pPr>
        <w:spacing w:line="276" w:lineRule="auto"/>
        <w:rPr>
          <w:rFonts w:asciiTheme="minorHAnsi" w:hAnsiTheme="minorHAnsi" w:cstheme="minorHAnsi"/>
          <w:b/>
          <w:bCs/>
          <w:sz w:val="24"/>
          <w:szCs w:val="24"/>
          <w:lang w:val="lt-LT"/>
        </w:rPr>
      </w:pPr>
    </w:p>
    <w:sectPr w:rsidR="00805A85" w:rsidRPr="00B65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7543" w14:textId="77777777" w:rsidR="009C0CB0" w:rsidRDefault="009C0CB0" w:rsidP="00333738">
      <w:pPr>
        <w:spacing w:after="0" w:line="240" w:lineRule="auto"/>
      </w:pPr>
      <w:r>
        <w:separator/>
      </w:r>
    </w:p>
  </w:endnote>
  <w:endnote w:type="continuationSeparator" w:id="0">
    <w:p w14:paraId="7178BF6F" w14:textId="77777777" w:rsidR="009C0CB0" w:rsidRDefault="009C0CB0" w:rsidP="0033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6FE7" w14:textId="77777777" w:rsidR="009C0CB0" w:rsidRDefault="009C0CB0" w:rsidP="00333738">
      <w:pPr>
        <w:spacing w:after="0" w:line="240" w:lineRule="auto"/>
      </w:pPr>
      <w:r>
        <w:separator/>
      </w:r>
    </w:p>
  </w:footnote>
  <w:footnote w:type="continuationSeparator" w:id="0">
    <w:p w14:paraId="3FB1F97A" w14:textId="77777777" w:rsidR="009C0CB0" w:rsidRDefault="009C0CB0" w:rsidP="00333738">
      <w:pPr>
        <w:spacing w:after="0" w:line="240" w:lineRule="auto"/>
      </w:pPr>
      <w:r>
        <w:continuationSeparator/>
      </w:r>
    </w:p>
  </w:footnote>
  <w:footnote w:id="1">
    <w:p w14:paraId="09DB57CD" w14:textId="324BB65C" w:rsidR="007010BE" w:rsidRDefault="007010BE">
      <w:pPr>
        <w:pStyle w:val="FootnoteText"/>
      </w:pPr>
      <w:r>
        <w:rPr>
          <w:rStyle w:val="FootnoteReference"/>
        </w:rPr>
        <w:footnoteRef/>
      </w:r>
      <w:r>
        <w:t xml:space="preserve"> </w:t>
      </w:r>
      <w:r w:rsidR="00E50A0F">
        <w:t>Galiojanti redakcija nuo 2024-02-01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B7768"/>
    <w:multiLevelType w:val="hybridMultilevel"/>
    <w:tmpl w:val="88E658DE"/>
    <w:lvl w:ilvl="0" w:tplc="91E20858">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3" w15:restartNumberingAfterBreak="0">
    <w:nsid w:val="66701E79"/>
    <w:multiLevelType w:val="hybridMultilevel"/>
    <w:tmpl w:val="F09AD1E2"/>
    <w:lvl w:ilvl="0" w:tplc="0427000F">
      <w:start w:val="1"/>
      <w:numFmt w:val="decimal"/>
      <w:lvlText w:val="%1."/>
      <w:lvlJc w:val="left"/>
      <w:pPr>
        <w:ind w:left="78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FC2301"/>
    <w:multiLevelType w:val="multilevel"/>
    <w:tmpl w:val="484C183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023122042">
    <w:abstractNumId w:val="3"/>
  </w:num>
  <w:num w:numId="2" w16cid:durableId="1922451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5894953">
    <w:abstractNumId w:val="1"/>
  </w:num>
  <w:num w:numId="4" w16cid:durableId="756710189">
    <w:abstractNumId w:val="0"/>
  </w:num>
  <w:num w:numId="5" w16cid:durableId="425272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B2"/>
    <w:rsid w:val="00004D65"/>
    <w:rsid w:val="00013227"/>
    <w:rsid w:val="0002014B"/>
    <w:rsid w:val="00020564"/>
    <w:rsid w:val="00037230"/>
    <w:rsid w:val="000433B1"/>
    <w:rsid w:val="00044DFD"/>
    <w:rsid w:val="000459E7"/>
    <w:rsid w:val="00063E9E"/>
    <w:rsid w:val="00067A62"/>
    <w:rsid w:val="000730D3"/>
    <w:rsid w:val="00074C35"/>
    <w:rsid w:val="00085FE1"/>
    <w:rsid w:val="000A3FC2"/>
    <w:rsid w:val="000C6A40"/>
    <w:rsid w:val="000D57C9"/>
    <w:rsid w:val="000D75F1"/>
    <w:rsid w:val="000E3209"/>
    <w:rsid w:val="000E3BE8"/>
    <w:rsid w:val="00101A0A"/>
    <w:rsid w:val="001075EC"/>
    <w:rsid w:val="00151402"/>
    <w:rsid w:val="00163411"/>
    <w:rsid w:val="0016491F"/>
    <w:rsid w:val="00173E35"/>
    <w:rsid w:val="00180493"/>
    <w:rsid w:val="00181912"/>
    <w:rsid w:val="001A48AE"/>
    <w:rsid w:val="001A4D1D"/>
    <w:rsid w:val="001B4C6B"/>
    <w:rsid w:val="001B6B14"/>
    <w:rsid w:val="001B7AA9"/>
    <w:rsid w:val="001C3503"/>
    <w:rsid w:val="001C7095"/>
    <w:rsid w:val="001E6679"/>
    <w:rsid w:val="001F5CA5"/>
    <w:rsid w:val="001F67EE"/>
    <w:rsid w:val="00211C83"/>
    <w:rsid w:val="00230688"/>
    <w:rsid w:val="002337D5"/>
    <w:rsid w:val="00235A9F"/>
    <w:rsid w:val="00241015"/>
    <w:rsid w:val="00241BE2"/>
    <w:rsid w:val="00274757"/>
    <w:rsid w:val="002B3656"/>
    <w:rsid w:val="002B7FD7"/>
    <w:rsid w:val="002D1CBF"/>
    <w:rsid w:val="002E4D1F"/>
    <w:rsid w:val="002E7AED"/>
    <w:rsid w:val="002F7AA3"/>
    <w:rsid w:val="00302406"/>
    <w:rsid w:val="00316134"/>
    <w:rsid w:val="00333738"/>
    <w:rsid w:val="00356BA0"/>
    <w:rsid w:val="00363F9C"/>
    <w:rsid w:val="00370D13"/>
    <w:rsid w:val="003755DE"/>
    <w:rsid w:val="00390802"/>
    <w:rsid w:val="00395673"/>
    <w:rsid w:val="003B7A27"/>
    <w:rsid w:val="003C421A"/>
    <w:rsid w:val="003E5559"/>
    <w:rsid w:val="003E7705"/>
    <w:rsid w:val="003F580E"/>
    <w:rsid w:val="00407DBF"/>
    <w:rsid w:val="00413D02"/>
    <w:rsid w:val="00416815"/>
    <w:rsid w:val="00457DFF"/>
    <w:rsid w:val="00477A9C"/>
    <w:rsid w:val="00490787"/>
    <w:rsid w:val="004C050F"/>
    <w:rsid w:val="004D2F22"/>
    <w:rsid w:val="004D623C"/>
    <w:rsid w:val="004D7161"/>
    <w:rsid w:val="004D7F64"/>
    <w:rsid w:val="004E1B13"/>
    <w:rsid w:val="004E6A8E"/>
    <w:rsid w:val="004E7D41"/>
    <w:rsid w:val="004F272F"/>
    <w:rsid w:val="004F44A4"/>
    <w:rsid w:val="00506621"/>
    <w:rsid w:val="00514F1E"/>
    <w:rsid w:val="00524F6F"/>
    <w:rsid w:val="00547FA5"/>
    <w:rsid w:val="00551EAA"/>
    <w:rsid w:val="005523F3"/>
    <w:rsid w:val="005560E2"/>
    <w:rsid w:val="00560372"/>
    <w:rsid w:val="0056562B"/>
    <w:rsid w:val="005773D6"/>
    <w:rsid w:val="00577FA5"/>
    <w:rsid w:val="005938A7"/>
    <w:rsid w:val="005B0A47"/>
    <w:rsid w:val="005C0F91"/>
    <w:rsid w:val="005E15BE"/>
    <w:rsid w:val="005F143E"/>
    <w:rsid w:val="005F6789"/>
    <w:rsid w:val="0060503F"/>
    <w:rsid w:val="00627CA7"/>
    <w:rsid w:val="006345D1"/>
    <w:rsid w:val="00640C60"/>
    <w:rsid w:val="00644C0F"/>
    <w:rsid w:val="00645B02"/>
    <w:rsid w:val="0064697B"/>
    <w:rsid w:val="00646C42"/>
    <w:rsid w:val="00646C9C"/>
    <w:rsid w:val="00656B2B"/>
    <w:rsid w:val="0067268D"/>
    <w:rsid w:val="00673707"/>
    <w:rsid w:val="006A2876"/>
    <w:rsid w:val="006B5A84"/>
    <w:rsid w:val="006D05EB"/>
    <w:rsid w:val="006E40A7"/>
    <w:rsid w:val="006F259A"/>
    <w:rsid w:val="006F26B1"/>
    <w:rsid w:val="0070087D"/>
    <w:rsid w:val="007010BE"/>
    <w:rsid w:val="00706FBC"/>
    <w:rsid w:val="00711C84"/>
    <w:rsid w:val="00722CD7"/>
    <w:rsid w:val="0073466C"/>
    <w:rsid w:val="00743287"/>
    <w:rsid w:val="00743C7B"/>
    <w:rsid w:val="00760BCF"/>
    <w:rsid w:val="00762094"/>
    <w:rsid w:val="00770142"/>
    <w:rsid w:val="00786F5F"/>
    <w:rsid w:val="007A40FF"/>
    <w:rsid w:val="007B4E84"/>
    <w:rsid w:val="007B7FA7"/>
    <w:rsid w:val="007C2513"/>
    <w:rsid w:val="007C3B36"/>
    <w:rsid w:val="007F55E6"/>
    <w:rsid w:val="0080094F"/>
    <w:rsid w:val="0080421A"/>
    <w:rsid w:val="00805A85"/>
    <w:rsid w:val="00835E6A"/>
    <w:rsid w:val="00843C32"/>
    <w:rsid w:val="00867A40"/>
    <w:rsid w:val="0088093F"/>
    <w:rsid w:val="00886774"/>
    <w:rsid w:val="008A3D35"/>
    <w:rsid w:val="008C1741"/>
    <w:rsid w:val="008C6B01"/>
    <w:rsid w:val="008E0D5C"/>
    <w:rsid w:val="008E2968"/>
    <w:rsid w:val="008E61A8"/>
    <w:rsid w:val="00904B40"/>
    <w:rsid w:val="009152C7"/>
    <w:rsid w:val="00937034"/>
    <w:rsid w:val="00947E53"/>
    <w:rsid w:val="009521FD"/>
    <w:rsid w:val="009574C9"/>
    <w:rsid w:val="00967208"/>
    <w:rsid w:val="00982A07"/>
    <w:rsid w:val="009911FE"/>
    <w:rsid w:val="00996C75"/>
    <w:rsid w:val="009B202E"/>
    <w:rsid w:val="009C0702"/>
    <w:rsid w:val="009C0CB0"/>
    <w:rsid w:val="009D4C50"/>
    <w:rsid w:val="009E1EC1"/>
    <w:rsid w:val="00A0000F"/>
    <w:rsid w:val="00A023F5"/>
    <w:rsid w:val="00A034BA"/>
    <w:rsid w:val="00A234D8"/>
    <w:rsid w:val="00A267FD"/>
    <w:rsid w:val="00A41395"/>
    <w:rsid w:val="00A4759A"/>
    <w:rsid w:val="00A50E53"/>
    <w:rsid w:val="00A57E28"/>
    <w:rsid w:val="00A62B2C"/>
    <w:rsid w:val="00A71FB2"/>
    <w:rsid w:val="00A80B86"/>
    <w:rsid w:val="00AA0B10"/>
    <w:rsid w:val="00AA2D72"/>
    <w:rsid w:val="00AA32CB"/>
    <w:rsid w:val="00AB46D2"/>
    <w:rsid w:val="00AC2CC9"/>
    <w:rsid w:val="00AF7855"/>
    <w:rsid w:val="00B13950"/>
    <w:rsid w:val="00B1722A"/>
    <w:rsid w:val="00B369DB"/>
    <w:rsid w:val="00B40C63"/>
    <w:rsid w:val="00B46A1D"/>
    <w:rsid w:val="00B57539"/>
    <w:rsid w:val="00B635D5"/>
    <w:rsid w:val="00B65D25"/>
    <w:rsid w:val="00B749FC"/>
    <w:rsid w:val="00B83A8C"/>
    <w:rsid w:val="00B853FE"/>
    <w:rsid w:val="00BB4157"/>
    <w:rsid w:val="00BC0ADD"/>
    <w:rsid w:val="00BC37D3"/>
    <w:rsid w:val="00BE4A9D"/>
    <w:rsid w:val="00BF4990"/>
    <w:rsid w:val="00C04DB0"/>
    <w:rsid w:val="00C053CA"/>
    <w:rsid w:val="00C06306"/>
    <w:rsid w:val="00C066B3"/>
    <w:rsid w:val="00C06AB0"/>
    <w:rsid w:val="00C21C03"/>
    <w:rsid w:val="00C246EF"/>
    <w:rsid w:val="00C355FB"/>
    <w:rsid w:val="00C549EB"/>
    <w:rsid w:val="00C55A2B"/>
    <w:rsid w:val="00C64284"/>
    <w:rsid w:val="00C662B2"/>
    <w:rsid w:val="00C7617E"/>
    <w:rsid w:val="00C77FA5"/>
    <w:rsid w:val="00C87E6C"/>
    <w:rsid w:val="00CB39D7"/>
    <w:rsid w:val="00CB6223"/>
    <w:rsid w:val="00CC7B62"/>
    <w:rsid w:val="00CD16B5"/>
    <w:rsid w:val="00CE4D17"/>
    <w:rsid w:val="00CE6606"/>
    <w:rsid w:val="00CF3C2F"/>
    <w:rsid w:val="00D00D85"/>
    <w:rsid w:val="00D050B7"/>
    <w:rsid w:val="00D104E4"/>
    <w:rsid w:val="00D52BFE"/>
    <w:rsid w:val="00D57015"/>
    <w:rsid w:val="00D7407D"/>
    <w:rsid w:val="00D92B3E"/>
    <w:rsid w:val="00D940BA"/>
    <w:rsid w:val="00D9467E"/>
    <w:rsid w:val="00D948B0"/>
    <w:rsid w:val="00DA06FE"/>
    <w:rsid w:val="00DC56FE"/>
    <w:rsid w:val="00DD1245"/>
    <w:rsid w:val="00DE1182"/>
    <w:rsid w:val="00DE13DF"/>
    <w:rsid w:val="00DF2D4F"/>
    <w:rsid w:val="00E32A3B"/>
    <w:rsid w:val="00E36E3F"/>
    <w:rsid w:val="00E4204A"/>
    <w:rsid w:val="00E502A1"/>
    <w:rsid w:val="00E50A0F"/>
    <w:rsid w:val="00E72D80"/>
    <w:rsid w:val="00E75F9B"/>
    <w:rsid w:val="00E77EA8"/>
    <w:rsid w:val="00EA3950"/>
    <w:rsid w:val="00EA58F2"/>
    <w:rsid w:val="00EB5A28"/>
    <w:rsid w:val="00EC2959"/>
    <w:rsid w:val="00EC387D"/>
    <w:rsid w:val="00EC3C90"/>
    <w:rsid w:val="00F05E8C"/>
    <w:rsid w:val="00F2370B"/>
    <w:rsid w:val="00F2533B"/>
    <w:rsid w:val="00F25B17"/>
    <w:rsid w:val="00F43778"/>
    <w:rsid w:val="00F449E9"/>
    <w:rsid w:val="00F6275D"/>
    <w:rsid w:val="00F63215"/>
    <w:rsid w:val="00F74B91"/>
    <w:rsid w:val="00F97666"/>
    <w:rsid w:val="00FA29BA"/>
    <w:rsid w:val="00FE1C95"/>
    <w:rsid w:val="00FE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CA55"/>
  <w15:chartTrackingRefBased/>
  <w15:docId w15:val="{A32ABA68-74B6-4ECD-A227-209C1F93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3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27CA7"/>
    <w:pPr>
      <w:spacing w:line="240" w:lineRule="auto"/>
    </w:pPr>
    <w:rPr>
      <w:sz w:val="20"/>
      <w:szCs w:val="20"/>
    </w:rPr>
  </w:style>
  <w:style w:type="character" w:customStyle="1" w:styleId="CommentTextChar">
    <w:name w:val="Comment Text Char"/>
    <w:basedOn w:val="DefaultParagraphFont"/>
    <w:link w:val="CommentText"/>
    <w:uiPriority w:val="99"/>
    <w:rsid w:val="00627CA7"/>
    <w:rPr>
      <w:rFonts w:ascii="Calibri" w:eastAsia="Calibri" w:hAnsi="Calibri" w:cs="Times New Roman"/>
      <w:sz w:val="20"/>
      <w:szCs w:val="20"/>
    </w:rPr>
  </w:style>
  <w:style w:type="character" w:styleId="CommentReference">
    <w:name w:val="annotation reference"/>
    <w:semiHidden/>
    <w:rsid w:val="00627CA7"/>
    <w:rPr>
      <w:sz w:val="16"/>
      <w:szCs w:val="16"/>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333738"/>
    <w:pPr>
      <w:spacing w:after="0" w:line="240" w:lineRule="auto"/>
    </w:pPr>
    <w:rPr>
      <w:rFonts w:eastAsiaTheme="minorHAnsi" w:cs="Calibri"/>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333738"/>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333738"/>
    <w:rPr>
      <w:vertAlign w:val="superscript"/>
    </w:rPr>
  </w:style>
  <w:style w:type="paragraph" w:customStyle="1" w:styleId="paragraph">
    <w:name w:val="paragraph"/>
    <w:basedOn w:val="Normal"/>
    <w:rsid w:val="00F449E9"/>
    <w:pPr>
      <w:spacing w:before="100" w:beforeAutospacing="1" w:after="100" w:afterAutospacing="1" w:line="240" w:lineRule="auto"/>
    </w:pPr>
    <w:rPr>
      <w:rFonts w:ascii="Times New Roman" w:eastAsia="Times New Roman" w:hAnsi="Times New Roman"/>
      <w:kern w:val="0"/>
      <w:sz w:val="24"/>
      <w:szCs w:val="24"/>
      <w14:ligatures w14:val="none"/>
    </w:rPr>
  </w:style>
  <w:style w:type="paragraph" w:styleId="BodyText">
    <w:name w:val="Body Text"/>
    <w:basedOn w:val="Normal"/>
    <w:link w:val="BodyTextChar"/>
    <w:uiPriority w:val="99"/>
    <w:unhideWhenUsed/>
    <w:rsid w:val="009911FE"/>
    <w:pPr>
      <w:spacing w:after="120"/>
    </w:pPr>
  </w:style>
  <w:style w:type="character" w:customStyle="1" w:styleId="BodyTextChar">
    <w:name w:val="Body Text Char"/>
    <w:basedOn w:val="DefaultParagraphFont"/>
    <w:link w:val="BodyText"/>
    <w:uiPriority w:val="99"/>
    <w:rsid w:val="009911FE"/>
    <w:rPr>
      <w:rFonts w:ascii="Calibri" w:eastAsia="Calibri" w:hAnsi="Calibri" w:cs="Times New Roman"/>
    </w:rPr>
  </w:style>
  <w:style w:type="paragraph" w:styleId="ListParagraph">
    <w:name w:val="List Paragraph"/>
    <w:basedOn w:val="Normal"/>
    <w:uiPriority w:val="34"/>
    <w:qFormat/>
    <w:rsid w:val="00E36E3F"/>
    <w:pPr>
      <w:ind w:left="720"/>
      <w:contextualSpacing/>
    </w:pPr>
  </w:style>
  <w:style w:type="character" w:customStyle="1" w:styleId="normaltextrun">
    <w:name w:val="normaltextrun"/>
    <w:basedOn w:val="DefaultParagraphFont"/>
    <w:rsid w:val="00EA3950"/>
  </w:style>
  <w:style w:type="character" w:customStyle="1" w:styleId="findhit">
    <w:name w:val="findhit"/>
    <w:basedOn w:val="DefaultParagraphFont"/>
    <w:rsid w:val="00EA3950"/>
  </w:style>
  <w:style w:type="character" w:customStyle="1" w:styleId="eop">
    <w:name w:val="eop"/>
    <w:basedOn w:val="DefaultParagraphFont"/>
    <w:rsid w:val="00EA3950"/>
  </w:style>
  <w:style w:type="character" w:styleId="Hyperlink">
    <w:name w:val="Hyperlink"/>
    <w:basedOn w:val="DefaultParagraphFont"/>
    <w:uiPriority w:val="99"/>
    <w:unhideWhenUsed/>
    <w:rsid w:val="00DF2D4F"/>
    <w:rPr>
      <w:color w:val="0563C1" w:themeColor="hyperlink"/>
      <w:u w:val="single"/>
    </w:rPr>
  </w:style>
  <w:style w:type="character" w:styleId="UnresolvedMention">
    <w:name w:val="Unresolved Mention"/>
    <w:basedOn w:val="DefaultParagraphFont"/>
    <w:uiPriority w:val="99"/>
    <w:semiHidden/>
    <w:unhideWhenUsed/>
    <w:rsid w:val="00DF2D4F"/>
    <w:rPr>
      <w:color w:val="605E5C"/>
      <w:shd w:val="clear" w:color="auto" w:fill="E1DFDD"/>
    </w:rPr>
  </w:style>
  <w:style w:type="paragraph" w:styleId="Revision">
    <w:name w:val="Revision"/>
    <w:hidden/>
    <w:uiPriority w:val="99"/>
    <w:semiHidden/>
    <w:rsid w:val="001C7095"/>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235A9F"/>
    <w:rPr>
      <w:b/>
      <w:bCs/>
    </w:rPr>
  </w:style>
  <w:style w:type="character" w:customStyle="1" w:styleId="CommentSubjectChar">
    <w:name w:val="Comment Subject Char"/>
    <w:basedOn w:val="CommentTextChar"/>
    <w:link w:val="CommentSubject"/>
    <w:uiPriority w:val="99"/>
    <w:semiHidden/>
    <w:rsid w:val="00235A9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del-pirkimu-skelbimuose-pildomos-zalia-informacija-skilt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C27B1-DD5A-4D03-89A5-06B481D1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4</cp:revision>
  <dcterms:created xsi:type="dcterms:W3CDTF">2024-03-13T11:00:00Z</dcterms:created>
  <dcterms:modified xsi:type="dcterms:W3CDTF">2024-03-15T12:31:00Z</dcterms:modified>
</cp:coreProperties>
</file>