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4D72264" wp14:paraId="7A9F3737" wp14:textId="23FD7D0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Viešųjų pirkimų tarnyba (toliau – Tarnyba), vadovaudamasi Lietuvos Respublikos pirkimų, atliekamų vandentvarkos, energetikos, transporto ar pašto paslaugų srities perkančiųjų subjektų, įstatymo (toliau – Įstatymas) 101 straipsnio 1 dalies 2 punkto nuostatomis, vykdo Įstatymų ir su jų įgyvendinimu susijusių teisės aktų pažeidimų prevenciją.</w:t>
      </w:r>
    </w:p>
    <w:p xmlns:wp14="http://schemas.microsoft.com/office/word/2010/wordml" w:rsidP="24D72264" wp14:paraId="47A1F052" wp14:textId="7F3031F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Vadovaujantis Tarnybai Įstatymu nustatyta pažeidimų prevencijos funkcija, šiuo metu atliekama Uždarosios akcinės bendrovės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„Vilniaus apšvietimas“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(toliau – Perkantysis subjektas) vykdomo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pirkimo Nr. 715543 „DANGŲ ATSTATYMO PO KASIMŲ DARBAI“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(toliau – Pirkimas) dokumentų atitikties Įstatymui ir su jo įgyvendinimu susijusiems teisės aktams peržiūra (peržiūra prevenciniais tikslais atliekama tam tikra apimtimi).</w:t>
      </w:r>
    </w:p>
    <w:p xmlns:wp14="http://schemas.microsoft.com/office/word/2010/wordml" w:rsidP="24D72264" wp14:paraId="7E01AC0A" wp14:textId="58D0AC6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Tarnyba, peržiūrėjusi Pirkimo dokumentus, teikia pastabas ir rekomendacijas dėl Pirkimo dokumentų nuostatų (toliau – Rekomendacija).</w:t>
      </w:r>
    </w:p>
    <w:p xmlns:wp14="http://schemas.microsoft.com/office/word/2010/wordml" w:rsidP="24D72264" wp14:paraId="6AF444E2" wp14:textId="2E6BCA59">
      <w:pPr>
        <w:pStyle w:val="ListParagraph"/>
        <w:numPr>
          <w:ilvl w:val="0"/>
          <w:numId w:val="1"/>
        </w:numPr>
        <w:tabs>
          <w:tab w:val="left" w:leader="none" w:pos="567"/>
        </w:tabs>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Dėl kvalifikacijos reikalavimų</w:t>
      </w:r>
    </w:p>
    <w:p xmlns:wp14="http://schemas.microsoft.com/office/word/2010/wordml" w:rsidP="24D72264" wp14:paraId="7F09F63E" wp14:textId="7E75D43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Įstatymo 57 str. 1 d. nurodyta, kad reikalavimai dėl kvalifikacijos tikrinimo nustatomi ir patvirtinimo priemonės dėl jų teikiamos </w:t>
      </w:r>
      <w:r w:rsidRPr="24D72264" w:rsidR="2003B141">
        <w:rPr>
          <w:rFonts w:ascii="Calibri" w:hAnsi="Calibri" w:eastAsia="Calibri" w:cs="Calibri"/>
          <w:b w:val="0"/>
          <w:bCs w:val="0"/>
          <w:i w:val="1"/>
          <w:iCs w:val="1"/>
          <w:caps w:val="0"/>
          <w:smallCaps w:val="0"/>
          <w:noProof w:val="0"/>
          <w:color w:val="000000" w:themeColor="text1" w:themeTint="FF" w:themeShade="FF"/>
          <w:sz w:val="24"/>
          <w:szCs w:val="24"/>
          <w:lang w:val="lt-LT"/>
        </w:rPr>
        <w:t>mutatis mutandis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taikant Viešųjų pirkimų įstatymo (toliau VPĮ) 46, 47, 50, 51 straipsnių nuostatas. VPĮ 47 straipsnio 1 dalyje įtvirtinta, kad pirkimo vykdytojas &lt;...&gt; turi teisę &lt;...&gt; nustatyti būtinus kandidatų ar dalyvių kvalifikacijos reikalavimus ir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šių reikalavimų atitiktį patvirtinančius dokumentus ar informaciją,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šio straipsnio 7 dalyje nustatyta, kad Tiekėjo kvalifikacijos reikalavimai nustatomi pagal </w:t>
      </w:r>
      <w:hyperlink r:id="R1310c5fcb2fd4803">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Tiekėjo kvalifikacijos reikalavimų nustatymo metodiką</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(toliau - Metodika). </w:t>
      </w:r>
    </w:p>
    <w:p xmlns:wp14="http://schemas.microsoft.com/office/word/2010/wordml" w:rsidP="24D72264" wp14:paraId="457D9775" wp14:textId="6C39BAF4">
      <w:pPr>
        <w:pStyle w:val="ListParagraph"/>
        <w:numPr>
          <w:ilvl w:val="1"/>
          <w:numId w:val="2"/>
        </w:numPr>
        <w:tabs>
          <w:tab w:val="left" w:leader="none" w:pos="567"/>
        </w:tabs>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Pirkimo sąlygų 4.1.1 punkte nustatytas reikalavimas tiekėjo patirčiai:  „Tiekėjas per paskutinius 5 metus iki pasiūlymų pateikimo termino pabaigos savo jėgomis pagal vieną ar daugiau sutarčių yra tinkamai atlikęs pirkimo sąlygose nurodytų Darbų, priskiriamų statinių grupėje: susisiekimo komunikacijos: gatvės ir (arba) keliai,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sutarčių, kurių vertė</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(bendra vertė) ne mažesnė kaip 300000,00 (trys šimtai tūkstančių) eurų be PVM“. Atitiktį kvalifikaciniams reikalavimams įrodančiuose dokumentuose nurodyta, kad turi būti pateikiamas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įvykdytų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su pirkimo objektu susijusių rangos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sutarčių sąrašas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nurodant sutarties pavadinimą, užsakovą, sutarties pasirašymo ir galutinio įvykdymo datą, trumpą sutarties objekto aprašymą,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sutarties vertę</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užsakovo kontaktinius duomenis.</w:t>
      </w:r>
    </w:p>
    <w:p xmlns:wp14="http://schemas.microsoft.com/office/word/2010/wordml" w:rsidP="24D72264" wp14:paraId="7F31E565" wp14:textId="70750872">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Pažymėtina, kad VPĮ 51 straipsnio 7 dalies 1 punkte ir Metodikos 16.1 punkte nurodyta, kad tiekėjo patirtis vertinama ne pagal tai, kiek ir kokių sutarčių tiekėjas yra įvykdęs, o  atsižvelgiant į tai, kiek tiekėjas pagal sutartį (ar sutartis) tinkamai savo jėgomis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atliko nurodytų svarbiausių darbų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bei patirties įrodymui pirkimo vykdytojas reikalauja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atliktų darbų sąrašo</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(ne įvykdytų sutarčių sąrašo) kartu su užsakovų pažymomis apie tai, kad svarbiausių darbų atlikimas ir galutiniai rezultatai buvo tinkami. </w:t>
      </w:r>
    </w:p>
    <w:p xmlns:wp14="http://schemas.microsoft.com/office/word/2010/wordml" w:rsidP="24D72264" wp14:paraId="45BE64F4" wp14:textId="66B30CA2">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Taip pat pažymėtina, jog pagal Metodikos 16 punktą, jeigu pirkimo objektas yra sudėtinis ir (ar) dalus, tiekėjai patirtį gali įrodinėti tiek baigtose sutartyse, tiek tebevykdomose sutartyse jau atliktais darbais. Atsižvelgiant į tai, jog šiuo atveju Pirkimo objektas yra dalus (sudaroma tęstinio pobūdžio sutartis, kurios vykdymo metu tiekėjui bus teikiami atskiri užsakymai pagal poreikį), rekomenduotina patikslinti Pirkimo sąlygų 4.1.1 punkte nustatyto kvalifikacijos reikalavimo formuluotę, aiškiai nurodant, jog tiekėjo patirtis gali būti įgyta pagal vieną ar daugiau įvykdytų ar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tebevykdomų sutarčių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w:t>
      </w:r>
    </w:p>
    <w:p xmlns:wp14="http://schemas.microsoft.com/office/word/2010/wordml" w:rsidP="24D72264" wp14:paraId="51F2CE79" wp14:textId="756C43CA">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Atsižvelgiant į aukščiau nurodytą, Tarnyba rekomenduoja tikslinti šį kvalifikacijos reikalavimą ir atitiktį reikalavimui įrodančius dokumentus, vadovaujantis Metodikos nuostatomis. </w:t>
      </w:r>
    </w:p>
    <w:p xmlns:wp14="http://schemas.microsoft.com/office/word/2010/wordml" w:rsidP="24D72264" wp14:paraId="6AD7712D" wp14:textId="36048092">
      <w:pPr>
        <w:pStyle w:val="ListParagraph"/>
        <w:numPr>
          <w:ilvl w:val="1"/>
          <w:numId w:val="2"/>
        </w:numPr>
        <w:tabs>
          <w:tab w:val="left" w:leader="none" w:pos="567"/>
        </w:tabs>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Pirkimo sąlygų 4.1.2 punkte nustatytas  bendras reikalavimas tiekėjui ir specialistui: „Tiekėjas privalo turėti ypatingo statinio statybos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rangovo atestatą</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bei bent 1 (vieną) specialistą, kuriam suteikta teisė eiti ypatingo statinio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statybos vadovo pareigas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statinių grupėje – susisiekimo komunikacijos: gatvės ir (arba) keliai. Atitiktį kvalifikaciniams reikalavimams įrodančiuose dokumentuose nurodyta: „Tiekėjas kartu su pasiūlymu turi pateikti Tiekėjo bei darbų vadovo teisę užsiimti šia veikla patvirtinančių dokumentų - Lietuvos Respublikos aplinkos ministerijos arba valstybės įmonės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Statybos produkcijos sertifikavimo centro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(toliau – SPSC)</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 išduotų kvalifikacijos atestatų kopijas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Pateikiami skenuoti dokumentai elektroninėje formoje“.</w:t>
      </w:r>
    </w:p>
    <w:p xmlns:wp14="http://schemas.microsoft.com/office/word/2010/wordml" w:rsidP="24D72264" wp14:paraId="7E4885DC" wp14:textId="0A560E07">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Atsižvelgiant į statybą reglamentuojančiuose teisės aktuose nustatytą skirtingą juridinio asmens (ypatingojo statinio rangovo) ir fizinio asmens (ypatingojo statinio statybos vadovo) atestavimo tvarką, rekomenduotina aiškiai išskirti kvalifikacijos reikalavimą į du atskirus punktus. Vadovaujantis Statybos techninio reglamento </w:t>
      </w:r>
      <w:hyperlink r:id="Re333469e9d164763">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STR 1.02.01:2017 „Statybos dalyvių atestavimo ir teisės pripažinimo tvarkos aprašas“</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85 punktu, ypatingojo statinio rangovo atestate nurodomos ne tik statinio grupės (pogrupiai), bet ir statinio statybos darbų sritys, todėl kvalifikacijos reikalavime ypatingojo statinio rangovui turėtų būti aiškiai nurodytos ir statinių grupės (pogrupiai) bei statybos darbų sritys, atitinkančios Pirkimo objektą. </w:t>
      </w:r>
    </w:p>
    <w:p xmlns:wp14="http://schemas.microsoft.com/office/word/2010/wordml" w:rsidP="24D72264" wp14:paraId="296662B4" wp14:textId="3CB5E6E5">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Pažymėtina, kad vadovaujantis Metodikos 7.7 punktu, kvalifikacijos reikalavimai negali pažeisti Europos Sąjungos sutarties nuostatų dėl laisvo judėjimo ir negali diskriminuoti tiekėjų, kurie yra registruoti Europos Sąjungos valstybėje narėje, Europos ekonominės erdvės valstybėje narėje, Šveicarijos Konfederacijoje ar trečiojoje šalyje, pasirašiusioje tarptautinius susitarimus dėl viešųjų pirkimų, kurie yra privalomi Europos Sąjungos valstybėms narėms, bei Metodikos 8.5 punktu – pirkimo vykdytojas, nustatęs kvalifikacijos reikalavimus, pirkimo dokumentuose turi aiškiai nurodyti, kad iš tiekėjų ir (arba) specialistų, registruotų Europos Sąjungos valstybėje narėje, Europos ekonominės erdvės valstybėje narėje, Šveicarijos Konfederacijoje arba trečiojoje šalyje, priimami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tiekėjo ir (arba) specialisto kilmės šalies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kompetentingų institucijų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išduoti dokumentai</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tačiau toks užsienio šalies tiekėjas ir (arba) specialistas turi pareigą per protingą laiką kreiptis į atitinkamą Lietuvos Respublikos instituciją dėl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teisės pripažinimo dokumento</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išdavimo. Užsienio tiekėjo ir (arba) specialisto turimos kvalifikacijos patvirtinimo dokumentai Lietuvoje gali būti išduoti ir po galutinės paraiškų arba pasiūlymų pateikimo datos. Atitinkamai, pirkimo vykdytojas turi nurodyti,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iki kada šie dokumentai turės būti pateikti</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pavyzdžiui, iki pirkimo sutarties pasirašymo, iki darbų pradžios ar iki kito, pirkimo vykdytojo nurodyto, termino.</w:t>
      </w:r>
    </w:p>
    <w:p xmlns:wp14="http://schemas.microsoft.com/office/word/2010/wordml" w:rsidP="24D72264" wp14:paraId="352F7971" wp14:textId="188AD5DE">
      <w:pPr>
        <w:tabs>
          <w:tab w:val="left" w:leader="none" w:pos="1134"/>
        </w:tabs>
        <w:spacing w:after="0"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Atkreiptinas dėmesys, kad </w:t>
      </w:r>
      <w:hyperlink r:id="R4720886ddfe64f46">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STR 1.02.01:2017 „Statybos dalyvių atestavimo ir teisės pripažinimo tvarkos aprašo“</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1 punkte aiškiai nurodyta, kokiems fiziniams asmenims (1.1 ir 1.2 p.) ir juridiniams asmenims (1.3 ir 1.4 p.) taikoma šiame STR nustatytas kvalifikacijos atestatų ir teisės pripažinimo dokumentų išdavimo tvarka, todėl į tai turi būti atsižvelgiama formuluojant reikalavimus pateikiamiems dokumentams. Taip pat pastebėtina, kad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xml:space="preserve">nuo 2022-05-01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atestavimą ir teisės pripažinimą atlieka viešoji įstaiga Statybos sektoriaus vystymo agentūra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xml:space="preserve">(toliau – SSVA). Minėtos paslaugos nuo šiol pasiekiamos tinklalapyje </w:t>
      </w:r>
      <w:hyperlink r:id="R6f04cdbe4cad4095">
        <w:r w:rsidRPr="24D72264" w:rsidR="2003B141">
          <w:rPr>
            <w:rStyle w:val="Hyperlink"/>
            <w:rFonts w:ascii="Calibri" w:hAnsi="Calibri" w:eastAsia="Calibri" w:cs="Calibri"/>
            <w:b w:val="0"/>
            <w:bCs w:val="0"/>
            <w:i w:val="0"/>
            <w:iCs w:val="0"/>
            <w:caps w:val="0"/>
            <w:smallCaps w:val="0"/>
            <w:strike w:val="0"/>
            <w:dstrike w:val="0"/>
            <w:noProof w:val="0"/>
            <w:sz w:val="24"/>
            <w:szCs w:val="24"/>
            <w:lang w:val="lt"/>
          </w:rPr>
          <w:t>www.ssva.lt</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Tarnyba rekomenduoja atitinkamai patikslinti informaciją apie SPSC ir SSVA.</w:t>
      </w:r>
    </w:p>
    <w:p xmlns:wp14="http://schemas.microsoft.com/office/word/2010/wordml" w:rsidP="24D72264" wp14:paraId="7746DFBB" wp14:textId="48F6B8C9">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Taip pat Perkantysis subjektas neturėtų prašyti kopijų tų dokumentų, kuriuos pats gali pasitikrinti SSVA registruose.</w:t>
      </w:r>
    </w:p>
    <w:p xmlns:wp14="http://schemas.microsoft.com/office/word/2010/wordml" w:rsidP="24D72264" wp14:paraId="15A4BA68" wp14:textId="63722006">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Atsižvelgiant į aukščiau išdėstytą, Tarnyba rekomenduoja tikslinti šį kvalifikacijos reikalavimą atskiriant reikalavimą tiekėjui ir specialistui, taip pat tikslinti informaciją dėl pateikiamų dokumentų. Rekomenduotina susipažinti su Tarnybos parengtose </w:t>
      </w:r>
      <w:hyperlink r:id="R699ce5d0c31442ac">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Statybos darbų pirkimų gairėse</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pateikiamais pavyzdžiais, kaip formuluoti kvalifikacijos reikalavimus dėl tiekėjo teisės būti ypatingojo statinio rangovu, dėl ypatingojo statinio statybos vadovo teisės eiti pareigas, ir kokie dokumentai kiekvienu atveju įrodo šias teises.</w:t>
      </w:r>
    </w:p>
    <w:p xmlns:wp14="http://schemas.microsoft.com/office/word/2010/wordml" w:rsidP="24D72264" wp14:paraId="58F51704" wp14:textId="6C6C3246">
      <w:pPr>
        <w:pStyle w:val="ListParagraph"/>
        <w:numPr>
          <w:ilvl w:val="0"/>
          <w:numId w:val="2"/>
        </w:numPr>
        <w:tabs>
          <w:tab w:val="left" w:leader="none" w:pos="567"/>
        </w:tabs>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Dėl kokybės vadybos sistemos ir žaliojo pirkimo reikalavimų </w:t>
      </w:r>
    </w:p>
    <w:p xmlns:wp14="http://schemas.microsoft.com/office/word/2010/wordml" w:rsidP="24D72264" wp14:paraId="220DDEBB" wp14:textId="3E54378B">
      <w:pPr>
        <w:tabs>
          <w:tab w:val="left" w:leader="none" w:pos="567"/>
        </w:tabs>
        <w:spacing w:after="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Skelbime apie pirkimą pažymėta, kad vykdomas žaliasis pirkimas pagal Lietuvos Respublikos aplinkos ministro 2011 m. birželio 28 d. įsakymu Nr. D1-508 patvirtintą „Aplinkos apsaugos kriterijų taikymo, vykdant žaliuosius pirkimus, tvarkos aprašą“ (toliau – Tvarkos aprašas) ir aplinkos apsaugos kriterijai nustatyti pagal</w:t>
      </w:r>
      <w:r w:rsidRPr="24D72264" w:rsidR="2003B141">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lt-LT"/>
        </w:rPr>
        <w:t xml:space="preserve">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Tvarkos aprašo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4.3 papunktį</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(aplinkos apsaugos vadybos sistemos reikalavimai) ir Tvarkos aprašo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4.4.4 papunktį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(savarankiškai nustatomi aplinkos apsaugos kriterijai). </w:t>
      </w:r>
    </w:p>
    <w:p xmlns:wp14="http://schemas.microsoft.com/office/word/2010/wordml" w:rsidP="24D72264" wp14:paraId="29B55461" wp14:textId="30283276">
      <w:pPr>
        <w:tabs>
          <w:tab w:val="left" w:leader="none" w:pos="567"/>
        </w:tabs>
        <w:spacing w:after="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Pirkimo sąlygų 4.2 punkte „Reikalaujami kokybės vadybos sistemos ir (arba) aplinkos apsaugos vadybos sistemos standartai“ nustatyta:</w:t>
      </w:r>
    </w:p>
    <w:p xmlns:wp14="http://schemas.microsoft.com/office/word/2010/wordml" w:rsidP="24D72264" wp14:paraId="78170292" wp14:textId="34656B1C">
      <w:pPr>
        <w:tabs>
          <w:tab w:val="left" w:leader="none" w:pos="567"/>
        </w:tabs>
        <w:spacing w:after="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„4.2.1. Tiekėjas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bent vienas iš tiekėjų grupės partnerių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laikosi kokybės vadybos sistemos standartų.</w:t>
      </w:r>
    </w:p>
    <w:p xmlns:wp14="http://schemas.microsoft.com/office/word/2010/wordml" w:rsidP="24D72264" wp14:paraId="7D31BA09" wp14:textId="01F1A4E6">
      <w:pPr>
        <w:tabs>
          <w:tab w:val="left" w:leader="none" w:pos="567"/>
        </w:tabs>
        <w:spacing w:after="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Patvirtinantys dokumentai: Kokybės vadybos LST EN ISO 9001 standarto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sertifikatas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Perkantysis subjektas pripažįsta kitose valstybėse narėse įsisteigusių nepriklausomų įstaigų išduotus lygiaverčius sertifikatus.</w:t>
      </w:r>
    </w:p>
    <w:p xmlns:wp14="http://schemas.microsoft.com/office/word/2010/wordml" w:rsidP="24D72264" wp14:paraId="4784A60E" wp14:textId="7A5E85A4">
      <w:pPr>
        <w:tabs>
          <w:tab w:val="left" w:leader="none" w:pos="567"/>
        </w:tabs>
        <w:spacing w:after="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4.2.2. Tiekėjas,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(bent vienas iš tiekėjų grupės partnerių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laikosi aplinkos apsaugos vadybos sistemos standartų.</w:t>
      </w:r>
    </w:p>
    <w:p xmlns:wp14="http://schemas.microsoft.com/office/word/2010/wordml" w:rsidP="24D72264" wp14:paraId="56DE12CD" wp14:textId="4A635942">
      <w:pPr>
        <w:tabs>
          <w:tab w:val="left" w:leader="none" w:pos="567"/>
        </w:tabs>
        <w:spacing w:after="12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Patvirtinantys dokumentai: Aplinkos apsaugos vadybos LST EN ISO 14001, EMAS standartų, arba lygiaverčio standarto galiojantis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sertifikatas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Lygiaverčiu skaitomas toje šalyje įteisintas tarptautinis standartas. Perkantysis subjektas pasilieka sau teisę prašyti pateikti paskutinio sertifikavimo ar priežiūros audito oficialias išvadas arba kreiptis į sertifikatą išdavusią akredituotą įstaigą nustatyti sertifikato tikrumą.“</w:t>
      </w:r>
    </w:p>
    <w:p xmlns:wp14="http://schemas.microsoft.com/office/word/2010/wordml" w:rsidP="24D72264" wp14:paraId="7EC90602" wp14:textId="13C9BAE3">
      <w:pPr>
        <w:pStyle w:val="ListParagraph"/>
        <w:numPr>
          <w:ilvl w:val="1"/>
          <w:numId w:val="2"/>
        </w:numPr>
        <w:tabs>
          <w:tab w:val="left" w:leader="none" w:pos="567"/>
        </w:tabs>
        <w:spacing w:after="12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Pažymėtina, kad Tvarkos aprašo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4.3 punkte</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nustatyta, kad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perkamiems darbams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kitais tiekėjo pateiktais lygiaverčiais įrodymais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(lygiaverčiai įrodymai gali būti priimami atliekant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supaprastintus pirkimus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o kiti lygiaverčiai aplinkos apsaugos vadybos užtikrinimo priemonių įrodymai išvardinti Tvarkos aprašo 10 punkte.</w:t>
      </w:r>
    </w:p>
    <w:p xmlns:wp14="http://schemas.microsoft.com/office/word/2010/wordml" w:rsidP="24D72264" wp14:paraId="08B1AD41" wp14:textId="08BD263D">
      <w:pPr>
        <w:tabs>
          <w:tab w:val="left" w:leader="none" w:pos="567"/>
        </w:tabs>
        <w:spacing w:after="12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Taip pat atkreiptinas dėmesys, kad Įstatymo 60 straipsnio 1 dalyje analogiškai nurodyta, kad atliekant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supaprastintą pirkimą</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perkantysis subjektas priima ir kitus tiekėjo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lygiaverčių kokybės vadybos užtikrinimo priemonių įrodymus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patvirtinančius, kad jo siūlomos kokybės vadybos užtikrinimo priemonės atitinka reikalaujamus kokybės vadybos užtikrinimo standartus.</w:t>
      </w:r>
    </w:p>
    <w:p xmlns:wp14="http://schemas.microsoft.com/office/word/2010/wordml" w:rsidP="24D72264" wp14:paraId="795094C8" wp14:textId="33E8E1B2">
      <w:pPr>
        <w:tabs>
          <w:tab w:val="left" w:leader="none" w:pos="567"/>
        </w:tabs>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Atsižvelgiant į aukščiau nurodytą, Tarnyba rekomenduoja tikslinti 4.2 punkte nurodytus kokybės vadybos sistemos ir aplinkos apsaugos vadybos sistemos standartų reikalavimus, papildant galimybe tiekėjui pateikti ir kitus lygiaverčius užtikrinimo priemonių įrodymus, ne vien tik nurodytus sertifikatus. Taip pat pastebėtina, kad reikalavimuose nėra nurodyta, kokioje srityje turi būti taikomos nurodytos kokybės ir aplinkos apsaugos vadybos sistemos. </w:t>
      </w:r>
    </w:p>
    <w:p xmlns:wp14="http://schemas.microsoft.com/office/word/2010/wordml" w:rsidP="24D72264" wp14:paraId="3FB97046" wp14:textId="7F7A664B">
      <w:pPr>
        <w:pStyle w:val="ListParagraph"/>
        <w:numPr>
          <w:ilvl w:val="1"/>
          <w:numId w:val="2"/>
        </w:numPr>
        <w:tabs>
          <w:tab w:val="left" w:leader="none" w:pos="567"/>
        </w:tabs>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Pažymėtina, kad kokybės vadybos sistemos ir aplinkos apsaugos vadybos sistemos standartų sutarties vykdymo metu turi laikytis ne „Tiekėjas,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(bent vienas iš tiekėjų grupės partnerių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o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xml:space="preserve">kiekvienas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sutartį vykdysiantis subjektas – ir tiekėjas, ir kiekvienas iš tiekėjų grupės partnerių, ir ūkio subjektas, kurio pajėgumais remiamasi, kad atitikti kvalifikacijos reikalavimus, ir kiekvienas subtiekėjas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pagal prisiimamus įsipareigojimus vykdant pirkimo sutartį</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todėl rekomenduotina tikslinti 4.2 punktą papildant informacija, kam ir kaip taikomi šie reikalavimai.</w:t>
      </w:r>
    </w:p>
    <w:p xmlns:wp14="http://schemas.microsoft.com/office/word/2010/wordml" w:rsidP="24D72264" wp14:paraId="6C612E3E" wp14:textId="0EB8C144">
      <w:pPr>
        <w:tabs>
          <w:tab w:val="left" w:leader="none" w:pos="567"/>
        </w:tabs>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2.3</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Tarnyba papildomai atkreipia dėmesį į kokybės vadybos sistemos standartų reikalavimą ir rekomenduoja susipažinti su Įstatymo 60 straipsnio 1 dalies </w:t>
      </w:r>
      <w:hyperlink r:id="Rfae8e3f3eaf54a02">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komentaru</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kuriame pabrėžiama, kad perkančiųjų subjektų pareiga užtikrinti, kad reikalavimai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dirbtinai neribotų konkurencijos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būtų proporcingi ir susiję su pirkimo objektu, tikslūs ir aiškūs. Dėl to perkantysis subjektas, kiekvienu konkrečiu atveju pirkimo dokumentuose įtvirtindamas reikalavimus, susijusius su kokybės vadybos sistemos ir aplinkos apsaugos vadybos sistemos standartų laikymusi, privalo įvertinti šių reikalavimų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būtinumą, reikalingumą</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sąsają su pirkimo objektu bei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proporcingumą pirkimo objektui.</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Tai ypač aktualu supaprastintų pirkimų atveju. Atsižvelgiant į tai, rekomenduotina apsvarstyti, ar kokybės vadybos sistemos standartų reikalavimas, įvertinus Pirkimo objektą – dangų atstatymo darbus, kurie nėra laikytini sudėtingais darbais, yra tikrai būtinas, reikalingas ir neriboja tiekėjų konkurencijos.  </w:t>
      </w:r>
    </w:p>
    <w:p xmlns:wp14="http://schemas.microsoft.com/office/word/2010/wordml" w:rsidP="24D72264" wp14:paraId="0FBFECD8" wp14:textId="7E76620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2.4</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Pirkimo sąlygų priede Nr. 3 „Rangos sutartis“ (toliau – Sutarties projektas) 4.2.11 – 4.2.14</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vertAlign w:val="superscript"/>
          <w:lang w:val="lt-LT"/>
        </w:rPr>
        <w:t>1</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punktuose nurodyti rangovo įsipareigojimai laikytis Perkančiojo subjekto savarankiškai nustatytų aplinkos apsaugos kriterijų, 4.2.15 punkte – įsipareigojimas Darbų atlikimo laikotarpiu užtikrinti nustatytų kokybės vadybos sistemos ir aplinkos apsaugos vadybos sistemos standartų laikymąsi ir turėti tą patvirtinančius dokumentus. Dėl 4.2.11 – 4.2.14 punktuose nurodytų įsipareigojimų nesilaikymo Sutarties projekto 6.5 punkte nurodytos sankcijos: Rangovui pažeidus Sutarties 4.2.13.-4.2.14 papunkčiuose nurodytus įsipareigojimus, Užsakovas turi teisę reikalauti 200 (dviejų šimtų) eurų baudą už kiekvieną Užsakovo nustatytą pažeidimo atvejį, tačiau nėra numatytų jokių sankcijų, jei rangovas nesilaikys 4.2.15 punkte numatytų įsipareigojimų. Sutarties projekte rekomenduotina nurodyti ne tik tiekėjo pareigą sutarties vykdymo metu taikyti kokybės vadybos sistemos bei aplinkos apsaugos vadybos sistemos reikalavimus, nusimatyti kontrolės mechanizmą, kaip Perkantysis subjektas kontroliuos tiekėjo pareigą sutarties vykdymo metu taikyti šiuos reikalavimus, bet ir koks bus sankcijų mechanizmas, jeigu tiekėjas šios pareigos nevykdys. Atsižvelgiant į nurodytą, rekomenduotina papildyti Sutarties projekto nuostatas.</w:t>
      </w:r>
    </w:p>
    <w:p xmlns:wp14="http://schemas.microsoft.com/office/word/2010/wordml" w:rsidP="24D72264" wp14:paraId="3D9A129A" wp14:textId="6DD8C6C1">
      <w:pPr>
        <w:spacing w:after="12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Atkreiptinas dėmesys į Sutarties projekto 4.2.12 punktą, kuriame nurodyta, kad rangovas įsipareigoja siekti</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 kad Rangovo darbuotojai, atliekantys Darbus, atvykimui į Darbų atlikimo vietą pasirinktų optimalų maršrutą ir rinktųsi netaršias transporto priemones.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Pagal Sutarties projekto 6.5 punktą už šio įsipareigojimo nevykdymą Užsakovas turi teisę reikalauti 200 (dviejų šimtų) eurų baudą už kiekvieną Užsakovo nustatytą pažeidimo atvejį. Tarnyba prašo paaiškinti, kur Sutarties projekte yra nurodyta, kas ir kaip tikrins Rangovo darbuotojų atvykimo maršrutus į objektą, jų transporto priemones, kokiais dokumentais turi būti pagrindžiamas šio įsipareigojimo laikymasis, siekiant negauti  200 eurų baudos? Pažymėtina, kad Perkantysis subjektas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xml:space="preserve">, siekdamas Pirkimą vykdyti kaip žaliąjį pirkimą, neturi nustatyti tik deklaratyvių reikalavimų, o Pirkimo dokumentuose turi tiksliai ir aiškiai nustatyti žaliojo pirkimo sąlygas ir užtikrinti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
        </w:rPr>
        <w:t>visų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xml:space="preserve">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
        </w:rPr>
        <w:t>reikalavimų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
        </w:rPr>
        <w:t xml:space="preserve"> laikymosi priežiūrą bei kontrolę sutarties vykdymo metu.</w:t>
      </w:r>
    </w:p>
    <w:p xmlns:wp14="http://schemas.microsoft.com/office/word/2010/wordml" w:rsidP="24D72264" wp14:paraId="66C79C82" wp14:textId="7B2170BC">
      <w:pPr>
        <w:pStyle w:val="ListParagraph"/>
        <w:numPr>
          <w:ilvl w:val="0"/>
          <w:numId w:val="2"/>
        </w:numPr>
        <w:spacing w:after="12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Dėl ekonomiškai naudingiausio pasiūlymo vertinimo kriterijų</w:t>
      </w:r>
    </w:p>
    <w:p xmlns:wp14="http://schemas.microsoft.com/office/word/2010/wordml" w:rsidP="24D72264" wp14:paraId="3D51B510" wp14:textId="1F48EFFC">
      <w:pPr>
        <w:pStyle w:val="ListParagraph"/>
        <w:numPr>
          <w:ilvl w:val="1"/>
          <w:numId w:val="2"/>
        </w:numPr>
        <w:tabs>
          <w:tab w:val="left" w:leader="none" w:pos="567"/>
        </w:tabs>
        <w:spacing w:after="12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Pirkimo sąlygų 12.3 punkte nustatytas vienas iš ekonomiškai naudingiausio pasiūlymo vertinimo kriterijų „Antras kriterijus – Papildoma Darbų garantinio termino trukmė metais“. Pirkimo sąlygų priede Nr. 1 „Techninė specifikacija“ (toliau – Techninė specifikacija) 2.1 punkte nurodyta, kad „Rangovo darbams taikomas 2 metų garantinės priežiūros terminas.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Kai teisės aktuose numatytas ilgesnis garantinis terminas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taikomas teisės aktuose numatytas terminas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tokia pati sąlyga nustatyta ir Sutarties projekto 5.6 punkte: „Atliktiems Darbams nustatoma ....... (įrašoma 2 (dviejų) metų + Sutarties 3.3.1 papunktyje prisiimtas įsipareigojimas suteikti papildomą Darbų garantinį terminą (jeigu Rangovas pasiūlyme prisiėmė šį įsipareigojimą)) metų garantija.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Tuo atveju, kai teisės aktai Darbams nustato ilgesnį garantinį terminą, taikomas teisės aktuose nustatytas terminas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w:t>
      </w:r>
    </w:p>
    <w:p xmlns:wp14="http://schemas.microsoft.com/office/word/2010/wordml" w:rsidP="24D72264" wp14:paraId="285DCF20" wp14:textId="4EAD93C1">
      <w:pPr>
        <w:tabs>
          <w:tab w:val="left" w:leader="none" w:pos="567"/>
        </w:tabs>
        <w:spacing w:after="12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Atsižvelgiant į Įstatymo 48 str. 4 d. nuostata, kad „Pirkimo dokumentai turi būti tikslūs, aiškūs,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be dviprasmybių</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kad tiekėjai galėtų pateikti pasiūlymus, o perkantysis subjektas – nupirkti tai, ko reikia“, Tarnyba prašo paaiškinti, kaip reikia suprasti sąlygą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Kai teisės aktuose numatytas ilgesnis garantinis terminas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taikomas teisės aktuose numatytas terminas“</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kada ir kas (Užsakovas ar Rangovas) nuspręs, koks turi būti privalomas garantinis terminas, kaip bus išvengiama ginčų, nuo kada (po 2 metų ar po 3, 4, 5 metų) taikyti papildomą garantinį terminą (jei toks bus pasiūlytas)?</w:t>
      </w:r>
    </w:p>
    <w:p xmlns:wp14="http://schemas.microsoft.com/office/word/2010/wordml" w:rsidP="24D72264" wp14:paraId="1B4FA777" wp14:textId="545BAA2D">
      <w:pPr>
        <w:tabs>
          <w:tab w:val="left" w:leader="none" w:pos="567"/>
        </w:tabs>
        <w:spacing w:after="12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4D72264" wp14:paraId="30D62C16" wp14:textId="402D7BFC">
      <w:pPr>
        <w:pStyle w:val="ListParagraph"/>
        <w:numPr>
          <w:ilvl w:val="1"/>
          <w:numId w:val="2"/>
        </w:numPr>
        <w:tabs>
          <w:tab w:val="left" w:leader="none" w:pos="567"/>
        </w:tabs>
        <w:spacing w:after="12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Pirkimo sąlygų 12.3 punkte nustatytas trečias ekonomiškai naudingiausio pasiūlymo vertinimo kriterijus „Transporto priemonių (krovininių automobilių) atitiktis, EURO 6 arba STAGE V standartui“. Šio kriterijaus aprašyme nurodyta tik, kad „Tiekėjas, pateikdamas pasiūlymą, pasiūlymo formoje (pirkimo sąlygų 2 priedas) nurodo tik vieną pasirinktą įsipareigojimą, kurio įsipareigoja laikytis vykdant pirkimo sutartį“, t. y. ar darbai bus, ar nebus atliekami tokiomis transporto priemonėmis. Atitinkamai Sutarties projekto 6.4 punkte nurodyta, kad „Rangovui nesilaikant Sutarties 3.3.2 papunktyje prisiimto įsipareigojimo – laikytis Rangovo pasiūlyme (pirkimo sąlygų 2 priedas) nurodytos pagrindinių transporto priemonių atitikties EURO 6 arba STAGE V standarto (arba lygiaverčio) reikalavimams, Rangovui taikoma 500,00 (penkių šimtų) eurų bauda už nustatytą pažeidimo atvejį (taikyti tik tuo atveju, jei Rangovas pasiūlyme nurodo pagrindinių transporto priemonių atitiktį EURO 6 arba STAGE V standarto (arba lygiaverčio) reikalavimams)“. Tarnyba prašo paaiškinti, kur Pirkimo dokumentuose yra aiškiai nurodyta, kad jei tiekėjas įsipareigos darbus atlikti nurodytomis transporto priemonėmis, kaip ir kada sutarties vykdymo metu bus tikrinama atitiktis šiam kriterijui (pavyzdžiui, ar kiekvieno užsakymo, kurį privaloma įvykdyti per 5 darbo dienas, vykdymo metu?), kada ir kokius dokumentus rangovas privalės pateikti?  </w:t>
      </w:r>
    </w:p>
    <w:p xmlns:wp14="http://schemas.microsoft.com/office/word/2010/wordml" w:rsidP="24D72264" wp14:paraId="28D18506" wp14:textId="7C8862F0">
      <w:pPr>
        <w:pStyle w:val="ListParagraph"/>
        <w:numPr>
          <w:ilvl w:val="0"/>
          <w:numId w:val="2"/>
        </w:numPr>
        <w:tabs>
          <w:tab w:val="left" w:leader="none" w:pos="567"/>
        </w:tabs>
        <w:spacing w:after="12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Sutarties projekto 2.2 punkte nustatyta, kad „Sutarčiai ir jos galimiems keitimo atvejams taikoma fiksuoto įkainio su peržiūra kainodara.“ Atkreiptinas dėmesys, kad nuo 2022 m. liepos 1 d. įsigaliojo </w:t>
      </w:r>
      <w:hyperlink r:id="R21c8935ae8ae466e">
        <w:r w:rsidRPr="24D72264" w:rsidR="2003B141">
          <w:rPr>
            <w:rStyle w:val="Hyperlink"/>
            <w:rFonts w:ascii="Calibri" w:hAnsi="Calibri" w:eastAsia="Calibri" w:cs="Calibri"/>
            <w:b w:val="0"/>
            <w:bCs w:val="0"/>
            <w:i w:val="0"/>
            <w:iCs w:val="0"/>
            <w:caps w:val="0"/>
            <w:smallCaps w:val="0"/>
            <w:strike w:val="0"/>
            <w:dstrike w:val="0"/>
            <w:noProof w:val="0"/>
            <w:sz w:val="24"/>
            <w:szCs w:val="24"/>
            <w:lang w:val="lt-LT"/>
          </w:rPr>
          <w:t>Kainodaros taisyklių nustatymo metodikos</w:t>
        </w:r>
      </w:hyperlink>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pakeitimai, kuriais buvo patikslinti galimi kainos apskaičiavimo būdai –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nebeliko</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fiksuotos kainos su peržiūra / </w:t>
      </w:r>
      <w:r w:rsidRPr="24D72264" w:rsidR="2003B141">
        <w:rPr>
          <w:rFonts w:ascii="Calibri" w:hAnsi="Calibri" w:eastAsia="Calibri" w:cs="Calibri"/>
          <w:b w:val="1"/>
          <w:bCs w:val="1"/>
          <w:i w:val="0"/>
          <w:iCs w:val="0"/>
          <w:caps w:val="0"/>
          <w:smallCaps w:val="0"/>
          <w:noProof w:val="0"/>
          <w:color w:val="000000" w:themeColor="text1" w:themeTint="FF" w:themeShade="FF"/>
          <w:sz w:val="24"/>
          <w:szCs w:val="24"/>
          <w:lang w:val="lt-LT"/>
        </w:rPr>
        <w:t>fiksuoto įkainio su peržiūra</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sutarties kainos apskaičiavimo būdo. Atsižvelgiant į tai rekomenduotina patikslinti Sutarties projekte nurodytą kainodarą.</w:t>
      </w:r>
    </w:p>
    <w:p xmlns:wp14="http://schemas.microsoft.com/office/word/2010/wordml" w:rsidP="24D72264" wp14:paraId="655102E6" wp14:textId="05C18D50">
      <w:pPr>
        <w:pStyle w:val="ListParagraph"/>
        <w:numPr>
          <w:ilvl w:val="0"/>
          <w:numId w:val="2"/>
        </w:numPr>
        <w:tabs>
          <w:tab w:val="left" w:leader="none" w:pos="567"/>
        </w:tabs>
        <w:spacing w:after="160" w:line="259" w:lineRule="auto"/>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Tarnyba atkreipia dėmesį, kad Sutarties projekte nėra nustatytos tiesioginio atsiskaitymo galimybės, t. y. nėra nustatytos tiesioginio atsiskaitymo su subtiekėjais tvarkos, vadovaujantis Įstatymo 96 str. 2 dalimi. </w:t>
      </w:r>
    </w:p>
    <w:p xmlns:wp14="http://schemas.microsoft.com/office/word/2010/wordml" w:rsidP="24D72264" wp14:paraId="580A595A" wp14:textId="085996BE">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Atsižvelgiant į tai, rekomenduotina patikslinti Sutarties projekto nuostatas, o jei toks tikslinimas nebus atliktas, pateikti paaiškinimą, kodėl šiuo atveju tiesioginis atsiskaitymas su subtiekėjais negalimas.</w:t>
      </w:r>
    </w:p>
    <w:p xmlns:wp14="http://schemas.microsoft.com/office/word/2010/wordml" w:rsidP="24D72264" wp14:paraId="76EC6B6F" wp14:textId="17AA817F">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Atsižvelgdama į tai, kas nurodyta, Tarnyba rekomenduoja peržiūrėti ir patikslinti Pirkimų dokumentus pagal šioje Rekomendacijoje pateiktas pastabas. Primename, kad Perkantysis subjektas, patikslinęs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xmlns:wp14="http://schemas.microsoft.com/office/word/2010/wordml" w:rsidP="24D72264" wp14:paraId="1973372C" wp14:textId="336E0218">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Pažymėtina, kad visais atvejais sprendimą dėl tolimesnio Pirkimų procedūrų vykdymo ar nutraukimo priima pats Perkantysis subjektas, vadovaudamasis Įstatymo 41 straipsnio 3</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vertAlign w:val="superscript"/>
          <w:lang w:val="lt-LT"/>
        </w:rPr>
        <w:t>2</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 xml:space="preserve"> ir 4</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vertAlign w:val="superscript"/>
          <w:lang w:val="lt-LT"/>
        </w:rPr>
        <w:t xml:space="preserve">3 </w:t>
      </w:r>
      <w:r w:rsidRPr="24D72264" w:rsidR="2003B141">
        <w:rPr>
          <w:rFonts w:ascii="Calibri" w:hAnsi="Calibri" w:eastAsia="Calibri" w:cs="Calibri"/>
          <w:b w:val="0"/>
          <w:bCs w:val="0"/>
          <w:i w:val="0"/>
          <w:iCs w:val="0"/>
          <w:caps w:val="0"/>
          <w:smallCaps w:val="0"/>
          <w:noProof w:val="0"/>
          <w:color w:val="000000" w:themeColor="text1" w:themeTint="FF" w:themeShade="FF"/>
          <w:sz w:val="24"/>
          <w:szCs w:val="24"/>
          <w:lang w:val="lt-LT"/>
        </w:rPr>
        <w:t>dalių nuostatomis.</w:t>
      </w:r>
    </w:p>
    <w:p xmlns:wp14="http://schemas.microsoft.com/office/word/2010/wordml" w:rsidP="24D72264" wp14:paraId="6ADBEBD2" wp14:textId="435FA99F">
      <w:pPr>
        <w:tabs>
          <w:tab w:val="left" w:leader="none" w:pos="567"/>
        </w:tabs>
        <w:spacing w:after="160" w:line="259" w:lineRule="auto"/>
        <w:ind w:left="0"/>
        <w:rPr>
          <w:rFonts w:ascii="Calibri" w:hAnsi="Calibri" w:eastAsia="Calibri" w:cs="Calibri"/>
          <w:b w:val="0"/>
          <w:bCs w:val="0"/>
          <w:i w:val="0"/>
          <w:iCs w:val="0"/>
          <w:caps w:val="0"/>
          <w:smallCaps w:val="0"/>
          <w:strike w:val="0"/>
          <w:dstrike w:val="0"/>
          <w:noProof w:val="0"/>
          <w:sz w:val="24"/>
          <w:szCs w:val="24"/>
          <w:lang w:val="lt-LT"/>
        </w:rPr>
      </w:pPr>
    </w:p>
    <w:p xmlns:wp14="http://schemas.microsoft.com/office/word/2010/wordml" w:rsidP="24D72264" wp14:paraId="646B3A34" wp14:textId="214141F8">
      <w:pPr>
        <w:tabs>
          <w:tab w:val="left" w:leader="none" w:pos="567"/>
        </w:tabs>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4D72264" wp14:paraId="35ACF405" wp14:textId="363AFA6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4D72264" wp14:paraId="2C078E63" wp14:textId="63F7F61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1">
    <w:nsid w:val="1ae60a74"/>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0">
    <w:nsid w:val="5588cb91"/>
    <w:multiLevelType xmlns:w="http://schemas.openxmlformats.org/wordprocessingml/2006/main" w:val="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9">
    <w:nsid w:val="4ce5da4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8">
    <w:nsid w:val="35654af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7">
    <w:nsid w:val="4adc25d7"/>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
    <w:nsid w:val="5f75e65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e399c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2699cf33"/>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7ac220d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
    <w:nsid w:val="31953e9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4c7557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39E111"/>
    <w:rsid w:val="2003B141"/>
    <w:rsid w:val="200541A7"/>
    <w:rsid w:val="233B5203"/>
    <w:rsid w:val="24D72264"/>
    <w:rsid w:val="5397222C"/>
    <w:rsid w:val="6739E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E111"/>
  <w15:chartTrackingRefBased/>
  <w15:docId w15:val="{A35D9145-D8A8-4A98-8F95-4DC5B1EC50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seimas.lrs.lt/portal/legalAct/lt/TAD/01aeb1815d8c11e7a53b83ca0142260e/asr" TargetMode="External" Id="R1310c5fcb2fd4803" /><Relationship Type="http://schemas.openxmlformats.org/officeDocument/2006/relationships/hyperlink" Target="file:///C:/Users/400/AppData/Local/Microsoft/Windows/INetCache/Content.Outlook/IZ69PV7K/Statybos%20techninis%20reglamentas%20STR%201.02.01:2017" TargetMode="External" Id="Re333469e9d164763" /><Relationship Type="http://schemas.openxmlformats.org/officeDocument/2006/relationships/hyperlink" Target="file:///C:/Users/Acer/Desktop/Statybos%20techninis%20reglamentas%20STR%201.02.01:2017%20" TargetMode="External" Id="R4720886ddfe64f46" /><Relationship Type="http://schemas.openxmlformats.org/officeDocument/2006/relationships/hyperlink" Target="http://www.ssva.lt/" TargetMode="External" Id="R6f04cdbe4cad4095" /><Relationship Type="http://schemas.openxmlformats.org/officeDocument/2006/relationships/hyperlink" Target="https://vpt.lrv.lt/uploads/vpt/documents/files/mp/Statybos_darbu_gaires_2023-07-31.pdf" TargetMode="External" Id="R699ce5d0c31442ac" /><Relationship Type="http://schemas.openxmlformats.org/officeDocument/2006/relationships/hyperlink" Target="https://klausk.vpt.lt/hc/lt/articles/360016402560-60-straipsnis-Kokyb%C4%97s-vadybos-sistemos-ir-aplinkos-apsaugos-vadybos-sistemos-standartai" TargetMode="External" Id="Rfae8e3f3eaf54a02" /><Relationship Type="http://schemas.openxmlformats.org/officeDocument/2006/relationships/hyperlink" Target="https://e-seimas.lrs.lt/portal/legalAct/lt/TAD/daa0e4a05c3c11e7a53b83ca0142260e/asr" TargetMode="External" Id="R21c8935ae8ae466e" /><Relationship Type="http://schemas.openxmlformats.org/officeDocument/2006/relationships/numbering" Target="numbering.xml" Id="R052760d7d36847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2024-04-21T07:36:59.0231361Z</dcterms:created>
  <dcterms:modified xsi:type="dcterms:W3CDTF">2024-04-21T07:39:39.9541837Z</dcterms:modified>
  <dc:creator>Laimutė Ramanauskienė</dc:creator>
  <lastModifiedBy>Laimutė Ramanauskienė</lastModifiedBy>
</coreProperties>
</file>