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DA5A0" w14:textId="77777777" w:rsidR="00665EDF" w:rsidRPr="0065334E" w:rsidRDefault="00665EDF" w:rsidP="00665EDF">
      <w:pPr>
        <w:spacing w:after="0" w:line="276" w:lineRule="auto"/>
        <w:ind w:firstLine="709"/>
        <w:rPr>
          <w:rFonts w:cstheme="minorHAnsi"/>
          <w:sz w:val="24"/>
          <w:szCs w:val="24"/>
        </w:rPr>
      </w:pPr>
      <w:r w:rsidRPr="0065334E">
        <w:rPr>
          <w:rFonts w:eastAsia="Times New Roman" w:cstheme="minorHAnsi"/>
          <w:sz w:val="24"/>
          <w:szCs w:val="24"/>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2607B767" w14:textId="77777777" w:rsidR="00665EDF" w:rsidRPr="0065334E" w:rsidRDefault="00665EDF" w:rsidP="00665EDF">
      <w:pPr>
        <w:spacing w:after="0" w:line="276" w:lineRule="auto"/>
        <w:ind w:firstLine="709"/>
        <w:rPr>
          <w:rFonts w:cstheme="minorHAnsi"/>
          <w:sz w:val="24"/>
          <w:szCs w:val="24"/>
        </w:rPr>
      </w:pPr>
      <w:r w:rsidRPr="0065334E">
        <w:rPr>
          <w:rFonts w:eastAsia="Times New Roman" w:cstheme="minorHAnsi"/>
          <w:sz w:val="24"/>
          <w:szCs w:val="24"/>
          <w:lang w:val="lt"/>
        </w:rPr>
        <w:t xml:space="preserve">Vadovaujantis Tarnybai Įstatyme nustatyta pažeidimų prevencijos funkcija, šiuo metu atliekama </w:t>
      </w:r>
      <w:r w:rsidRPr="00B7601D">
        <w:rPr>
          <w:rFonts w:eastAsia="Times New Roman" w:cstheme="minorHAnsi"/>
          <w:b/>
          <w:bCs/>
          <w:sz w:val="24"/>
          <w:szCs w:val="24"/>
          <w:lang w:val="lt"/>
        </w:rPr>
        <w:t>Telšių rajono savivaldybės administracijos</w:t>
      </w:r>
      <w:r w:rsidRPr="0065334E">
        <w:rPr>
          <w:rFonts w:cstheme="minorHAnsi"/>
          <w:b/>
          <w:bCs/>
          <w:spacing w:val="-2"/>
          <w:sz w:val="24"/>
          <w:szCs w:val="24"/>
        </w:rPr>
        <w:t xml:space="preserve"> </w:t>
      </w:r>
      <w:r w:rsidRPr="0065334E">
        <w:rPr>
          <w:rFonts w:cstheme="minorHAnsi"/>
          <w:sz w:val="24"/>
          <w:szCs w:val="24"/>
          <w:lang w:eastAsia="lt-LT"/>
        </w:rPr>
        <w:t>(toliau – Perkančioji organizacija) vykdomo pirkimo Nr.</w:t>
      </w:r>
      <w:r w:rsidRPr="0065334E">
        <w:rPr>
          <w:rFonts w:cstheme="minorHAnsi"/>
          <w:b/>
          <w:bCs/>
          <w:sz w:val="24"/>
          <w:szCs w:val="24"/>
          <w:lang w:eastAsia="lt-LT"/>
        </w:rPr>
        <w:t xml:space="preserve"> 707157 „Degaičių sen., Degaičių k., Parko g. kapitalinio remonto rangos darbai“</w:t>
      </w:r>
      <w:r w:rsidRPr="0065334E">
        <w:rPr>
          <w:rFonts w:cstheme="minorHAnsi"/>
          <w:sz w:val="24"/>
          <w:szCs w:val="24"/>
          <w:lang w:eastAsia="lt-LT"/>
        </w:rPr>
        <w:t xml:space="preserve"> (toliau – Pirkimas) </w:t>
      </w:r>
      <w:r w:rsidRPr="0065334E">
        <w:rPr>
          <w:rFonts w:cstheme="minorHAnsi"/>
          <w:sz w:val="24"/>
          <w:szCs w:val="24"/>
        </w:rPr>
        <w:t>dokumentų atitikties Įstatymui ir jį įgyvendinantiems teisės aktams peržiūra (peržiūra prevenciniais tikslais atliekama tam tikra apimtimi).</w:t>
      </w:r>
    </w:p>
    <w:p w14:paraId="1113C0D0" w14:textId="77777777" w:rsidR="00665EDF" w:rsidRPr="0065334E" w:rsidRDefault="00665EDF" w:rsidP="00665EDF">
      <w:pPr>
        <w:spacing w:after="0" w:line="276" w:lineRule="auto"/>
        <w:ind w:firstLine="709"/>
        <w:rPr>
          <w:rFonts w:cstheme="minorHAnsi"/>
          <w:sz w:val="24"/>
          <w:szCs w:val="24"/>
          <w:lang w:eastAsia="lt-LT"/>
        </w:rPr>
      </w:pPr>
      <w:r w:rsidRPr="0065334E">
        <w:rPr>
          <w:rFonts w:cstheme="minorHAnsi"/>
          <w:sz w:val="24"/>
          <w:szCs w:val="24"/>
          <w:lang w:eastAsia="lt-LT"/>
        </w:rPr>
        <w:t>Tarnyba, prevencine tvarka peržiūrėjusi Pirkimo dokumentus ir atsižvelgdama į galiojantį teisinį reglamentavimą, teikia pastabas ir rekomendacijas (toliau – Rekomendacija) dėl Pirkimo dokumentų nuostatų.</w:t>
      </w:r>
    </w:p>
    <w:p w14:paraId="3DD8AF99" w14:textId="77777777" w:rsidR="00665EDF" w:rsidRPr="0065334E" w:rsidRDefault="00665EDF" w:rsidP="00665EDF">
      <w:pPr>
        <w:pStyle w:val="ListParagraph"/>
        <w:numPr>
          <w:ilvl w:val="0"/>
          <w:numId w:val="1"/>
        </w:numPr>
        <w:spacing w:after="0" w:line="276" w:lineRule="auto"/>
        <w:ind w:hanging="218"/>
        <w:rPr>
          <w:rFonts w:cstheme="minorHAnsi"/>
          <w:b/>
          <w:bCs/>
          <w:sz w:val="24"/>
          <w:szCs w:val="24"/>
          <w:lang w:eastAsia="lt-LT"/>
        </w:rPr>
      </w:pPr>
      <w:r w:rsidRPr="0065334E">
        <w:rPr>
          <w:rFonts w:cstheme="minorHAnsi"/>
          <w:b/>
          <w:bCs/>
          <w:sz w:val="24"/>
          <w:szCs w:val="24"/>
          <w:lang w:eastAsia="lt-LT"/>
        </w:rPr>
        <w:t>Dėl pašalinimo pagrindų</w:t>
      </w:r>
    </w:p>
    <w:p w14:paraId="3CD557B9" w14:textId="77777777" w:rsidR="00665EDF" w:rsidRPr="0065334E" w:rsidRDefault="00665EDF" w:rsidP="00665EDF">
      <w:pPr>
        <w:tabs>
          <w:tab w:val="left" w:pos="993"/>
        </w:tabs>
        <w:spacing w:after="0" w:line="276" w:lineRule="auto"/>
        <w:ind w:firstLine="709"/>
        <w:rPr>
          <w:rFonts w:cstheme="minorHAnsi"/>
          <w:sz w:val="24"/>
          <w:szCs w:val="24"/>
        </w:rPr>
      </w:pPr>
      <w:r w:rsidRPr="0065334E">
        <w:rPr>
          <w:rFonts w:cstheme="minorHAnsi"/>
          <w:sz w:val="24"/>
          <w:szCs w:val="24"/>
        </w:rPr>
        <w:t>Pažymėtina, kad EBVPD formoje (Pirkimo sąlygų 5 priedas) nurodyti tiekėjų pašalinimo pagrindai turi sutapti su tiekėjų pašalinimo pagrindais, nurodytais Pirkimo sąlygų 3 priedo 1 lentelėje „Tiekėjų pašalinimo pagrindai“ (toliau – Tiekėjų pašalinimo pagrindai). Nagrinėjamu atveju EBVPD esanti informacija nesutampa, pavyzdžiui, EBVPD formoje nurodyti Įstatymo 46 straipsnio 4 dalies 7 punkto c papunkčio reikalavimai, kurių nėra Tiekėjų pašalinimo pagrinduose. Tarnyba rekomenduoja patikslinti Tiekėjų pašalinimo pagrindus</w:t>
      </w:r>
      <w:r>
        <w:rPr>
          <w:rFonts w:cstheme="minorHAnsi"/>
          <w:sz w:val="24"/>
          <w:szCs w:val="24"/>
        </w:rPr>
        <w:t xml:space="preserve"> nurodant </w:t>
      </w:r>
      <w:r w:rsidRPr="0065334E">
        <w:rPr>
          <w:rFonts w:cstheme="minorHAnsi"/>
          <w:sz w:val="24"/>
          <w:szCs w:val="24"/>
        </w:rPr>
        <w:t>vis</w:t>
      </w:r>
      <w:r>
        <w:rPr>
          <w:rFonts w:cstheme="minorHAnsi"/>
          <w:sz w:val="24"/>
          <w:szCs w:val="24"/>
        </w:rPr>
        <w:t>us</w:t>
      </w:r>
      <w:r w:rsidRPr="0065334E">
        <w:rPr>
          <w:rFonts w:cstheme="minorHAnsi"/>
          <w:sz w:val="24"/>
          <w:szCs w:val="24"/>
        </w:rPr>
        <w:t xml:space="preserve"> privalom</w:t>
      </w:r>
      <w:r>
        <w:rPr>
          <w:rFonts w:cstheme="minorHAnsi"/>
          <w:sz w:val="24"/>
          <w:szCs w:val="24"/>
        </w:rPr>
        <w:t>us</w:t>
      </w:r>
      <w:r w:rsidRPr="0065334E">
        <w:rPr>
          <w:rFonts w:cstheme="minorHAnsi"/>
          <w:sz w:val="24"/>
          <w:szCs w:val="24"/>
        </w:rPr>
        <w:t xml:space="preserve"> tiekėjų pašalinimo pagrind</w:t>
      </w:r>
      <w:r>
        <w:rPr>
          <w:rFonts w:cstheme="minorHAnsi"/>
          <w:sz w:val="24"/>
          <w:szCs w:val="24"/>
        </w:rPr>
        <w:t>us</w:t>
      </w:r>
      <w:r w:rsidRPr="0065334E">
        <w:rPr>
          <w:rFonts w:cstheme="minorHAnsi"/>
          <w:sz w:val="24"/>
          <w:szCs w:val="24"/>
        </w:rPr>
        <w:t>.</w:t>
      </w:r>
    </w:p>
    <w:p w14:paraId="5F93378F" w14:textId="77777777" w:rsidR="00665EDF" w:rsidRPr="0065334E" w:rsidRDefault="00665EDF" w:rsidP="00665EDF">
      <w:pPr>
        <w:pStyle w:val="ListParagraph"/>
        <w:numPr>
          <w:ilvl w:val="0"/>
          <w:numId w:val="1"/>
        </w:numPr>
        <w:spacing w:after="0" w:line="276" w:lineRule="auto"/>
        <w:ind w:hanging="218"/>
        <w:rPr>
          <w:rFonts w:cstheme="minorHAnsi"/>
          <w:b/>
          <w:bCs/>
          <w:sz w:val="24"/>
          <w:szCs w:val="24"/>
          <w:lang w:eastAsia="lt-LT"/>
        </w:rPr>
      </w:pPr>
      <w:r w:rsidRPr="0065334E">
        <w:rPr>
          <w:rFonts w:cstheme="minorHAnsi"/>
          <w:b/>
          <w:bCs/>
          <w:sz w:val="24"/>
          <w:szCs w:val="24"/>
          <w:lang w:eastAsia="lt-LT"/>
        </w:rPr>
        <w:t>Dėl tiekėjo kvalifikacijos reikalavimų</w:t>
      </w:r>
    </w:p>
    <w:p w14:paraId="2DC7639C" w14:textId="77777777" w:rsidR="00665EDF" w:rsidRPr="0065334E" w:rsidRDefault="00665EDF" w:rsidP="00665EDF">
      <w:pPr>
        <w:pStyle w:val="ListParagraph"/>
        <w:numPr>
          <w:ilvl w:val="1"/>
          <w:numId w:val="1"/>
        </w:numPr>
        <w:tabs>
          <w:tab w:val="left" w:pos="1134"/>
        </w:tabs>
        <w:spacing w:after="0" w:line="276" w:lineRule="auto"/>
        <w:ind w:left="0" w:firstLine="709"/>
        <w:textAlignment w:val="baseline"/>
        <w:rPr>
          <w:rFonts w:cstheme="minorHAnsi"/>
        </w:rPr>
      </w:pPr>
      <w:r w:rsidRPr="0065334E">
        <w:rPr>
          <w:rFonts w:eastAsia="Times New Roman" w:cstheme="minorHAnsi"/>
          <w:sz w:val="24"/>
          <w:szCs w:val="24"/>
          <w:lang w:val="lt"/>
        </w:rPr>
        <w:t>Įstatymo 47 straipsnio 7 dalyje nustatyta, kad „Tiekėjo kvalifikacijos reikalavimai nustatomi pagal Viešųjų pirkimų tarnybos patvirtintą tiekėjo kvalifikacijos reikalavimų nustatymo metodiką“</w:t>
      </w:r>
      <w:r w:rsidRPr="0065334E">
        <w:rPr>
          <w:rStyle w:val="FootnoteReference"/>
          <w:rFonts w:eastAsia="Times New Roman" w:cstheme="minorHAnsi"/>
          <w:sz w:val="24"/>
          <w:szCs w:val="24"/>
          <w:lang w:val="lt"/>
        </w:rPr>
        <w:footnoteReference w:id="1"/>
      </w:r>
      <w:r w:rsidRPr="0065334E">
        <w:rPr>
          <w:rFonts w:eastAsia="Times New Roman" w:cstheme="minorHAnsi"/>
          <w:sz w:val="24"/>
          <w:szCs w:val="24"/>
          <w:lang w:val="lt"/>
        </w:rPr>
        <w:t xml:space="preserve"> (toliau – Metodika).</w:t>
      </w:r>
    </w:p>
    <w:p w14:paraId="55451869" w14:textId="77777777" w:rsidR="00665EDF" w:rsidRPr="0065334E" w:rsidRDefault="00665EDF" w:rsidP="00665EDF">
      <w:pPr>
        <w:spacing w:after="0" w:line="276" w:lineRule="auto"/>
        <w:ind w:firstLine="709"/>
        <w:jc w:val="both"/>
        <w:rPr>
          <w:rFonts w:cstheme="minorHAnsi"/>
        </w:rPr>
      </w:pPr>
      <w:r w:rsidRPr="0065334E">
        <w:rPr>
          <w:rFonts w:eastAsia="Times New Roman" w:cstheme="minorHAnsi"/>
          <w:sz w:val="24"/>
          <w:szCs w:val="24"/>
          <w:lang w:val="lt"/>
        </w:rPr>
        <w:t>Pirkimo sąlygų 4 priedo „</w:t>
      </w:r>
      <w:r w:rsidRPr="0065334E">
        <w:rPr>
          <w:rFonts w:eastAsia="Calibri" w:cstheme="minorHAnsi"/>
          <w:color w:val="0D0D0D" w:themeColor="text1" w:themeTint="F2"/>
          <w:sz w:val="24"/>
          <w:szCs w:val="24"/>
        </w:rPr>
        <w:t>Tiekėjų kvalifikacijos reikalavimai ir reikalaujami aplinkos apsaugos vadybos sistemų standartai</w:t>
      </w:r>
      <w:r w:rsidRPr="0065334E">
        <w:rPr>
          <w:rFonts w:eastAsia="Times New Roman" w:cstheme="minorHAnsi"/>
          <w:sz w:val="24"/>
          <w:szCs w:val="24"/>
          <w:lang w:val="lt"/>
        </w:rPr>
        <w:t xml:space="preserve">“ lentelės (toliau – Tiekėjų kvalifikacijos reikalavimai) 2.1 punkte nurodyta: </w:t>
      </w:r>
      <w:r w:rsidRPr="0065334E">
        <w:rPr>
          <w:rFonts w:eastAsia="Times New Roman" w:cstheme="minorHAnsi"/>
          <w:i/>
          <w:iCs/>
          <w:sz w:val="24"/>
          <w:szCs w:val="24"/>
          <w:lang w:val="lt"/>
        </w:rPr>
        <w:t>„</w:t>
      </w:r>
      <w:r w:rsidRPr="000E6B28">
        <w:rPr>
          <w:rFonts w:cstheme="minorHAnsi"/>
          <w:i/>
          <w:iCs/>
          <w:sz w:val="24"/>
          <w:szCs w:val="24"/>
        </w:rPr>
        <w:t>Tiekėjas &lt;...&gt; yra atlikęs</w:t>
      </w:r>
      <w:r w:rsidRPr="000E6B28">
        <w:rPr>
          <w:rFonts w:cstheme="minorHAnsi"/>
          <w:b/>
          <w:bCs/>
          <w:i/>
          <w:iCs/>
          <w:sz w:val="24"/>
          <w:szCs w:val="24"/>
        </w:rPr>
        <w:t xml:space="preserve"> </w:t>
      </w:r>
      <w:r w:rsidRPr="000E6B28">
        <w:rPr>
          <w:rFonts w:cstheme="minorHAnsi"/>
          <w:bCs/>
          <w:i/>
          <w:iCs/>
          <w:sz w:val="24"/>
          <w:szCs w:val="24"/>
        </w:rPr>
        <w:t xml:space="preserve">bent vieną &lt;...&gt; darbų </w:t>
      </w:r>
      <w:r w:rsidRPr="000E6B28">
        <w:rPr>
          <w:rFonts w:cstheme="minorHAnsi"/>
          <w:bCs/>
          <w:i/>
          <w:iCs/>
          <w:sz w:val="24"/>
          <w:szCs w:val="24"/>
          <w:u w:val="single"/>
        </w:rPr>
        <w:t>sutartį</w:t>
      </w:r>
      <w:r w:rsidRPr="000E6B28">
        <w:rPr>
          <w:rFonts w:cstheme="minorHAnsi"/>
          <w:bCs/>
          <w:i/>
          <w:iCs/>
          <w:sz w:val="24"/>
          <w:szCs w:val="24"/>
        </w:rPr>
        <w:t>, &lt;...&gt;</w:t>
      </w:r>
      <w:r w:rsidRPr="0065334E">
        <w:rPr>
          <w:rFonts w:eastAsia="Times New Roman" w:cstheme="minorHAnsi"/>
          <w:i/>
          <w:iCs/>
          <w:sz w:val="24"/>
          <w:szCs w:val="24"/>
          <w:lang w:val="lt"/>
        </w:rPr>
        <w:t xml:space="preserve">“. </w:t>
      </w:r>
      <w:r w:rsidRPr="0065334E">
        <w:rPr>
          <w:rFonts w:eastAsia="Times New Roman" w:cstheme="minorHAnsi"/>
          <w:sz w:val="24"/>
          <w:szCs w:val="24"/>
        </w:rPr>
        <w:t>Kvalifikacijos reikalavimui pagrįsti prašom</w:t>
      </w:r>
      <w:r>
        <w:rPr>
          <w:rFonts w:eastAsia="Times New Roman" w:cstheme="minorHAnsi"/>
          <w:sz w:val="24"/>
          <w:szCs w:val="24"/>
        </w:rPr>
        <w:t>a</w:t>
      </w:r>
      <w:r w:rsidRPr="0065334E">
        <w:rPr>
          <w:rFonts w:eastAsia="Times New Roman" w:cstheme="minorHAnsi"/>
          <w:sz w:val="24"/>
          <w:szCs w:val="24"/>
        </w:rPr>
        <w:t xml:space="preserve"> pateikti atliktų </w:t>
      </w:r>
      <w:r w:rsidRPr="0065334E">
        <w:rPr>
          <w:rFonts w:eastAsia="Times New Roman" w:cstheme="minorHAnsi"/>
          <w:sz w:val="24"/>
          <w:szCs w:val="24"/>
          <w:u w:val="single"/>
        </w:rPr>
        <w:t>darbų sąrašą.</w:t>
      </w:r>
    </w:p>
    <w:p w14:paraId="56C64B96" w14:textId="77777777" w:rsidR="00665EDF" w:rsidRPr="00412EAC" w:rsidRDefault="00665EDF" w:rsidP="00665EDF">
      <w:pPr>
        <w:spacing w:after="0" w:line="276" w:lineRule="auto"/>
        <w:ind w:firstLine="709"/>
        <w:textAlignment w:val="baseline"/>
        <w:rPr>
          <w:sz w:val="24"/>
          <w:szCs w:val="24"/>
          <w:u w:val="single"/>
        </w:rPr>
      </w:pPr>
      <w:r w:rsidRPr="00412EAC">
        <w:rPr>
          <w:rFonts w:eastAsia="Times New Roman" w:cstheme="minorHAnsi"/>
          <w:sz w:val="24"/>
          <w:szCs w:val="24"/>
          <w:lang w:val="lt"/>
        </w:rPr>
        <w:t xml:space="preserve">Atkreiptinas dėmesys, kad pagal Metodikos 16 punktą </w:t>
      </w:r>
      <w:r w:rsidRPr="00412EAC">
        <w:rPr>
          <w:sz w:val="24"/>
          <w:szCs w:val="24"/>
        </w:rPr>
        <w:t xml:space="preserve">tiekėjo patirtis vertinama ne pagal tai, kiek ir kokių sutarčių tiekėjas yra įvykdęs, o kiek tiekėjas pagal šią sutartį (ar sutartis) panašiame į pirkimo objektą, panašių į nurodytus svarbiausius darbus </w:t>
      </w:r>
      <w:r w:rsidRPr="00412EAC">
        <w:rPr>
          <w:sz w:val="24"/>
          <w:szCs w:val="24"/>
          <w:u w:val="single"/>
        </w:rPr>
        <w:t>tinkamai atliko darbų.</w:t>
      </w:r>
    </w:p>
    <w:p w14:paraId="104E925C" w14:textId="77777777" w:rsidR="00665EDF" w:rsidRPr="0065334E" w:rsidRDefault="00665EDF" w:rsidP="00665EDF">
      <w:pPr>
        <w:spacing w:after="0" w:line="276" w:lineRule="auto"/>
        <w:ind w:firstLine="709"/>
        <w:textAlignment w:val="baseline"/>
        <w:rPr>
          <w:rFonts w:cstheme="minorHAnsi"/>
        </w:rPr>
      </w:pPr>
      <w:r w:rsidRPr="0065334E">
        <w:rPr>
          <w:rFonts w:eastAsia="Times New Roman" w:cstheme="minorHAnsi"/>
          <w:sz w:val="24"/>
          <w:szCs w:val="24"/>
          <w:lang w:val="lt"/>
        </w:rPr>
        <w:t>Atsižvelgiant į tai, kas nurodyta, Tarnyba rekomenduoja patikslinti 2.1 punkte nu</w:t>
      </w:r>
      <w:r>
        <w:rPr>
          <w:rFonts w:eastAsia="Times New Roman" w:cstheme="minorHAnsi"/>
          <w:sz w:val="24"/>
          <w:szCs w:val="24"/>
          <w:lang w:val="lt"/>
        </w:rPr>
        <w:t>statytą</w:t>
      </w:r>
      <w:r w:rsidRPr="0065334E">
        <w:rPr>
          <w:rFonts w:eastAsia="Times New Roman" w:cstheme="minorHAnsi"/>
          <w:sz w:val="24"/>
          <w:szCs w:val="24"/>
          <w:lang w:val="lt"/>
        </w:rPr>
        <w:t xml:space="preserve"> tiekėjų kvalifikacijos reikalavimą.</w:t>
      </w:r>
    </w:p>
    <w:p w14:paraId="3151973C" w14:textId="77777777" w:rsidR="00665EDF" w:rsidRPr="0065334E" w:rsidRDefault="00665EDF" w:rsidP="00665EDF">
      <w:pPr>
        <w:pStyle w:val="ListParagraph"/>
        <w:numPr>
          <w:ilvl w:val="1"/>
          <w:numId w:val="1"/>
        </w:numPr>
        <w:tabs>
          <w:tab w:val="left" w:pos="1134"/>
        </w:tabs>
        <w:spacing w:after="0" w:line="276" w:lineRule="auto"/>
        <w:ind w:left="0" w:firstLine="709"/>
        <w:textAlignment w:val="baseline"/>
        <w:rPr>
          <w:rFonts w:cstheme="minorHAnsi"/>
          <w:sz w:val="24"/>
          <w:szCs w:val="24"/>
        </w:rPr>
      </w:pPr>
      <w:r w:rsidRPr="0065334E">
        <w:rPr>
          <w:rFonts w:eastAsia="Times New Roman" w:cstheme="minorHAnsi"/>
          <w:sz w:val="24"/>
          <w:szCs w:val="24"/>
          <w:lang w:val="lt"/>
        </w:rPr>
        <w:t xml:space="preserve">Tiekėjų kvalifikacijos reikalavimų 1.1 ir 2.2 punktuose pateikta informacija apie VĮ Statybos produkcijos sertifikavimo centrą (toliau – SPSC). Atkreiptinas dėmesys, kad nuo 2022-05-01 SPSC anksčiau vykdytas viešojo administravimo funkcijas ir paslaugas (statybos dalyvių atestavimą, pastatų energinio naudingumo sertifikavimo ekspertų atestavimą ir pan.) perėmė </w:t>
      </w:r>
      <w:r w:rsidRPr="0065334E">
        <w:rPr>
          <w:rFonts w:eastAsia="Times New Roman" w:cstheme="minorHAnsi"/>
          <w:sz w:val="24"/>
          <w:szCs w:val="24"/>
          <w:lang w:val="lt"/>
        </w:rPr>
        <w:lastRenderedPageBreak/>
        <w:t xml:space="preserve">naujai įkurta viešoji įstaiga </w:t>
      </w:r>
      <w:r w:rsidRPr="0065334E">
        <w:rPr>
          <w:rFonts w:eastAsia="Times New Roman" w:cstheme="minorHAnsi"/>
          <w:b/>
          <w:bCs/>
          <w:sz w:val="24"/>
          <w:szCs w:val="24"/>
          <w:lang w:val="lt"/>
        </w:rPr>
        <w:t>Statybos sektoriaus vystymo agentūra (toliau – SSVA</w:t>
      </w:r>
      <w:r w:rsidRPr="0065334E">
        <w:rPr>
          <w:rFonts w:eastAsia="Times New Roman" w:cstheme="minorHAnsi"/>
          <w:sz w:val="24"/>
          <w:szCs w:val="24"/>
          <w:lang w:val="lt"/>
        </w:rPr>
        <w:t xml:space="preserve">). Minėtos paslaugos nuo šiol pasiekiamos tinklalapyje </w:t>
      </w:r>
      <w:hyperlink r:id="rId7">
        <w:r w:rsidRPr="0065334E">
          <w:rPr>
            <w:rStyle w:val="Hyperlink"/>
            <w:rFonts w:eastAsia="Times New Roman" w:cstheme="minorHAnsi"/>
            <w:sz w:val="24"/>
            <w:szCs w:val="24"/>
            <w:lang w:val="lt"/>
          </w:rPr>
          <w:t>www.ssva.lt</w:t>
        </w:r>
      </w:hyperlink>
      <w:r w:rsidRPr="0065334E">
        <w:rPr>
          <w:rFonts w:eastAsia="Times New Roman" w:cstheme="minorHAnsi"/>
          <w:sz w:val="24"/>
          <w:szCs w:val="24"/>
          <w:lang w:val="lt"/>
        </w:rPr>
        <w:t>. Tarnyba rekomenduoja atitinkamai patikslinti informaciją apie SPSC ir SSVA.</w:t>
      </w:r>
    </w:p>
    <w:p w14:paraId="22239B09" w14:textId="77777777" w:rsidR="00665EDF" w:rsidRPr="0065334E" w:rsidRDefault="00665EDF" w:rsidP="00665EDF">
      <w:pPr>
        <w:pStyle w:val="paragraph"/>
        <w:numPr>
          <w:ilvl w:val="0"/>
          <w:numId w:val="1"/>
        </w:numPr>
        <w:tabs>
          <w:tab w:val="left" w:pos="1134"/>
        </w:tabs>
        <w:spacing w:before="0" w:beforeAutospacing="0" w:after="0" w:afterAutospacing="0" w:line="276" w:lineRule="auto"/>
        <w:ind w:left="0" w:firstLine="709"/>
        <w:textAlignment w:val="baseline"/>
        <w:rPr>
          <w:rFonts w:asciiTheme="minorHAnsi" w:hAnsiTheme="minorHAnsi" w:cstheme="minorHAnsi"/>
          <w:b/>
          <w:bCs/>
        </w:rPr>
      </w:pPr>
      <w:r w:rsidRPr="0065334E">
        <w:rPr>
          <w:rFonts w:asciiTheme="minorHAnsi" w:hAnsiTheme="minorHAnsi" w:cstheme="minorHAnsi"/>
          <w:b/>
          <w:bCs/>
        </w:rPr>
        <w:t>Dėl žaliojo pirkimo kriterijų taikymo</w:t>
      </w:r>
    </w:p>
    <w:p w14:paraId="4AFF71A0" w14:textId="77777777" w:rsidR="00665EDF" w:rsidRPr="0065334E" w:rsidRDefault="00665EDF" w:rsidP="00665EDF">
      <w:pPr>
        <w:pStyle w:val="ListParagraph"/>
        <w:numPr>
          <w:ilvl w:val="1"/>
          <w:numId w:val="1"/>
        </w:numPr>
        <w:tabs>
          <w:tab w:val="left" w:pos="851"/>
          <w:tab w:val="left" w:pos="1134"/>
        </w:tabs>
        <w:spacing w:after="0" w:line="276" w:lineRule="auto"/>
        <w:ind w:left="0" w:firstLine="709"/>
        <w:rPr>
          <w:rFonts w:cstheme="minorHAnsi"/>
          <w:sz w:val="24"/>
          <w:szCs w:val="24"/>
        </w:rPr>
      </w:pPr>
      <w:r w:rsidRPr="0065334E">
        <w:rPr>
          <w:rFonts w:eastAsia="Times New Roman" w:cstheme="minorHAnsi"/>
          <w:sz w:val="24"/>
          <w:szCs w:val="24"/>
          <w:lang w:val="lt"/>
        </w:rPr>
        <w:t>Pirkimo sąlygų 4 priedo „</w:t>
      </w:r>
      <w:r w:rsidRPr="0065334E">
        <w:rPr>
          <w:rFonts w:eastAsia="Calibri" w:cstheme="minorHAnsi"/>
          <w:color w:val="0D0D0D" w:themeColor="text1" w:themeTint="F2"/>
          <w:sz w:val="24"/>
          <w:szCs w:val="24"/>
        </w:rPr>
        <w:t>Tiekėjų kvalifikacijos reikalavimai ir reikalaujami aplinkos apsaugos vadybos sistemų standartai</w:t>
      </w:r>
      <w:r w:rsidRPr="0065334E">
        <w:rPr>
          <w:rFonts w:eastAsia="Times New Roman" w:cstheme="minorHAnsi"/>
          <w:sz w:val="24"/>
          <w:szCs w:val="24"/>
          <w:lang w:val="lt"/>
        </w:rPr>
        <w:t>“ lentelės „</w:t>
      </w:r>
      <w:r w:rsidRPr="0065334E">
        <w:rPr>
          <w:rFonts w:eastAsia="Calibri" w:cstheme="minorHAnsi"/>
          <w:sz w:val="24"/>
          <w:szCs w:val="24"/>
        </w:rPr>
        <w:t>Tiekėjams keliami reikalavimai dėl aplinkos apsaugos vadybos sistemos standartų“ skiltyje „</w:t>
      </w:r>
      <w:r w:rsidRPr="0065334E">
        <w:rPr>
          <w:rFonts w:cstheme="minorHAnsi"/>
          <w:color w:val="000000"/>
          <w:sz w:val="24"/>
          <w:szCs w:val="24"/>
        </w:rPr>
        <w:t xml:space="preserve">Atitiktį reikalavimui įrodantys dokumentai“ </w:t>
      </w:r>
      <w:r w:rsidRPr="0065334E">
        <w:rPr>
          <w:rFonts w:cstheme="minorHAnsi"/>
          <w:sz w:val="24"/>
          <w:szCs w:val="24"/>
        </w:rPr>
        <w:t xml:space="preserve">nustatyta: </w:t>
      </w:r>
      <w:r w:rsidRPr="0065334E">
        <w:rPr>
          <w:rFonts w:cstheme="minorHAnsi"/>
          <w:i/>
          <w:iCs/>
          <w:sz w:val="24"/>
          <w:szCs w:val="24"/>
        </w:rPr>
        <w:t xml:space="preserve">„Perkančioji organizacija &lt;...&gt; Taip pat priima ir kitus lygiaverčius aplinkosaugos vadybos priemonių įrodymus, </w:t>
      </w:r>
      <w:r w:rsidRPr="0065334E">
        <w:rPr>
          <w:rFonts w:cstheme="minorHAnsi"/>
          <w:i/>
          <w:iCs/>
          <w:sz w:val="24"/>
          <w:szCs w:val="24"/>
          <w:u w:val="single"/>
        </w:rPr>
        <w:t>jeigu tiekėjas įrodo, kad dėl nuo jo nepriklausančių objektyvių priežasčių jis negali pateikti sertifikatų per nustatytą laiką</w:t>
      </w:r>
      <w:r w:rsidRPr="0065334E">
        <w:rPr>
          <w:rFonts w:cstheme="minorHAnsi"/>
          <w:i/>
          <w:iCs/>
          <w:sz w:val="24"/>
          <w:szCs w:val="24"/>
        </w:rPr>
        <w:t xml:space="preserve">“. </w:t>
      </w:r>
      <w:r w:rsidRPr="0065334E">
        <w:rPr>
          <w:rFonts w:cstheme="minorHAnsi"/>
          <w:sz w:val="24"/>
          <w:szCs w:val="24"/>
        </w:rPr>
        <w:t>Atkreiptinas dėmesys, kad tokia sąlyga taikoma tik tarptautinių pirkimų atvejais, todėl Tarnyba rekomenduoja šią sąlygą panaikinti.</w:t>
      </w:r>
    </w:p>
    <w:p w14:paraId="44B6DA4C" w14:textId="77777777" w:rsidR="00665EDF" w:rsidRPr="0065334E" w:rsidRDefault="00665EDF" w:rsidP="00665EDF">
      <w:pPr>
        <w:pStyle w:val="ListParagraph"/>
        <w:numPr>
          <w:ilvl w:val="1"/>
          <w:numId w:val="1"/>
        </w:numPr>
        <w:tabs>
          <w:tab w:val="left" w:pos="851"/>
          <w:tab w:val="left" w:pos="1134"/>
        </w:tabs>
        <w:spacing w:after="0" w:line="276" w:lineRule="auto"/>
        <w:ind w:left="0" w:firstLine="709"/>
        <w:rPr>
          <w:rFonts w:cstheme="minorHAnsi"/>
          <w:sz w:val="24"/>
          <w:szCs w:val="24"/>
        </w:rPr>
      </w:pPr>
      <w:r w:rsidRPr="0065334E">
        <w:rPr>
          <w:rFonts w:eastAsia="Times New Roman" w:cstheme="minorHAnsi"/>
          <w:sz w:val="24"/>
          <w:szCs w:val="24"/>
          <w:lang w:val="lt"/>
        </w:rPr>
        <w:t>Pirkimo sąlygų 4 priedo „</w:t>
      </w:r>
      <w:r w:rsidRPr="0065334E">
        <w:rPr>
          <w:rFonts w:eastAsia="Calibri" w:cstheme="minorHAnsi"/>
          <w:color w:val="0D0D0D" w:themeColor="text1" w:themeTint="F2"/>
          <w:sz w:val="24"/>
          <w:szCs w:val="24"/>
        </w:rPr>
        <w:t>Tiekėjų kvalifikacijos reikalavimai ir reikalaujami aplinkos apsaugos vadybos sistemų standartai</w:t>
      </w:r>
      <w:r w:rsidRPr="0065334E">
        <w:rPr>
          <w:rFonts w:eastAsia="Times New Roman" w:cstheme="minorHAnsi"/>
          <w:sz w:val="24"/>
          <w:szCs w:val="24"/>
          <w:lang w:val="lt"/>
        </w:rPr>
        <w:t>“ lentelės „</w:t>
      </w:r>
      <w:r w:rsidRPr="0065334E">
        <w:rPr>
          <w:rFonts w:eastAsia="Calibri" w:cstheme="minorHAnsi"/>
          <w:sz w:val="24"/>
          <w:szCs w:val="24"/>
        </w:rPr>
        <w:t>Tiekėjams keliami reikalavimai dėl aplinkos apsaugos vadybos sistemos standartų“ skiltyje „</w:t>
      </w:r>
      <w:r w:rsidRPr="0065334E">
        <w:rPr>
          <w:color w:val="000000"/>
          <w:sz w:val="24"/>
          <w:szCs w:val="24"/>
        </w:rPr>
        <w:t>Subjektas, kuris turi atitikti reikalavimą“ nurodyta – „</w:t>
      </w:r>
      <w:r w:rsidRPr="00560EF4">
        <w:rPr>
          <w:i/>
          <w:iCs/>
          <w:color w:val="000000"/>
          <w:sz w:val="24"/>
          <w:szCs w:val="24"/>
        </w:rPr>
        <w:t>Subtiekėjams šis reikalavimas netaikomas</w:t>
      </w:r>
      <w:r w:rsidRPr="0065334E">
        <w:rPr>
          <w:color w:val="000000"/>
          <w:sz w:val="24"/>
          <w:szCs w:val="24"/>
        </w:rPr>
        <w:t xml:space="preserve">“. </w:t>
      </w:r>
      <w:r w:rsidRPr="0065334E">
        <w:rPr>
          <w:rFonts w:cstheme="minorHAnsi"/>
          <w:sz w:val="24"/>
          <w:szCs w:val="24"/>
        </w:rPr>
        <w:t>Tarnyba pažymi, kad subtiekėjai turi laikytis aplinkosauginių reikalavimų, atsižvelgiant į jų prisiimamus įsipareigojimus pirkimo sutarčiai vykdyti (jei tiekėjo sertifikate nėra nurodytos atsakomybės už jo pasitelkiamų subtiekėjų veiklą). Įvertinus nurodytą, Tarnyba rekomenduoja tikslinti šios skilties informaciją.</w:t>
      </w:r>
    </w:p>
    <w:p w14:paraId="35E160EA" w14:textId="77777777" w:rsidR="00665EDF" w:rsidRPr="0065334E" w:rsidRDefault="00665EDF" w:rsidP="00665EDF">
      <w:pPr>
        <w:pStyle w:val="ListParagraph"/>
        <w:numPr>
          <w:ilvl w:val="1"/>
          <w:numId w:val="1"/>
        </w:numPr>
        <w:spacing w:after="0" w:line="276" w:lineRule="auto"/>
        <w:ind w:left="0" w:firstLine="709"/>
        <w:rPr>
          <w:rFonts w:cstheme="minorHAnsi"/>
        </w:rPr>
      </w:pPr>
      <w:r w:rsidRPr="0065334E">
        <w:rPr>
          <w:rFonts w:eastAsia="Times New Roman" w:cstheme="minorHAnsi"/>
          <w:sz w:val="24"/>
          <w:szCs w:val="24"/>
          <w:lang w:val="lt"/>
        </w:rPr>
        <w:t>Atkreiptinas dėmesys</w:t>
      </w:r>
      <w:r w:rsidRPr="0065334E">
        <w:rPr>
          <w:rFonts w:eastAsia="Times New Roman" w:cstheme="minorHAnsi"/>
          <w:color w:val="000000" w:themeColor="text1"/>
          <w:sz w:val="24"/>
          <w:szCs w:val="24"/>
          <w:lang w:val="lt"/>
        </w:rPr>
        <w:t xml:space="preserve">, kad sutarties projekte nėra nurodyta, kaip sutarties vykdymo metu bus vertinama ir tikrinama atitiktis Pirkimo sąlygų 4 priedo </w:t>
      </w:r>
      <w:r w:rsidRPr="0065334E">
        <w:rPr>
          <w:rFonts w:eastAsia="Times New Roman" w:cstheme="minorHAnsi"/>
          <w:sz w:val="24"/>
          <w:szCs w:val="24"/>
          <w:lang w:val="lt"/>
        </w:rPr>
        <w:t>„</w:t>
      </w:r>
      <w:r w:rsidRPr="0065334E">
        <w:rPr>
          <w:rFonts w:eastAsia="Calibri" w:cstheme="minorHAnsi"/>
          <w:color w:val="0D0D0D" w:themeColor="text1" w:themeTint="F2"/>
          <w:sz w:val="24"/>
          <w:szCs w:val="24"/>
        </w:rPr>
        <w:t>Tiekėjų kvalifikacijos reikalavimai ir reikalaujami aplinkos apsaugos vadybos sistemų standartai</w:t>
      </w:r>
      <w:r w:rsidRPr="0065334E">
        <w:rPr>
          <w:rFonts w:eastAsia="Times New Roman" w:cstheme="minorHAnsi"/>
          <w:sz w:val="24"/>
          <w:szCs w:val="24"/>
          <w:lang w:val="lt"/>
        </w:rPr>
        <w:t>“ lentelėje „</w:t>
      </w:r>
      <w:r w:rsidRPr="0065334E">
        <w:rPr>
          <w:rFonts w:eastAsia="Calibri" w:cstheme="minorHAnsi"/>
          <w:sz w:val="24"/>
          <w:szCs w:val="24"/>
        </w:rPr>
        <w:t xml:space="preserve">Tiekėjams keliami reikalavimai dėl aplinkos apsaugos vadybos sistemos standartų“ </w:t>
      </w:r>
      <w:r w:rsidRPr="0065334E">
        <w:rPr>
          <w:rFonts w:eastAsia="Times New Roman" w:cstheme="minorHAnsi"/>
          <w:color w:val="000000" w:themeColor="text1"/>
          <w:sz w:val="24"/>
          <w:szCs w:val="24"/>
          <w:lang w:val="lt"/>
        </w:rPr>
        <w:t>nustatytam aplinkos apsaugos reikalavimui bei nenurodyta, kada ir kokius dokumentus turės pateikti tiekėjas, siekdamas pagrįsti Aplinkos apsaugos kriterijų reikalavimų atitiktį sutarties vykdymo metu. Perkančioji organizacija, siekdama Pirkimą vykdyti kaip žaliąjį pirkimą, neturi nustatyti tik deklaratyvių reikalavimų, o Pirkimo dokumentuose turi tiksliai ir aiškiai nustatyti žaliojo pirkimo sąlygas ir užtikrinti jų laikymosi priežiūrą bei kontrolę sutarties vykdymo metu.</w:t>
      </w:r>
    </w:p>
    <w:p w14:paraId="224FB98A" w14:textId="77777777" w:rsidR="00665EDF" w:rsidRPr="0065334E" w:rsidRDefault="00665EDF" w:rsidP="00665EDF">
      <w:pPr>
        <w:pStyle w:val="ListParagraph"/>
        <w:numPr>
          <w:ilvl w:val="0"/>
          <w:numId w:val="1"/>
        </w:numPr>
        <w:tabs>
          <w:tab w:val="left" w:pos="1134"/>
        </w:tabs>
        <w:spacing w:after="0" w:line="276" w:lineRule="auto"/>
        <w:ind w:left="0" w:firstLine="709"/>
        <w:rPr>
          <w:b/>
          <w:bCs/>
          <w:sz w:val="24"/>
          <w:szCs w:val="24"/>
        </w:rPr>
      </w:pPr>
      <w:r w:rsidRPr="0065334E">
        <w:rPr>
          <w:b/>
          <w:bCs/>
          <w:sz w:val="24"/>
          <w:szCs w:val="24"/>
        </w:rPr>
        <w:t>Dėl sutarties projekto nuostatų</w:t>
      </w:r>
    </w:p>
    <w:p w14:paraId="678DB660" w14:textId="77777777" w:rsidR="00665EDF" w:rsidRPr="0065334E" w:rsidRDefault="00665EDF" w:rsidP="00665EDF">
      <w:pPr>
        <w:pStyle w:val="ListParagraph"/>
        <w:numPr>
          <w:ilvl w:val="1"/>
          <w:numId w:val="1"/>
        </w:numPr>
        <w:tabs>
          <w:tab w:val="left" w:pos="1134"/>
        </w:tabs>
        <w:spacing w:after="0" w:line="276" w:lineRule="auto"/>
        <w:ind w:left="0" w:firstLine="709"/>
        <w:jc w:val="both"/>
        <w:rPr>
          <w:rFonts w:eastAsia="Times New Roman" w:cstheme="minorHAnsi"/>
          <w:color w:val="000000" w:themeColor="text1"/>
          <w:sz w:val="24"/>
          <w:szCs w:val="24"/>
        </w:rPr>
      </w:pPr>
      <w:r w:rsidRPr="0065334E">
        <w:rPr>
          <w:rFonts w:eastAsia="Times New Roman" w:cstheme="minorHAnsi"/>
          <w:color w:val="000000" w:themeColor="text1"/>
          <w:sz w:val="24"/>
          <w:szCs w:val="24"/>
        </w:rPr>
        <w:t xml:space="preserve">Sutarties projekte (Pirkimo sąlygų 8 priedas) nėra numatyta ir aprašyta specialistų, kuriems Pirkimo sąlygose yra keliami kvalifikacijos reikalavimai, keitimo tvarka. </w:t>
      </w:r>
      <w:r w:rsidRPr="0065334E">
        <w:rPr>
          <w:rFonts w:eastAsia="Times New Roman" w:cstheme="minorHAnsi"/>
          <w:bCs/>
          <w:color w:val="000000" w:themeColor="text1"/>
          <w:sz w:val="24"/>
          <w:szCs w:val="24"/>
        </w:rPr>
        <w:t>Atsižvelgiant į tai, rekomenduotina Sutarties projektą papildyti specialistų keitimo tvarka, taip pat numatyti taikytinas sankcijas už šių nuostatų nesilaikymą.</w:t>
      </w:r>
    </w:p>
    <w:p w14:paraId="429A7982" w14:textId="77777777" w:rsidR="00665EDF" w:rsidRDefault="00665EDF" w:rsidP="00665EDF">
      <w:pPr>
        <w:pStyle w:val="ListParagraph"/>
        <w:numPr>
          <w:ilvl w:val="1"/>
          <w:numId w:val="1"/>
        </w:numPr>
        <w:tabs>
          <w:tab w:val="left" w:pos="1134"/>
        </w:tabs>
        <w:spacing w:after="0" w:line="276" w:lineRule="auto"/>
        <w:ind w:left="0" w:firstLine="709"/>
        <w:rPr>
          <w:sz w:val="24"/>
          <w:szCs w:val="24"/>
        </w:rPr>
      </w:pPr>
      <w:r w:rsidRPr="0065334E">
        <w:rPr>
          <w:sz w:val="24"/>
          <w:szCs w:val="24"/>
        </w:rPr>
        <w:t>Sutarties projekto 9.10.1 punkte nustatyti papildomų / keičiamų / nevykdomų darbų kainos apskaičiavimo būdai</w:t>
      </w:r>
      <w:r>
        <w:rPr>
          <w:sz w:val="24"/>
          <w:szCs w:val="24"/>
        </w:rPr>
        <w:t xml:space="preserve">. Rekomenduotina susipažinti su </w:t>
      </w:r>
      <w:r w:rsidRPr="0065334E">
        <w:rPr>
          <w:sz w:val="24"/>
          <w:szCs w:val="24"/>
        </w:rPr>
        <w:t>Tarnybos internetiniame puslapyje paviešint</w:t>
      </w:r>
      <w:r>
        <w:rPr>
          <w:sz w:val="24"/>
          <w:szCs w:val="24"/>
        </w:rPr>
        <w:t>a</w:t>
      </w:r>
      <w:r w:rsidRPr="0065334E">
        <w:rPr>
          <w:sz w:val="24"/>
          <w:szCs w:val="24"/>
        </w:rPr>
        <w:t xml:space="preserve"> statybos rangos sutarti</w:t>
      </w:r>
      <w:r>
        <w:rPr>
          <w:sz w:val="24"/>
          <w:szCs w:val="24"/>
        </w:rPr>
        <w:t xml:space="preserve">mi </w:t>
      </w:r>
      <w:r w:rsidRPr="00180A5B">
        <w:rPr>
          <w:sz w:val="24"/>
          <w:szCs w:val="24"/>
        </w:rPr>
        <w:t>(</w:t>
      </w:r>
      <w:hyperlink r:id="rId8" w:history="1">
        <w:r w:rsidRPr="00824876">
          <w:rPr>
            <w:rStyle w:val="Hyperlink"/>
            <w:sz w:val="24"/>
            <w:szCs w:val="24"/>
          </w:rPr>
          <w:t>https://vpt</w:t>
        </w:r>
        <w:r w:rsidRPr="00DD1C29">
          <w:rPr>
            <w:rStyle w:val="Hyperlink"/>
            <w:sz w:val="24"/>
            <w:szCs w:val="24"/>
          </w:rPr>
          <w:t>.lrv.lt/lt/metodine-pagalba/pavyzdiniai-dokumentai-3/statybos-rangos-sutartis/</w:t>
        </w:r>
      </w:hyperlink>
      <w:r>
        <w:rPr>
          <w:sz w:val="24"/>
          <w:szCs w:val="24"/>
        </w:rPr>
        <w:t>; 15.8.3 punktas</w:t>
      </w:r>
      <w:r w:rsidRPr="00180A5B">
        <w:rPr>
          <w:sz w:val="24"/>
          <w:szCs w:val="24"/>
        </w:rPr>
        <w:t>)</w:t>
      </w:r>
      <w:r w:rsidRPr="0065334E">
        <w:rPr>
          <w:sz w:val="24"/>
          <w:szCs w:val="24"/>
        </w:rPr>
        <w:t xml:space="preserve"> </w:t>
      </w:r>
      <w:r>
        <w:rPr>
          <w:sz w:val="24"/>
          <w:szCs w:val="24"/>
        </w:rPr>
        <w:t>ir įsivertinti ar sutarties projekte pakanka nurodytų kainos perskaičiavimo būdų.</w:t>
      </w:r>
    </w:p>
    <w:p w14:paraId="3B345B00" w14:textId="77777777" w:rsidR="00665EDF" w:rsidRPr="0065334E" w:rsidRDefault="00665EDF" w:rsidP="00665EDF">
      <w:pPr>
        <w:pStyle w:val="ListParagraph"/>
        <w:numPr>
          <w:ilvl w:val="1"/>
          <w:numId w:val="1"/>
        </w:numPr>
        <w:tabs>
          <w:tab w:val="left" w:pos="709"/>
          <w:tab w:val="left" w:pos="1134"/>
        </w:tabs>
        <w:spacing w:after="0" w:line="276" w:lineRule="auto"/>
        <w:ind w:left="0" w:firstLine="720"/>
        <w:jc w:val="both"/>
        <w:textAlignment w:val="baseline"/>
        <w:rPr>
          <w:sz w:val="24"/>
          <w:szCs w:val="24"/>
        </w:rPr>
      </w:pPr>
      <w:r w:rsidRPr="0065334E">
        <w:rPr>
          <w:sz w:val="24"/>
          <w:szCs w:val="24"/>
        </w:rPr>
        <w:lastRenderedPageBreak/>
        <w:t>Sutarties projekto 9.10.4 punkte nustatyta, kad „</w:t>
      </w:r>
      <w:r w:rsidRPr="00A4672E">
        <w:rPr>
          <w:i/>
          <w:iCs/>
          <w:sz w:val="24"/>
          <w:szCs w:val="24"/>
        </w:rPr>
        <w:t xml:space="preserve">Sutarties kaina gali būti peržiūrima dėl kainų lygio pokyčio &lt;...&gt;. Mokėtinos sumos už Statybos darbus gali būti perskaičiuojamos, jeigu </w:t>
      </w:r>
      <w:r w:rsidRPr="00A4672E">
        <w:rPr>
          <w:i/>
          <w:iCs/>
          <w:sz w:val="24"/>
          <w:szCs w:val="24"/>
          <w:u w:val="single"/>
        </w:rPr>
        <w:t>Lietuvos Respublikos statistikos departamento</w:t>
      </w:r>
      <w:r w:rsidRPr="00A4672E">
        <w:rPr>
          <w:i/>
          <w:iCs/>
          <w:sz w:val="24"/>
          <w:szCs w:val="24"/>
        </w:rPr>
        <w:t xml:space="preserve"> (www.stat.gov.lt) kas mėnesį skelbiamo statybos sąnaudų elementų kainų indekso, labiausiai atitinkančio statinio objekto rūšį – </w:t>
      </w:r>
      <w:r w:rsidRPr="00A4672E">
        <w:rPr>
          <w:i/>
          <w:iCs/>
          <w:sz w:val="24"/>
          <w:szCs w:val="24"/>
          <w:u w:val="single"/>
        </w:rPr>
        <w:t>inžinerinis statinys</w:t>
      </w:r>
      <w:r w:rsidRPr="00A4672E">
        <w:rPr>
          <w:i/>
          <w:iCs/>
          <w:sz w:val="24"/>
          <w:szCs w:val="24"/>
        </w:rPr>
        <w:t>, reikšmė pakinta daugiau kaip 5 proc. &lt;...&gt;</w:t>
      </w:r>
      <w:r w:rsidRPr="0065334E">
        <w:rPr>
          <w:sz w:val="24"/>
          <w:szCs w:val="24"/>
        </w:rPr>
        <w:t>“. K</w:t>
      </w:r>
      <w:r w:rsidRPr="0065334E">
        <w:rPr>
          <w:rFonts w:eastAsia="Times New Roman" w:cstheme="minorHAnsi"/>
          <w:sz w:val="24"/>
          <w:szCs w:val="24"/>
          <w:lang w:eastAsia="lt-LT"/>
        </w:rPr>
        <w:t xml:space="preserve">adangi nuo 2023 m. sausio 1 d. Lietuvos Respublikos statistikos departamentas pakeitė pavadinimą į </w:t>
      </w:r>
      <w:r w:rsidRPr="0065334E">
        <w:rPr>
          <w:rFonts w:eastAsia="Times New Roman" w:cstheme="minorHAnsi"/>
          <w:sz w:val="24"/>
          <w:szCs w:val="24"/>
          <w:u w:val="single"/>
          <w:lang w:eastAsia="lt-LT"/>
        </w:rPr>
        <w:t xml:space="preserve">Valstybės duomenų </w:t>
      </w:r>
      <w:r w:rsidRPr="00A04A60">
        <w:rPr>
          <w:rFonts w:eastAsia="Times New Roman" w:cstheme="minorHAnsi"/>
          <w:sz w:val="24"/>
          <w:szCs w:val="24"/>
          <w:u w:val="single"/>
          <w:lang w:eastAsia="lt-LT"/>
        </w:rPr>
        <w:t>agentūrą</w:t>
      </w:r>
      <w:r w:rsidRPr="0065334E">
        <w:rPr>
          <w:rFonts w:eastAsia="Times New Roman" w:cstheme="minorHAnsi"/>
          <w:sz w:val="24"/>
          <w:szCs w:val="24"/>
          <w:lang w:eastAsia="lt-LT"/>
        </w:rPr>
        <w:t>, T</w:t>
      </w:r>
      <w:r w:rsidRPr="0065334E">
        <w:rPr>
          <w:rFonts w:eastAsia="Times New Roman" w:cstheme="minorHAnsi"/>
          <w:noProof/>
          <w:sz w:val="24"/>
          <w:szCs w:val="24"/>
        </w:rPr>
        <w:t>arnyba rekomenduoja</w:t>
      </w:r>
      <w:r>
        <w:rPr>
          <w:rFonts w:eastAsia="Times New Roman" w:cstheme="minorHAnsi"/>
          <w:noProof/>
          <w:sz w:val="24"/>
          <w:szCs w:val="24"/>
        </w:rPr>
        <w:t xml:space="preserve"> </w:t>
      </w:r>
      <w:r w:rsidRPr="0065334E">
        <w:rPr>
          <w:rFonts w:eastAsia="Times New Roman" w:cstheme="minorHAnsi"/>
          <w:noProof/>
          <w:sz w:val="24"/>
          <w:szCs w:val="24"/>
        </w:rPr>
        <w:t>patikslinti šią sutarties projekto nuostatą.</w:t>
      </w:r>
    </w:p>
    <w:p w14:paraId="6293E29E" w14:textId="77777777" w:rsidR="00665EDF" w:rsidRPr="0065334E" w:rsidRDefault="00665EDF" w:rsidP="00665EDF">
      <w:pPr>
        <w:spacing w:after="0" w:line="276" w:lineRule="auto"/>
        <w:ind w:firstLine="709"/>
        <w:rPr>
          <w:rFonts w:cstheme="minorHAnsi"/>
          <w:sz w:val="24"/>
          <w:szCs w:val="24"/>
        </w:rPr>
      </w:pPr>
      <w:r w:rsidRPr="0065334E">
        <w:rPr>
          <w:rFonts w:cstheme="minorHAnsi"/>
          <w:sz w:val="24"/>
          <w:szCs w:val="24"/>
        </w:rPr>
        <w:t>Tarnyba atkreipia dėmesį į tai, kad pagal Statybos techninio reglamento STR 1.01.03:2017 „Statinių klasifikavimas“</w:t>
      </w:r>
      <w:r w:rsidRPr="0065334E">
        <w:rPr>
          <w:rFonts w:cstheme="minorHAnsi"/>
          <w:sz w:val="24"/>
          <w:szCs w:val="24"/>
          <w:vertAlign w:val="superscript"/>
        </w:rPr>
        <w:footnoteReference w:id="2"/>
      </w:r>
      <w:r w:rsidRPr="0065334E">
        <w:rPr>
          <w:rFonts w:cstheme="minorHAnsi"/>
          <w:sz w:val="24"/>
          <w:szCs w:val="24"/>
        </w:rPr>
        <w:t xml:space="preserve"> 5.2 papunktį „</w:t>
      </w:r>
      <w:r w:rsidRPr="00A04A60">
        <w:rPr>
          <w:rFonts w:cstheme="minorHAnsi"/>
          <w:i/>
          <w:iCs/>
          <w:sz w:val="24"/>
          <w:szCs w:val="24"/>
        </w:rPr>
        <w:t>inžineriniai statiniai pagal paskirtį skirstomi į grupes: 5.2.1. susisiekimo komunikacijos; 5.2.2. inžineriniai tinklai; 5.2.3. hidrotechnikos statiniai; 5.2.4. kiti inžineriniai statiniai</w:t>
      </w:r>
      <w:r w:rsidRPr="0065334E">
        <w:rPr>
          <w:rFonts w:cstheme="minorHAnsi"/>
          <w:sz w:val="24"/>
          <w:szCs w:val="24"/>
        </w:rPr>
        <w:t xml:space="preserve">“. Tarnyba rekomenduoja tikslinti šią sutarties nuostatą, nurodant konkrečią inžinerinių statinių grupę ir </w:t>
      </w:r>
      <w:r>
        <w:rPr>
          <w:rFonts w:cstheme="minorHAnsi"/>
          <w:sz w:val="24"/>
          <w:szCs w:val="24"/>
        </w:rPr>
        <w:t xml:space="preserve">(ar) </w:t>
      </w:r>
      <w:r w:rsidRPr="0065334E">
        <w:rPr>
          <w:rFonts w:cstheme="minorHAnsi"/>
          <w:sz w:val="24"/>
          <w:szCs w:val="24"/>
        </w:rPr>
        <w:t xml:space="preserve">pogrupį </w:t>
      </w:r>
      <w:r>
        <w:rPr>
          <w:rFonts w:cstheme="minorHAnsi"/>
          <w:sz w:val="24"/>
          <w:szCs w:val="24"/>
        </w:rPr>
        <w:t xml:space="preserve">atsižvelgiant į </w:t>
      </w:r>
      <w:r w:rsidRPr="00412EAC">
        <w:rPr>
          <w:rFonts w:cstheme="minorHAnsi"/>
          <w:sz w:val="24"/>
          <w:szCs w:val="24"/>
        </w:rPr>
        <w:t xml:space="preserve">Valstybės duomenų </w:t>
      </w:r>
      <w:r w:rsidRPr="00180A5B">
        <w:rPr>
          <w:rFonts w:cstheme="minorHAnsi"/>
          <w:sz w:val="24"/>
          <w:szCs w:val="24"/>
        </w:rPr>
        <w:t>agentūr</w:t>
      </w:r>
      <w:r>
        <w:rPr>
          <w:rFonts w:cstheme="minorHAnsi"/>
          <w:sz w:val="24"/>
          <w:szCs w:val="24"/>
        </w:rPr>
        <w:t xml:space="preserve">os skelbiamas </w:t>
      </w:r>
      <w:r w:rsidRPr="00BA5D66">
        <w:rPr>
          <w:rFonts w:cstheme="minorHAnsi"/>
          <w:sz w:val="24"/>
          <w:szCs w:val="24"/>
        </w:rPr>
        <w:t>statinio objekto rūš</w:t>
      </w:r>
      <w:r>
        <w:rPr>
          <w:rFonts w:cstheme="minorHAnsi"/>
          <w:sz w:val="24"/>
          <w:szCs w:val="24"/>
        </w:rPr>
        <w:t>is</w:t>
      </w:r>
      <w:r w:rsidRPr="0065334E">
        <w:rPr>
          <w:rFonts w:cstheme="minorHAnsi"/>
          <w:sz w:val="24"/>
          <w:szCs w:val="24"/>
        </w:rPr>
        <w:t>, nes šiuo atveju pirkimo objektas nepatenka į visas inžinerinių statinių grupes ir jų pogrupius.</w:t>
      </w:r>
    </w:p>
    <w:p w14:paraId="5E69BC83" w14:textId="77777777" w:rsidR="00665EDF" w:rsidRPr="0065334E" w:rsidRDefault="00665EDF" w:rsidP="00665EDF">
      <w:pPr>
        <w:pStyle w:val="ListParagraph"/>
        <w:numPr>
          <w:ilvl w:val="1"/>
          <w:numId w:val="1"/>
        </w:numPr>
        <w:shd w:val="clear" w:color="auto" w:fill="FFFFFF"/>
        <w:tabs>
          <w:tab w:val="left" w:pos="1134"/>
        </w:tabs>
        <w:spacing w:after="0" w:line="276" w:lineRule="auto"/>
        <w:ind w:left="0" w:firstLine="709"/>
        <w:rPr>
          <w:rFonts w:cstheme="minorHAnsi"/>
          <w:b/>
          <w:sz w:val="24"/>
          <w:szCs w:val="24"/>
        </w:rPr>
      </w:pPr>
      <w:r w:rsidRPr="0065334E">
        <w:rPr>
          <w:rStyle w:val="normaltextrun"/>
          <w:rFonts w:cstheme="minorHAnsi"/>
          <w:sz w:val="24"/>
          <w:szCs w:val="24"/>
          <w:shd w:val="clear" w:color="auto" w:fill="FFFFFF"/>
        </w:rPr>
        <w:t xml:space="preserve">Skelbimo apie pirkimą </w:t>
      </w:r>
      <w:r w:rsidRPr="00412EAC">
        <w:rPr>
          <w:rFonts w:eastAsia="Times New Roman" w:cstheme="minorHAnsi"/>
          <w:sz w:val="24"/>
          <w:szCs w:val="24"/>
          <w:lang w:eastAsia="lt-LT"/>
        </w:rPr>
        <w:t xml:space="preserve">III.2.2) </w:t>
      </w:r>
      <w:r w:rsidRPr="0065334E">
        <w:rPr>
          <w:rFonts w:cstheme="minorHAnsi"/>
          <w:sz w:val="24"/>
          <w:szCs w:val="24"/>
        </w:rPr>
        <w:t>punkte nustatyta, kad „</w:t>
      </w:r>
      <w:r w:rsidRPr="007A1916">
        <w:rPr>
          <w:rFonts w:eastAsia="Times New Roman" w:cstheme="minorHAnsi"/>
          <w:i/>
          <w:iCs/>
          <w:sz w:val="24"/>
          <w:szCs w:val="24"/>
          <w:lang w:eastAsia="lt-LT"/>
        </w:rPr>
        <w:t xml:space="preserve">Jeigu rangovas vėluoja atlikti darbus iki darbų atlikimo termino, &lt;...&gt; , užsakovas gali reikalauti delspinigių dėl vėlavimo, kurių dydis yra 0,02 proc. </w:t>
      </w:r>
      <w:r w:rsidRPr="007A1916">
        <w:rPr>
          <w:rFonts w:eastAsia="Times New Roman" w:cstheme="minorHAnsi"/>
          <w:i/>
          <w:iCs/>
          <w:sz w:val="24"/>
          <w:szCs w:val="24"/>
          <w:u w:val="single"/>
          <w:lang w:eastAsia="lt-LT"/>
        </w:rPr>
        <w:t>nuo sutarties kainos</w:t>
      </w:r>
      <w:r w:rsidRPr="007A1916">
        <w:rPr>
          <w:rFonts w:eastAsia="Times New Roman" w:cstheme="minorHAnsi"/>
          <w:i/>
          <w:iCs/>
          <w:sz w:val="24"/>
          <w:szCs w:val="24"/>
          <w:lang w:eastAsia="lt-LT"/>
        </w:rPr>
        <w:t xml:space="preserve"> per dieną</w:t>
      </w:r>
      <w:r w:rsidRPr="0065334E">
        <w:rPr>
          <w:rFonts w:eastAsia="Times New Roman" w:cstheme="minorHAnsi"/>
          <w:sz w:val="24"/>
          <w:szCs w:val="24"/>
          <w:lang w:eastAsia="lt-LT"/>
        </w:rPr>
        <w:t>“. Sutarties projekto 3.5 punkte nustatyta, kad delspinigių dydis dėl darbų vėlavimo – „</w:t>
      </w:r>
      <w:r w:rsidRPr="007A1916">
        <w:rPr>
          <w:rFonts w:eastAsia="Times New Roman" w:cstheme="minorHAnsi"/>
          <w:i/>
          <w:iCs/>
          <w:sz w:val="24"/>
          <w:szCs w:val="24"/>
          <w:lang w:eastAsia="lt-LT"/>
        </w:rPr>
        <w:t xml:space="preserve">0,02 </w:t>
      </w:r>
      <w:r w:rsidRPr="007A1916">
        <w:rPr>
          <w:rFonts w:cstheme="minorHAnsi"/>
          <w:i/>
          <w:iCs/>
          <w:sz w:val="24"/>
          <w:szCs w:val="24"/>
        </w:rPr>
        <w:t xml:space="preserve">% už kiekvieną uždelstą kalendorinę dieną </w:t>
      </w:r>
      <w:r w:rsidRPr="007A1916">
        <w:rPr>
          <w:rFonts w:cstheme="minorHAnsi"/>
          <w:i/>
          <w:iCs/>
          <w:sz w:val="24"/>
          <w:szCs w:val="24"/>
          <w:u w:val="single"/>
        </w:rPr>
        <w:t>nuo Sutarties kainos be PVM</w:t>
      </w:r>
      <w:r w:rsidRPr="0065334E">
        <w:rPr>
          <w:rFonts w:cstheme="minorHAnsi"/>
          <w:sz w:val="24"/>
          <w:szCs w:val="24"/>
        </w:rPr>
        <w:t>“.</w:t>
      </w:r>
    </w:p>
    <w:p w14:paraId="1971C3C3" w14:textId="77777777" w:rsidR="00665EDF" w:rsidRPr="0065334E" w:rsidRDefault="00665EDF" w:rsidP="00665EDF">
      <w:pPr>
        <w:shd w:val="clear" w:color="auto" w:fill="FFFFFF"/>
        <w:spacing w:after="0" w:line="276" w:lineRule="auto"/>
        <w:ind w:firstLine="709"/>
        <w:rPr>
          <w:rFonts w:cstheme="minorHAnsi"/>
          <w:sz w:val="24"/>
          <w:szCs w:val="24"/>
        </w:rPr>
      </w:pPr>
      <w:r w:rsidRPr="0065334E">
        <w:rPr>
          <w:rStyle w:val="normaltextrun"/>
          <w:rFonts w:cstheme="minorHAnsi"/>
          <w:color w:val="000000"/>
          <w:sz w:val="24"/>
          <w:szCs w:val="24"/>
          <w:shd w:val="clear" w:color="auto" w:fill="FFFFFF"/>
        </w:rPr>
        <w:t xml:space="preserve">Pažymėtina, kad jeigu yra prieštaravimų ar neatitikimų tarp skelbime apie pirkimą paskelbtos informacijos ir kitų Pirkimo sąlygų nuostatų, skelbime apie pirkimą pateikta informacija laikoma </w:t>
      </w:r>
      <w:r w:rsidRPr="0065334E">
        <w:rPr>
          <w:rStyle w:val="findhit"/>
          <w:rFonts w:cstheme="minorHAnsi"/>
          <w:color w:val="000000"/>
          <w:sz w:val="24"/>
          <w:szCs w:val="24"/>
          <w:shd w:val="clear" w:color="auto" w:fill="FFFFFF"/>
        </w:rPr>
        <w:t>teisinga</w:t>
      </w:r>
      <w:r w:rsidRPr="0065334E">
        <w:rPr>
          <w:rStyle w:val="normaltextrun"/>
          <w:rFonts w:cstheme="minorHAnsi"/>
          <w:color w:val="000000"/>
          <w:sz w:val="24"/>
          <w:szCs w:val="24"/>
          <w:shd w:val="clear" w:color="auto" w:fill="FFFFFF"/>
        </w:rPr>
        <w:t xml:space="preserve"> (Įstatymo 35 straipsnio 3 punktas</w:t>
      </w:r>
      <w:r w:rsidRPr="0065334E">
        <w:rPr>
          <w:rStyle w:val="FootnoteReference"/>
          <w:rFonts w:cstheme="minorHAnsi"/>
          <w:color w:val="000000"/>
          <w:sz w:val="24"/>
          <w:szCs w:val="24"/>
          <w:shd w:val="clear" w:color="auto" w:fill="FFFFFF"/>
        </w:rPr>
        <w:footnoteReference w:id="3"/>
      </w:r>
      <w:r w:rsidRPr="0065334E">
        <w:rPr>
          <w:rStyle w:val="normaltextrun"/>
          <w:rFonts w:cstheme="minorHAnsi"/>
          <w:color w:val="000000"/>
          <w:sz w:val="24"/>
          <w:szCs w:val="24"/>
          <w:shd w:val="clear" w:color="auto" w:fill="FFFFFF"/>
        </w:rPr>
        <w:t>). Rekomenduotina įsivertinti ne tik šią nuostatą, bet taip pat sutarties projekte įvesti sąvokos „pradinė sutarties vertė“, kuri naudojama sutarties projekte, reikšmę. Taip pat rekomenduotina ištaisyti dviprasmišką informaciją, esančią sutarties projekto 3.5 punkte, kuriame nurodytas didžiausias kompensacijos dėl vėlavimo dydis – „</w:t>
      </w:r>
      <w:r w:rsidRPr="009C232C">
        <w:rPr>
          <w:rFonts w:cstheme="minorHAnsi"/>
          <w:i/>
          <w:iCs/>
          <w:sz w:val="24"/>
          <w:szCs w:val="24"/>
        </w:rPr>
        <w:t xml:space="preserve">10 % nuo </w:t>
      </w:r>
      <w:r w:rsidRPr="009C232C">
        <w:rPr>
          <w:rFonts w:cstheme="minorHAnsi"/>
          <w:i/>
          <w:iCs/>
          <w:sz w:val="24"/>
          <w:szCs w:val="24"/>
          <w:u w:val="single"/>
        </w:rPr>
        <w:t>sutarties kainos be PVM</w:t>
      </w:r>
      <w:r w:rsidRPr="0065334E">
        <w:rPr>
          <w:rFonts w:cstheme="minorHAnsi"/>
          <w:sz w:val="24"/>
          <w:szCs w:val="24"/>
        </w:rPr>
        <w:t xml:space="preserve">“, bei sutarties projekto 5.22 punkte – </w:t>
      </w:r>
      <w:r w:rsidRPr="009C232C">
        <w:rPr>
          <w:rFonts w:cstheme="minorHAnsi"/>
          <w:i/>
          <w:iCs/>
          <w:sz w:val="24"/>
          <w:szCs w:val="24"/>
        </w:rPr>
        <w:t xml:space="preserve">„&lt;...&gt; Jeigu Rangovas per Sutarties 6.1. punkte nurodytą terminą nepabaigia Darbų, jis moka Užsakovui 10 (dešimties) procentų visos </w:t>
      </w:r>
      <w:r w:rsidRPr="009C232C">
        <w:rPr>
          <w:rFonts w:cstheme="minorHAnsi"/>
          <w:i/>
          <w:iCs/>
          <w:sz w:val="24"/>
          <w:szCs w:val="24"/>
          <w:u w:val="single"/>
        </w:rPr>
        <w:t>Sutarties sumos (kainos)</w:t>
      </w:r>
      <w:r w:rsidRPr="009C232C">
        <w:rPr>
          <w:rFonts w:cstheme="minorHAnsi"/>
          <w:i/>
          <w:iCs/>
          <w:sz w:val="24"/>
          <w:szCs w:val="24"/>
        </w:rPr>
        <w:t xml:space="preserve"> dydžio baudą. &lt;...&gt;</w:t>
      </w:r>
      <w:r w:rsidRPr="0065334E">
        <w:rPr>
          <w:rFonts w:cstheme="minorHAnsi"/>
          <w:sz w:val="24"/>
          <w:szCs w:val="24"/>
        </w:rPr>
        <w:t>“.</w:t>
      </w:r>
    </w:p>
    <w:p w14:paraId="3C6FBEF8" w14:textId="77777777" w:rsidR="00665EDF" w:rsidRPr="0065334E" w:rsidRDefault="00665EDF" w:rsidP="00665EDF">
      <w:pPr>
        <w:pStyle w:val="ListParagraph"/>
        <w:numPr>
          <w:ilvl w:val="1"/>
          <w:numId w:val="1"/>
        </w:numPr>
        <w:shd w:val="clear" w:color="auto" w:fill="FFFFFF"/>
        <w:tabs>
          <w:tab w:val="left" w:pos="1276"/>
        </w:tabs>
        <w:spacing w:after="0" w:line="276" w:lineRule="auto"/>
        <w:ind w:left="0" w:firstLine="709"/>
        <w:rPr>
          <w:rFonts w:cstheme="minorHAnsi"/>
          <w:color w:val="000000" w:themeColor="text1"/>
          <w:sz w:val="24"/>
          <w:szCs w:val="24"/>
        </w:rPr>
      </w:pPr>
      <w:r w:rsidRPr="0065334E">
        <w:rPr>
          <w:rFonts w:cstheme="minorHAnsi"/>
          <w:sz w:val="24"/>
          <w:szCs w:val="24"/>
        </w:rPr>
        <w:t>Sutarties projekto 9.11 punkte nustatyta, kad „</w:t>
      </w:r>
      <w:r w:rsidRPr="00534D11">
        <w:rPr>
          <w:i/>
          <w:iCs/>
          <w:sz w:val="24"/>
          <w:szCs w:val="24"/>
        </w:rPr>
        <w:t xml:space="preserve">Jeigu Sutarties kaina buvo pakeista pagal </w:t>
      </w:r>
      <w:r w:rsidRPr="00534D11">
        <w:rPr>
          <w:i/>
          <w:iCs/>
          <w:sz w:val="24"/>
          <w:szCs w:val="24"/>
          <w:u w:val="single"/>
        </w:rPr>
        <w:t>9.10.3.</w:t>
      </w:r>
      <w:r w:rsidRPr="00534D11">
        <w:rPr>
          <w:i/>
          <w:iCs/>
          <w:sz w:val="24"/>
          <w:szCs w:val="24"/>
        </w:rPr>
        <w:t xml:space="preserve"> ir 9.10.4. papunkčius, atitinkamai pakeičiama ir </w:t>
      </w:r>
      <w:r w:rsidRPr="00534D11">
        <w:rPr>
          <w:i/>
          <w:iCs/>
          <w:sz w:val="24"/>
          <w:szCs w:val="24"/>
          <w:u w:val="single"/>
        </w:rPr>
        <w:t>Pradinės sutarties vertė</w:t>
      </w:r>
      <w:r w:rsidRPr="00534D11">
        <w:rPr>
          <w:i/>
          <w:iCs/>
          <w:sz w:val="24"/>
          <w:szCs w:val="24"/>
        </w:rPr>
        <w:t xml:space="preserve"> ir, taikant Pakeitimų nuostatas pagal VPĮ 89 straipsnį, atsižvelgiama į pakeistą Pradinės sutarties vertę</w:t>
      </w:r>
      <w:r w:rsidRPr="0065334E">
        <w:rPr>
          <w:sz w:val="24"/>
          <w:szCs w:val="24"/>
        </w:rPr>
        <w:t xml:space="preserve">“. </w:t>
      </w:r>
      <w:r w:rsidRPr="0065334E">
        <w:rPr>
          <w:rFonts w:eastAsia="Calibri" w:cstheme="minorHAnsi"/>
          <w:color w:val="000000" w:themeColor="text1"/>
          <w:sz w:val="24"/>
          <w:szCs w:val="24"/>
        </w:rPr>
        <w:t xml:space="preserve">Atkreiptinas dėmesys, kad Sutarties projekto 9.10.3 punkte aptartas Sutarties kainos keitimas dėl pasikeitusio pridėtinės vertės mokesčio (PVM). Keičiantis PVM dydžiui, keičiasi tik PVM </w:t>
      </w:r>
      <w:r w:rsidRPr="0065334E">
        <w:rPr>
          <w:rFonts w:eastAsia="Calibri" w:cstheme="minorHAnsi"/>
          <w:color w:val="000000" w:themeColor="text1"/>
          <w:sz w:val="24"/>
          <w:szCs w:val="24"/>
        </w:rPr>
        <w:lastRenderedPageBreak/>
        <w:t xml:space="preserve">dydis, o sutarties kainos dydis be PVM </w:t>
      </w:r>
      <w:r>
        <w:rPr>
          <w:rFonts w:eastAsia="Calibri" w:cstheme="minorHAnsi"/>
          <w:color w:val="000000" w:themeColor="text1"/>
          <w:sz w:val="24"/>
          <w:szCs w:val="24"/>
        </w:rPr>
        <w:t xml:space="preserve">(ar Pradinės sutarties vertė) </w:t>
      </w:r>
      <w:r w:rsidRPr="0065334E">
        <w:rPr>
          <w:rFonts w:eastAsia="Calibri" w:cstheme="minorHAnsi"/>
          <w:color w:val="000000" w:themeColor="text1"/>
          <w:sz w:val="24"/>
          <w:szCs w:val="24"/>
        </w:rPr>
        <w:t>nesikeičia. Atsižvelgiant į nurodyta, rekomenduotina tikslinti sutarties projekto 9.11 punktą.</w:t>
      </w:r>
    </w:p>
    <w:p w14:paraId="25FE139A" w14:textId="77777777" w:rsidR="00665EDF" w:rsidRPr="0065334E" w:rsidRDefault="00665EDF" w:rsidP="00665EDF">
      <w:pPr>
        <w:pStyle w:val="ListParagraph"/>
        <w:numPr>
          <w:ilvl w:val="1"/>
          <w:numId w:val="1"/>
        </w:numPr>
        <w:shd w:val="clear" w:color="auto" w:fill="FFFFFF"/>
        <w:tabs>
          <w:tab w:val="left" w:pos="1276"/>
        </w:tabs>
        <w:spacing w:after="0" w:line="276" w:lineRule="auto"/>
        <w:ind w:left="0" w:firstLine="709"/>
        <w:rPr>
          <w:rFonts w:cstheme="minorHAnsi"/>
          <w:color w:val="000000" w:themeColor="text1"/>
          <w:sz w:val="24"/>
          <w:szCs w:val="24"/>
        </w:rPr>
      </w:pPr>
      <w:r w:rsidRPr="0065334E">
        <w:rPr>
          <w:rFonts w:cstheme="minorHAnsi"/>
          <w:sz w:val="24"/>
          <w:szCs w:val="24"/>
        </w:rPr>
        <w:t>Rekomenduotina peržiūrėti sutarties projekto 10.</w:t>
      </w:r>
      <w:r w:rsidRPr="0065334E">
        <w:rPr>
          <w:rFonts w:cstheme="minorHAnsi"/>
          <w:color w:val="000000" w:themeColor="text1"/>
          <w:sz w:val="24"/>
          <w:szCs w:val="24"/>
        </w:rPr>
        <w:t>1 punktą ir pateikti jame trūkstamą informaciją.</w:t>
      </w:r>
    </w:p>
    <w:p w14:paraId="1F42B6D1" w14:textId="77777777" w:rsidR="00665EDF" w:rsidRPr="0065334E" w:rsidRDefault="00665EDF" w:rsidP="00665EDF">
      <w:pPr>
        <w:pStyle w:val="ListParagraph"/>
        <w:numPr>
          <w:ilvl w:val="1"/>
          <w:numId w:val="1"/>
        </w:numPr>
        <w:shd w:val="clear" w:color="auto" w:fill="FFFFFF"/>
        <w:tabs>
          <w:tab w:val="left" w:pos="1276"/>
        </w:tabs>
        <w:spacing w:after="0" w:line="276" w:lineRule="auto"/>
        <w:ind w:left="0" w:firstLine="709"/>
        <w:rPr>
          <w:rFonts w:cstheme="minorHAnsi"/>
          <w:color w:val="000000" w:themeColor="text1"/>
          <w:sz w:val="24"/>
          <w:szCs w:val="24"/>
        </w:rPr>
      </w:pPr>
      <w:r w:rsidRPr="0065334E">
        <w:rPr>
          <w:rFonts w:cstheme="minorHAnsi"/>
          <w:color w:val="000000" w:themeColor="text1"/>
          <w:sz w:val="24"/>
          <w:szCs w:val="24"/>
        </w:rPr>
        <w:t xml:space="preserve">Atsižvelgiant į tai, kad darbai įsigyjami pagal </w:t>
      </w:r>
      <w:r w:rsidRPr="0065334E">
        <w:rPr>
          <w:rFonts w:cstheme="minorHAnsi"/>
          <w:color w:val="000000" w:themeColor="text1"/>
          <w:sz w:val="24"/>
          <w:szCs w:val="24"/>
          <w:u w:val="single"/>
        </w:rPr>
        <w:t>techninį darbo projektą</w:t>
      </w:r>
      <w:r w:rsidRPr="0065334E">
        <w:rPr>
          <w:rFonts w:cstheme="minorHAnsi"/>
          <w:color w:val="000000" w:themeColor="text1"/>
          <w:sz w:val="24"/>
          <w:szCs w:val="24"/>
        </w:rPr>
        <w:t>, rekomenduotina tikslinti sutarties projekto nuostatas, kuriuose nurodyta, kad darbai įsigyjami pagal „</w:t>
      </w:r>
      <w:r w:rsidRPr="0065334E">
        <w:rPr>
          <w:rFonts w:cstheme="minorHAnsi"/>
          <w:color w:val="000000" w:themeColor="text1"/>
          <w:sz w:val="24"/>
          <w:szCs w:val="24"/>
          <w:u w:val="single"/>
        </w:rPr>
        <w:t>techninį projektą</w:t>
      </w:r>
      <w:r w:rsidRPr="0065334E">
        <w:rPr>
          <w:rFonts w:cstheme="minorHAnsi"/>
          <w:color w:val="000000" w:themeColor="text1"/>
          <w:sz w:val="24"/>
          <w:szCs w:val="24"/>
        </w:rPr>
        <w:t>“.</w:t>
      </w:r>
    </w:p>
    <w:p w14:paraId="5D6C286C" w14:textId="77777777" w:rsidR="00665EDF" w:rsidRPr="00BA5D66" w:rsidRDefault="00665EDF" w:rsidP="00665EDF">
      <w:pPr>
        <w:pStyle w:val="ListParagraph"/>
        <w:numPr>
          <w:ilvl w:val="1"/>
          <w:numId w:val="1"/>
        </w:numPr>
        <w:spacing w:after="0" w:line="276" w:lineRule="auto"/>
        <w:ind w:left="0" w:firstLine="709"/>
        <w:rPr>
          <w:rFonts w:eastAsia="Times New Roman" w:cstheme="minorHAnsi"/>
          <w:sz w:val="24"/>
          <w:szCs w:val="24"/>
        </w:rPr>
      </w:pPr>
      <w:r w:rsidRPr="00BA5D66">
        <w:rPr>
          <w:rFonts w:eastAsia="Times New Roman" w:cstheme="minorHAnsi"/>
          <w:sz w:val="24"/>
          <w:szCs w:val="24"/>
        </w:rPr>
        <w:t>Rekomenduotina sutarties projekto nuostatas papildyti pagal Lietuvos Respublikos statybos įstatymo 22</w:t>
      </w:r>
      <w:r w:rsidRPr="00BA5D66">
        <w:rPr>
          <w:rFonts w:eastAsia="Times New Roman" w:cstheme="minorHAnsi"/>
          <w:sz w:val="24"/>
          <w:szCs w:val="24"/>
          <w:vertAlign w:val="superscript"/>
        </w:rPr>
        <w:t>1</w:t>
      </w:r>
      <w:r w:rsidRPr="00BA5D66">
        <w:rPr>
          <w:rFonts w:eastAsia="Times New Roman" w:cstheme="minorHAnsi"/>
          <w:sz w:val="24"/>
          <w:szCs w:val="24"/>
        </w:rPr>
        <w:t xml:space="preserve"> straipsnio nuostatas</w:t>
      </w:r>
      <w:r w:rsidRPr="0065334E">
        <w:rPr>
          <w:vertAlign w:val="superscript"/>
        </w:rPr>
        <w:footnoteReference w:id="4"/>
      </w:r>
      <w:r w:rsidRPr="00BA5D66">
        <w:rPr>
          <w:rFonts w:eastAsia="Times New Roman" w:cstheme="minorHAnsi"/>
          <w:sz w:val="24"/>
          <w:szCs w:val="24"/>
        </w:rPr>
        <w:t>, reglamentuojančias prievolę statybvietėse statybos darbus atliekantiems asmenims turėti galiojantį skaidriai dirbančio asmens identifikavimo kodą, aiškiai nurodant, kuris (Užsakovas ar jo įgaliotas rangovas) bus atsakingas už šių nuostatų tinkamą laikymąsi bei priežiūrą.</w:t>
      </w:r>
    </w:p>
    <w:p w14:paraId="03D06234" w14:textId="77777777" w:rsidR="00665EDF" w:rsidRPr="00642EC0" w:rsidRDefault="00665EDF" w:rsidP="00665EDF">
      <w:pPr>
        <w:spacing w:after="0" w:line="240" w:lineRule="auto"/>
        <w:ind w:firstLine="567"/>
        <w:jc w:val="both"/>
        <w:rPr>
          <w:rFonts w:eastAsia="Calibri" w:cstheme="minorHAnsi"/>
          <w:sz w:val="24"/>
          <w:szCs w:val="24"/>
        </w:rPr>
      </w:pPr>
      <w:r w:rsidRPr="00642EC0">
        <w:rPr>
          <w:rStyle w:val="normaltextrun"/>
          <w:rFonts w:cstheme="minorHAnsi"/>
          <w:color w:val="000000"/>
          <w:sz w:val="24"/>
          <w:szCs w:val="24"/>
        </w:rPr>
        <w:t xml:space="preserve">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w:t>
      </w:r>
      <w:r w:rsidRPr="00642EC0">
        <w:rPr>
          <w:rStyle w:val="normaltextrun"/>
          <w:rFonts w:cstheme="minorHAnsi"/>
          <w:sz w:val="24"/>
          <w:szCs w:val="24"/>
        </w:rPr>
        <w:t xml:space="preserve">prireikus pratęsti pasiūlymų pateikimo terminą protingam laikotarpiui, per kurį potencialūs tiekėjai galėtų susipažinti su patikslintais ir pakeistais Pirkimo dokumentais. </w:t>
      </w:r>
      <w:r w:rsidRPr="00642EC0">
        <w:rPr>
          <w:rFonts w:eastAsia="Calibri" w:cstheme="minorHAnsi"/>
          <w:sz w:val="24"/>
          <w:szCs w:val="24"/>
        </w:rPr>
        <w:t>Pažymėtina, kad visais atvejais sprendimą dėl tolimesnio Pirkimo procedūrų vykdymo ar nutraukimo priima pati Perkančioji organizacija, vadovaudamasi Įstatymo 29 straipsnio 3</w:t>
      </w:r>
      <w:r w:rsidRPr="00642EC0">
        <w:rPr>
          <w:rFonts w:eastAsia="Calibri" w:cstheme="minorHAnsi"/>
          <w:sz w:val="24"/>
          <w:szCs w:val="24"/>
          <w:vertAlign w:val="superscript"/>
        </w:rPr>
        <w:footnoteReference w:id="5"/>
      </w:r>
      <w:r w:rsidRPr="00642EC0">
        <w:rPr>
          <w:rFonts w:eastAsia="Calibri" w:cstheme="minorHAnsi"/>
          <w:sz w:val="24"/>
          <w:szCs w:val="24"/>
        </w:rPr>
        <w:t xml:space="preserve"> ir 4</w:t>
      </w:r>
      <w:r w:rsidRPr="00642EC0">
        <w:rPr>
          <w:rFonts w:eastAsia="Calibri" w:cstheme="minorHAnsi"/>
          <w:sz w:val="24"/>
          <w:szCs w:val="24"/>
          <w:vertAlign w:val="superscript"/>
        </w:rPr>
        <w:footnoteReference w:id="6"/>
      </w:r>
      <w:r w:rsidRPr="00642EC0">
        <w:rPr>
          <w:rFonts w:eastAsia="Calibri" w:cstheme="minorHAnsi"/>
          <w:sz w:val="24"/>
          <w:szCs w:val="24"/>
        </w:rPr>
        <w:t xml:space="preserve"> dalių nuostatomis.</w:t>
      </w:r>
    </w:p>
    <w:sectPr w:rsidR="00665EDF" w:rsidRPr="00642EC0" w:rsidSect="00665E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17A67" w14:textId="77777777" w:rsidR="00665EDF" w:rsidRDefault="00665EDF" w:rsidP="00665EDF">
      <w:pPr>
        <w:spacing w:after="0" w:line="240" w:lineRule="auto"/>
      </w:pPr>
      <w:r>
        <w:separator/>
      </w:r>
    </w:p>
  </w:endnote>
  <w:endnote w:type="continuationSeparator" w:id="0">
    <w:p w14:paraId="1A7AE477" w14:textId="77777777" w:rsidR="00665EDF" w:rsidRDefault="00665EDF" w:rsidP="00665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66C47" w14:textId="77777777" w:rsidR="00665EDF" w:rsidRDefault="00665EDF" w:rsidP="00665EDF">
      <w:pPr>
        <w:spacing w:after="0" w:line="240" w:lineRule="auto"/>
      </w:pPr>
      <w:r>
        <w:separator/>
      </w:r>
    </w:p>
  </w:footnote>
  <w:footnote w:type="continuationSeparator" w:id="0">
    <w:p w14:paraId="5E576FC7" w14:textId="77777777" w:rsidR="00665EDF" w:rsidRDefault="00665EDF" w:rsidP="00665EDF">
      <w:pPr>
        <w:spacing w:after="0" w:line="240" w:lineRule="auto"/>
      </w:pPr>
      <w:r>
        <w:continuationSeparator/>
      </w:r>
    </w:p>
  </w:footnote>
  <w:footnote w:id="1">
    <w:p w14:paraId="789CA8F4" w14:textId="77777777" w:rsidR="00665EDF" w:rsidRPr="0063082B" w:rsidRDefault="00665EDF" w:rsidP="00665EDF">
      <w:pPr>
        <w:spacing w:after="0" w:line="240" w:lineRule="auto"/>
        <w:jc w:val="both"/>
        <w:textAlignment w:val="baseline"/>
      </w:pPr>
      <w:r>
        <w:rPr>
          <w:rStyle w:val="FootnoteReference"/>
        </w:rPr>
        <w:footnoteRef/>
      </w:r>
      <w:r>
        <w:t xml:space="preserve"> </w:t>
      </w:r>
      <w:hyperlink r:id="rId1">
        <w:r w:rsidRPr="5B0C7559">
          <w:rPr>
            <w:rStyle w:val="Hyperlink"/>
            <w:rFonts w:ascii="Calibri" w:eastAsia="Calibri" w:hAnsi="Calibri" w:cs="Calibri"/>
            <w:sz w:val="20"/>
            <w:szCs w:val="20"/>
            <w:lang w:val="lt"/>
          </w:rPr>
          <w:t>https://e-seimas.lrs.lt/portal/legalAct/lt/TAD/01aeb1815d8c11e7a53b83ca0142260e/asr</w:t>
        </w:r>
      </w:hyperlink>
    </w:p>
    <w:p w14:paraId="2D0A9DDD" w14:textId="77777777" w:rsidR="00665EDF" w:rsidRDefault="00665EDF" w:rsidP="00665EDF">
      <w:pPr>
        <w:pStyle w:val="FootnoteText"/>
      </w:pPr>
    </w:p>
  </w:footnote>
  <w:footnote w:id="2">
    <w:p w14:paraId="0B56FFA1" w14:textId="77777777" w:rsidR="00665EDF" w:rsidRPr="001A6D6A" w:rsidRDefault="00665EDF" w:rsidP="00665EDF">
      <w:pPr>
        <w:pStyle w:val="FootnoteText"/>
        <w:rPr>
          <w:rFonts w:ascii="Times New Roman" w:hAnsi="Times New Roman" w:cs="Times New Roman"/>
        </w:rPr>
      </w:pPr>
      <w:r w:rsidRPr="001A6D6A">
        <w:rPr>
          <w:rStyle w:val="FootnoteReference"/>
          <w:rFonts w:ascii="Times New Roman" w:hAnsi="Times New Roman" w:cs="Times New Roman"/>
        </w:rPr>
        <w:footnoteRef/>
      </w:r>
      <w:r w:rsidRPr="001A6D6A">
        <w:rPr>
          <w:rFonts w:ascii="Times New Roman" w:hAnsi="Times New Roman" w:cs="Times New Roman"/>
        </w:rPr>
        <w:t xml:space="preserve"> </w:t>
      </w:r>
      <w:hyperlink r:id="rId2" w:history="1">
        <w:r w:rsidRPr="00FF5AF8">
          <w:rPr>
            <w:rStyle w:val="Hyperlink"/>
            <w:rFonts w:ascii="Times New Roman" w:hAnsi="Times New Roman" w:cs="Times New Roman"/>
          </w:rPr>
          <w:t>https://e-seimas.lrs.lt/portal/legalAct/lt/TAD/998f6af39c3d11e68adcda1bb2f432d1/asr</w:t>
        </w:r>
      </w:hyperlink>
    </w:p>
  </w:footnote>
  <w:footnote w:id="3">
    <w:p w14:paraId="23997CE3" w14:textId="77777777" w:rsidR="00665EDF" w:rsidRPr="000E50E7" w:rsidRDefault="00665EDF" w:rsidP="00665EDF">
      <w:pPr>
        <w:pStyle w:val="FootnoteText"/>
        <w:jc w:val="both"/>
        <w:rPr>
          <w:rFonts w:asciiTheme="minorHAnsi" w:hAnsiTheme="minorHAnsi" w:cstheme="minorHAnsi"/>
        </w:rPr>
      </w:pPr>
      <w:r w:rsidRPr="000E50E7">
        <w:rPr>
          <w:rStyle w:val="FootnoteReference"/>
          <w:rFonts w:asciiTheme="minorHAnsi" w:hAnsiTheme="minorHAnsi" w:cstheme="minorHAnsi"/>
        </w:rPr>
        <w:footnoteRef/>
      </w:r>
      <w:r w:rsidRPr="000E50E7">
        <w:rPr>
          <w:rFonts w:asciiTheme="minorHAnsi" w:hAnsiTheme="minorHAnsi" w:cstheme="minorHAnsi"/>
        </w:rPr>
        <w:t xml:space="preserve"> </w:t>
      </w:r>
      <w:r w:rsidRPr="000E50E7">
        <w:rPr>
          <w:rStyle w:val="normaltextrun"/>
          <w:rFonts w:asciiTheme="minorHAnsi" w:hAnsiTheme="minorHAnsi" w:cstheme="minorHAnsi"/>
          <w:color w:val="000000"/>
          <w:shd w:val="clear" w:color="auto" w:fill="FFFFFF"/>
        </w:rPr>
        <w:t xml:space="preserve">„Pirkimo dokumentų sudedamoji dalis yra &lt;...&gt; skelbimas apie pirkimą. Perkančioji organizacija skelbimuose esančios informacijos vėliau papildomai gali neteikti. Tuo atveju, kai skelbime apie pirkimą &lt;...&gt; pateikta informacija neatitinka informacijos, pateiktos kituose pirkimo dokumentuose, </w:t>
      </w:r>
      <w:r w:rsidRPr="000E50E7">
        <w:rPr>
          <w:rStyle w:val="findhit"/>
          <w:rFonts w:asciiTheme="minorHAnsi" w:hAnsiTheme="minorHAnsi" w:cstheme="minorHAnsi"/>
          <w:color w:val="000000"/>
          <w:shd w:val="clear" w:color="auto" w:fill="FFFFFF"/>
        </w:rPr>
        <w:t>teisinga</w:t>
      </w:r>
      <w:r w:rsidRPr="000E50E7">
        <w:rPr>
          <w:rStyle w:val="normaltextrun"/>
          <w:rFonts w:asciiTheme="minorHAnsi" w:hAnsiTheme="minorHAnsi" w:cstheme="minorHAnsi"/>
          <w:color w:val="000000"/>
          <w:shd w:val="clear" w:color="auto" w:fill="FFFFFF"/>
        </w:rPr>
        <w:t xml:space="preserve"> laikoma informacija, nurodyta skelbime apie pirkimą &lt;...&gt;“.</w:t>
      </w:r>
    </w:p>
  </w:footnote>
  <w:footnote w:id="4">
    <w:p w14:paraId="5258C92F" w14:textId="77777777" w:rsidR="00665EDF" w:rsidRPr="0065334E" w:rsidRDefault="00665EDF" w:rsidP="00665EDF">
      <w:pPr>
        <w:pStyle w:val="FootnoteText"/>
        <w:jc w:val="both"/>
        <w:rPr>
          <w:rFonts w:asciiTheme="minorHAnsi" w:hAnsiTheme="minorHAnsi" w:cstheme="minorHAnsi"/>
        </w:rPr>
      </w:pPr>
      <w:r w:rsidRPr="0065334E">
        <w:rPr>
          <w:rStyle w:val="FootnoteReference"/>
          <w:rFonts w:asciiTheme="minorHAnsi" w:hAnsiTheme="minorHAnsi" w:cstheme="minorHAnsi"/>
        </w:rPr>
        <w:footnoteRef/>
      </w:r>
      <w:r w:rsidRPr="0065334E">
        <w:rPr>
          <w:rFonts w:asciiTheme="minorHAnsi" w:hAnsiTheme="minorHAnsi" w:cstheme="minorHAnsi"/>
        </w:rPr>
        <w:t xml:space="preserve"> Statybos įstatymo 22</w:t>
      </w:r>
      <w:r w:rsidRPr="0065334E">
        <w:rPr>
          <w:rFonts w:asciiTheme="minorHAnsi" w:hAnsiTheme="minorHAnsi" w:cstheme="minorHAnsi"/>
          <w:vertAlign w:val="superscript"/>
        </w:rPr>
        <w:t>1</w:t>
      </w:r>
      <w:r w:rsidRPr="0065334E">
        <w:rPr>
          <w:rFonts w:asciiTheme="minorHAnsi" w:hAnsiTheme="minorHAnsi" w:cstheme="minorHAnsi"/>
        </w:rPr>
        <w:t xml:space="preserve"> straipsnis. Statybvietėje esančių asmenų identifikavimas: „1. Statybvietėje statybos darbus atliekantys asmenys, nurodyti Lietuvos Respublikos valstybinio socialinio draudimo įstatymo 15</w:t>
      </w:r>
      <w:r w:rsidRPr="0065334E">
        <w:rPr>
          <w:rFonts w:asciiTheme="minorHAnsi" w:hAnsiTheme="minorHAnsi" w:cstheme="minorHAnsi"/>
          <w:vertAlign w:val="superscript"/>
        </w:rPr>
        <w:t>1</w:t>
      </w:r>
      <w:r w:rsidRPr="0065334E">
        <w:rPr>
          <w:rFonts w:asciiTheme="minorHAnsi" w:hAnsiTheme="minorHAnsi" w:cstheme="minorHAnsi"/>
        </w:rPr>
        <w:t xml:space="preserve"> straipsnio 1 dalyje, privalo turėti galiojantį Valstybinio socialinio draudimo įstatymo 15</w:t>
      </w:r>
      <w:r w:rsidRPr="0065334E">
        <w:rPr>
          <w:rFonts w:asciiTheme="minorHAnsi" w:hAnsiTheme="minorHAnsi" w:cstheme="minorHAnsi"/>
          <w:vertAlign w:val="superscript"/>
        </w:rPr>
        <w:t>1</w:t>
      </w:r>
      <w:r w:rsidRPr="0065334E">
        <w:rPr>
          <w:rFonts w:asciiTheme="minorHAnsi" w:hAnsiTheme="minorHAnsi" w:cstheme="minorHAnsi"/>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65334E">
        <w:rPr>
          <w:rFonts w:asciiTheme="minorHAnsi" w:hAnsiTheme="minorHAnsi" w:cstheme="minorHAnsi"/>
          <w:vertAlign w:val="superscript"/>
        </w:rPr>
        <w:t>1</w:t>
      </w:r>
      <w:r w:rsidRPr="0065334E">
        <w:rPr>
          <w:rFonts w:asciiTheme="minorHAnsi" w:hAnsiTheme="minorHAnsi" w:cstheme="minorHAnsi"/>
        </w:rPr>
        <w:t xml:space="preserve"> straipsnio 8 dalyje, pagrindžiančius dokumentus (toliau – kode užšifruojamus duomenis pagrindžiantys dokumentai) ir pateikti jį (juos): &lt;...&gt; 3) prieš patenkant į statybvietę ir statybvietėje </w:t>
      </w:r>
      <w:r w:rsidRPr="00642EC0">
        <w:rPr>
          <w:rFonts w:asciiTheme="minorHAnsi" w:hAnsiTheme="minorHAnsi" w:cstheme="minorHAnsi"/>
          <w:b/>
          <w:bCs/>
        </w:rPr>
        <w:t xml:space="preserve">pareikalavus statytojui (užsakovui) ar jo vienam įgaliotam rangovui </w:t>
      </w:r>
      <w:r w:rsidRPr="0065334E">
        <w:rPr>
          <w:rFonts w:asciiTheme="minorHAnsi" w:hAnsiTheme="minorHAnsi" w:cstheme="minorHAnsi"/>
        </w:rPr>
        <w:t xml:space="preserve">ar jų įgaliotiems asmenims. 2. Statybvietėje gali būti asmenys, kurie: 1) turi kodą arba, kai jiems kodas negali būti suformuotas, – kode užšifruojamus duomenis pagrindžiančius dokumentus, arba 2) </w:t>
      </w:r>
      <w:r w:rsidRPr="00642EC0">
        <w:rPr>
          <w:rFonts w:asciiTheme="minorHAnsi" w:hAnsiTheme="minorHAnsi" w:cstheme="minorHAnsi"/>
          <w:b/>
          <w:bCs/>
        </w:rPr>
        <w:t>statytojo (užsakovo) ar jo vieno įgalioto rangovo nustatyta tvarka</w:t>
      </w:r>
      <w:r w:rsidRPr="0065334E">
        <w:rPr>
          <w:rFonts w:asciiTheme="minorHAnsi" w:hAnsiTheme="minorHAnsi" w:cstheme="minorHAnsi"/>
        </w:rPr>
        <w:t xml:space="preserve"> užregistravo atvykimo į statybvietę pradžios laiką ir priežastį ir turi statytojo (užsakovo) ar jo vieno įgalioto rangovo nustatytą identifikavimo priemonę. 3. </w:t>
      </w:r>
      <w:r w:rsidRPr="00642EC0">
        <w:rPr>
          <w:rFonts w:asciiTheme="minorHAnsi" w:hAnsiTheme="minorHAnsi" w:cstheme="minorHAnsi"/>
          <w:b/>
          <w:bCs/>
        </w:rPr>
        <w:t>Statytojas (užsakovas) ar jo vienas įgaliotas rangovas</w:t>
      </w:r>
      <w:r w:rsidRPr="0065334E">
        <w:rPr>
          <w:rFonts w:asciiTheme="minorHAnsi" w:hAnsiTheme="minorHAnsi" w:cstheme="minorHAnsi"/>
        </w:rPr>
        <w:t xml:space="preserve"> nustato kitų statybvietėje esančių asmenų, kurie nenurodyti šio straipsnio 1 dalyje, identifikavimo priemonę, prireikus – jos išdavimo tvarką, registruoja šių asmenų buvimo statybvietėje pradžios ir pabaigos laiką ir priežastį. 4. </w:t>
      </w:r>
      <w:r w:rsidRPr="00642EC0">
        <w:rPr>
          <w:rFonts w:asciiTheme="minorHAnsi" w:hAnsiTheme="minorHAnsi" w:cstheme="minorHAnsi"/>
          <w:b/>
          <w:bCs/>
        </w:rPr>
        <w:t>Statytojas (užsakovas) arba jo vienas įgaliotas rangovas privalo užtikrinti</w:t>
      </w:r>
      <w:r w:rsidRPr="0065334E">
        <w:rPr>
          <w:rFonts w:asciiTheme="minorHAnsi" w:hAnsiTheme="minorHAnsi" w:cstheme="minorHAnsi"/>
        </w:rPr>
        <w:t xml:space="preserve">, kad visi statybvietėje esantys fiziniai asmenys turėtų kodus (kai jiems kodas negali būti suformuotas, – kode užšifruojamus duomenis pagrindžiančius dokumentus) arba identifikavimo priemonę ir jį (ją) pateiktų šio straipsnio 1 ir 2 dalyse nustatytais atvejais ir tvarka. 5. </w:t>
      </w:r>
      <w:r w:rsidRPr="00642EC0">
        <w:rPr>
          <w:rFonts w:asciiTheme="minorHAnsi" w:hAnsiTheme="minorHAnsi" w:cstheme="minorHAnsi"/>
          <w:b/>
          <w:bCs/>
        </w:rPr>
        <w:t>Statytojas (užsakovas) ar jo įgaliotas rangovas</w:t>
      </w:r>
      <w:r w:rsidRPr="0065334E">
        <w:rPr>
          <w:rFonts w:asciiTheme="minorHAnsi" w:hAnsiTheme="minorHAnsi" w:cstheme="minorHAnsi"/>
        </w:rPr>
        <w:t xml:space="preserve">, nevykdantis šio straipsnio 4 dalyje nustatytų pareigų arba netinkamai jas vykdantis, </w:t>
      </w:r>
      <w:r w:rsidRPr="00642EC0">
        <w:rPr>
          <w:rFonts w:asciiTheme="minorHAnsi" w:hAnsiTheme="minorHAnsi" w:cstheme="minorHAnsi"/>
          <w:b/>
          <w:bCs/>
        </w:rPr>
        <w:t>atsako</w:t>
      </w:r>
      <w:r w:rsidRPr="0065334E">
        <w:rPr>
          <w:rFonts w:asciiTheme="minorHAnsi" w:hAnsiTheme="minorHAnsi" w:cstheme="minorHAnsi"/>
        </w:rPr>
        <w:t xml:space="preserve"> šio įstatymo ir Lietuvos Respublikos administracinių nusižengimų kodekso nustatyta tvarka“.</w:t>
      </w:r>
    </w:p>
  </w:footnote>
  <w:footnote w:id="5">
    <w:p w14:paraId="332AFD2C" w14:textId="77777777" w:rsidR="00665EDF" w:rsidRPr="00642EC0" w:rsidRDefault="00665EDF" w:rsidP="00665EDF">
      <w:pPr>
        <w:pStyle w:val="FootnoteText"/>
        <w:jc w:val="both"/>
        <w:rPr>
          <w:rFonts w:asciiTheme="minorHAnsi" w:hAnsiTheme="minorHAnsi" w:cstheme="minorHAnsi"/>
        </w:rPr>
      </w:pPr>
      <w:r w:rsidRPr="00642EC0">
        <w:rPr>
          <w:rStyle w:val="FootnoteReference"/>
          <w:rFonts w:asciiTheme="minorHAnsi" w:hAnsiTheme="minorHAnsi" w:cstheme="minorHAnsi"/>
        </w:rPr>
        <w:footnoteRef/>
      </w:r>
      <w:r w:rsidRPr="00642EC0">
        <w:rPr>
          <w:rFonts w:asciiTheme="minorHAnsi" w:hAnsiTheme="minorHAnsi" w:cstheme="minorHAnsi"/>
        </w:rPr>
        <w:t xml:space="preserve"> „</w:t>
      </w:r>
      <w:r w:rsidRPr="00642EC0">
        <w:rPr>
          <w:rFonts w:asciiTheme="minorHAnsi" w:hAnsiTheme="minorHAnsi" w:cstheme="minorHAnsi"/>
          <w:bCs/>
          <w:color w:val="000000"/>
        </w:rPr>
        <w:t>Perkančioji</w:t>
      </w:r>
      <w:r w:rsidRPr="00642EC0">
        <w:rPr>
          <w:rFonts w:asciiTheme="minorHAnsi" w:hAnsiTheme="minorHAnsi" w:cstheme="minorHAnsi"/>
          <w:color w:val="000000"/>
        </w:rPr>
        <w:t xml:space="preserve"> organizacija privalo </w:t>
      </w:r>
      <w:r w:rsidRPr="00642EC0">
        <w:rPr>
          <w:rFonts w:asciiTheme="minorHAnsi" w:hAnsiTheme="minorHAnsi" w:cstheme="minorHAnsi"/>
          <w:bCs/>
          <w:color w:val="000000"/>
        </w:rPr>
        <w:t>nutraukti pradėtas pirkimo ar projekto konkurso procedūras</w:t>
      </w:r>
      <w:r w:rsidRPr="00642EC0">
        <w:rPr>
          <w:rFonts w:asciiTheme="minorHAnsi" w:hAnsiTheme="minorHAnsi" w:cstheme="minorHAnsi"/>
          <w:color w:val="000000"/>
        </w:rPr>
        <w:t>, jeigu buvo pažeisti šio įstatymo 17 straipsnio 1 dalyje nustatyti principai ir atitinkamos padėties negalima ištaisyti.“</w:t>
      </w:r>
    </w:p>
  </w:footnote>
  <w:footnote w:id="6">
    <w:p w14:paraId="133F4672" w14:textId="77777777" w:rsidR="00665EDF" w:rsidRPr="00642EC0" w:rsidRDefault="00665EDF" w:rsidP="00665EDF">
      <w:pPr>
        <w:pStyle w:val="FootnoteText"/>
        <w:jc w:val="both"/>
        <w:rPr>
          <w:rFonts w:asciiTheme="minorHAnsi" w:hAnsiTheme="minorHAnsi" w:cstheme="minorHAnsi"/>
        </w:rPr>
      </w:pPr>
      <w:r w:rsidRPr="00642EC0">
        <w:rPr>
          <w:rStyle w:val="FootnoteReference"/>
          <w:rFonts w:asciiTheme="minorHAnsi" w:hAnsiTheme="minorHAnsi" w:cstheme="minorHAnsi"/>
        </w:rPr>
        <w:footnoteRef/>
      </w:r>
      <w:r w:rsidRPr="00642EC0">
        <w:rPr>
          <w:rFonts w:asciiTheme="minorHAnsi" w:hAnsiTheme="minorHAnsi" w:cstheme="minorHAnsi"/>
        </w:rPr>
        <w:t xml:space="preserve">„ </w:t>
      </w:r>
      <w:r w:rsidRPr="00642EC0">
        <w:rPr>
          <w:rFonts w:asciiTheme="minorHAnsi" w:hAnsiTheme="minorHAnsi" w:cstheme="minorHAnsi"/>
          <w:bCs/>
          <w:color w:val="000000"/>
        </w:rPr>
        <w:t xml:space="preserve">Perkančioji organizacija turi teisę savo iniciatyva nutraukti pradėtas pirkimo ar projekto konkurso procedūras, jeigu atsirado aplinkybių, kurių nebuvo galima numatyti, arba </w:t>
      </w:r>
      <w:r w:rsidRPr="00642EC0">
        <w:rPr>
          <w:rFonts w:asciiTheme="minorHAnsi" w:hAnsiTheme="minorHAnsi" w:cstheme="minorHAnsi"/>
          <w:bCs/>
          <w:color w:val="000000"/>
          <w:lang w:eastAsia="lt-LT"/>
        </w:rPr>
        <w:t>pirkimo dokumentuose padaryta esminių klaidų, dėl kurių pirkimas tampa nebetikslingas ar jį įvykdžius būtų įsigytas perkančiosios organizacijos poreikių neatitinkantis pirkimo objektas“</w:t>
      </w:r>
      <w:r>
        <w:rPr>
          <w:rFonts w:asciiTheme="minorHAnsi" w:hAnsiTheme="minorHAnsi" w:cstheme="minorHAnsi"/>
          <w:bCs/>
          <w:color w:val="000000"/>
          <w:lang w:eastAsia="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02B08"/>
    <w:multiLevelType w:val="multilevel"/>
    <w:tmpl w:val="4796CE24"/>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asciiTheme="minorHAnsi" w:eastAsia="Times New Roman" w:hAnsiTheme="minorHAnsi" w:cstheme="minorHAnsi" w:hint="default"/>
        <w:b w:val="0"/>
        <w:bCs w:val="0"/>
        <w:sz w:val="24"/>
      </w:rPr>
    </w:lvl>
    <w:lvl w:ilvl="2">
      <w:start w:val="1"/>
      <w:numFmt w:val="decimal"/>
      <w:isLgl/>
      <w:lvlText w:val="%1.%2.%3."/>
      <w:lvlJc w:val="left"/>
      <w:pPr>
        <w:ind w:left="1571" w:hanging="720"/>
      </w:pPr>
      <w:rPr>
        <w:rFonts w:eastAsia="Times New Roman" w:hint="default"/>
        <w:sz w:val="24"/>
      </w:rPr>
    </w:lvl>
    <w:lvl w:ilvl="3">
      <w:start w:val="1"/>
      <w:numFmt w:val="decimal"/>
      <w:isLgl/>
      <w:lvlText w:val="%1.%2.%3.%4."/>
      <w:lvlJc w:val="left"/>
      <w:pPr>
        <w:ind w:left="1713" w:hanging="720"/>
      </w:pPr>
      <w:rPr>
        <w:rFonts w:eastAsia="Times New Roman" w:hint="default"/>
        <w:sz w:val="24"/>
      </w:rPr>
    </w:lvl>
    <w:lvl w:ilvl="4">
      <w:start w:val="1"/>
      <w:numFmt w:val="decimal"/>
      <w:isLgl/>
      <w:lvlText w:val="%1.%2.%3.%4.%5."/>
      <w:lvlJc w:val="left"/>
      <w:pPr>
        <w:ind w:left="2215" w:hanging="1080"/>
      </w:pPr>
      <w:rPr>
        <w:rFonts w:eastAsia="Times New Roman" w:hint="default"/>
        <w:sz w:val="24"/>
      </w:rPr>
    </w:lvl>
    <w:lvl w:ilvl="5">
      <w:start w:val="1"/>
      <w:numFmt w:val="decimal"/>
      <w:isLgl/>
      <w:lvlText w:val="%1.%2.%3.%4.%5.%6."/>
      <w:lvlJc w:val="left"/>
      <w:pPr>
        <w:ind w:left="2357" w:hanging="1080"/>
      </w:pPr>
      <w:rPr>
        <w:rFonts w:eastAsia="Times New Roman" w:hint="default"/>
        <w:sz w:val="24"/>
      </w:rPr>
    </w:lvl>
    <w:lvl w:ilvl="6">
      <w:start w:val="1"/>
      <w:numFmt w:val="decimal"/>
      <w:isLgl/>
      <w:lvlText w:val="%1.%2.%3.%4.%5.%6.%7."/>
      <w:lvlJc w:val="left"/>
      <w:pPr>
        <w:ind w:left="2859" w:hanging="1440"/>
      </w:pPr>
      <w:rPr>
        <w:rFonts w:eastAsia="Times New Roman" w:hint="default"/>
        <w:sz w:val="24"/>
      </w:rPr>
    </w:lvl>
    <w:lvl w:ilvl="7">
      <w:start w:val="1"/>
      <w:numFmt w:val="decimal"/>
      <w:isLgl/>
      <w:lvlText w:val="%1.%2.%3.%4.%5.%6.%7.%8."/>
      <w:lvlJc w:val="left"/>
      <w:pPr>
        <w:ind w:left="3001" w:hanging="1440"/>
      </w:pPr>
      <w:rPr>
        <w:rFonts w:eastAsia="Times New Roman" w:hint="default"/>
        <w:sz w:val="24"/>
      </w:rPr>
    </w:lvl>
    <w:lvl w:ilvl="8">
      <w:start w:val="1"/>
      <w:numFmt w:val="decimal"/>
      <w:isLgl/>
      <w:lvlText w:val="%1.%2.%3.%4.%5.%6.%7.%8.%9."/>
      <w:lvlJc w:val="left"/>
      <w:pPr>
        <w:ind w:left="3503" w:hanging="1800"/>
      </w:pPr>
      <w:rPr>
        <w:rFonts w:eastAsia="Times New Roman" w:hint="default"/>
        <w:sz w:val="24"/>
      </w:rPr>
    </w:lvl>
  </w:abstractNum>
  <w:num w:numId="1" w16cid:durableId="1575894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DF"/>
    <w:rsid w:val="005F6BBB"/>
    <w:rsid w:val="00665EDF"/>
    <w:rsid w:val="00B7601D"/>
    <w:rsid w:val="00D64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97852"/>
  <w15:chartTrackingRefBased/>
  <w15:docId w15:val="{C7C61702-FDA6-4502-A08D-CC68A622B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EDF"/>
    <w:rPr>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665EDF"/>
    <w:pPr>
      <w:spacing w:after="0" w:line="240" w:lineRule="auto"/>
    </w:pPr>
    <w:rPr>
      <w:rFonts w:ascii="Calibri" w:hAnsi="Calibri" w:cs="Calibr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665EDF"/>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665EDF"/>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665EDF"/>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665EDF"/>
    <w:rPr>
      <w:kern w:val="0"/>
      <w:lang w:val="lt-LT"/>
      <w14:ligatures w14:val="none"/>
    </w:rPr>
  </w:style>
  <w:style w:type="character" w:styleId="Hyperlink">
    <w:name w:val="Hyperlink"/>
    <w:basedOn w:val="DefaultParagraphFont"/>
    <w:uiPriority w:val="99"/>
    <w:unhideWhenUsed/>
    <w:rsid w:val="00665EDF"/>
    <w:rPr>
      <w:color w:val="0563C1" w:themeColor="hyperlink"/>
      <w:u w:val="single"/>
    </w:rPr>
  </w:style>
  <w:style w:type="paragraph" w:customStyle="1" w:styleId="paragraph">
    <w:name w:val="paragraph"/>
    <w:basedOn w:val="Normal"/>
    <w:rsid w:val="00665E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665EDF"/>
  </w:style>
  <w:style w:type="character" w:customStyle="1" w:styleId="findhit">
    <w:name w:val="findhit"/>
    <w:basedOn w:val="DefaultParagraphFont"/>
    <w:rsid w:val="00665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metodine-pagalba/pavyzdiniai-dokumentai-3/statybos-rangos-sutartis/" TargetMode="External"/><Relationship Id="rId3" Type="http://schemas.openxmlformats.org/officeDocument/2006/relationships/settings" Target="settings.xml"/><Relationship Id="rId7" Type="http://schemas.openxmlformats.org/officeDocument/2006/relationships/hyperlink" Target="http://www.ssv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998f6af39c3d11e68adcda1bb2f432d1/asr" TargetMode="External"/><Relationship Id="rId1" Type="http://schemas.openxmlformats.org/officeDocument/2006/relationships/hyperlink" Target="https://e-seimas.lrs.lt/portal/legalAct/lt/TAD/01aeb1815d8c11e7a53b83ca0142260e/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6752</Words>
  <Characters>3849</Characters>
  <Application>Microsoft Office Word</Application>
  <DocSecurity>0</DocSecurity>
  <Lines>32</Lines>
  <Paragraphs>21</Paragraphs>
  <ScaleCrop>false</ScaleCrop>
  <Company>VPT</Company>
  <LinksUpToDate>false</LinksUpToDate>
  <CharactersWithSpaces>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2</cp:revision>
  <dcterms:created xsi:type="dcterms:W3CDTF">2024-03-13T06:23:00Z</dcterms:created>
  <dcterms:modified xsi:type="dcterms:W3CDTF">2024-03-13T06:24:00Z</dcterms:modified>
</cp:coreProperties>
</file>