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5EF99" w14:textId="77777777" w:rsidR="001E5070" w:rsidRPr="0065334E" w:rsidRDefault="001E5070" w:rsidP="001E5070">
      <w:pPr>
        <w:spacing w:after="0" w:line="276" w:lineRule="auto"/>
        <w:ind w:firstLine="709"/>
        <w:rPr>
          <w:rFonts w:cstheme="minorHAnsi"/>
          <w:sz w:val="24"/>
          <w:szCs w:val="24"/>
        </w:rPr>
      </w:pPr>
      <w:r w:rsidRPr="0065334E">
        <w:rPr>
          <w:rFonts w:eastAsia="Times New Roman"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305AFDA" w14:textId="77777777" w:rsidR="001E5070" w:rsidRPr="0065334E" w:rsidRDefault="001E5070" w:rsidP="001E5070">
      <w:pPr>
        <w:spacing w:after="0" w:line="276" w:lineRule="auto"/>
        <w:ind w:firstLine="709"/>
        <w:rPr>
          <w:rFonts w:cstheme="minorHAnsi"/>
          <w:sz w:val="24"/>
          <w:szCs w:val="24"/>
        </w:rPr>
      </w:pPr>
      <w:r w:rsidRPr="0065334E">
        <w:rPr>
          <w:rFonts w:eastAsia="Times New Roman" w:cstheme="minorHAnsi"/>
          <w:sz w:val="24"/>
          <w:szCs w:val="24"/>
          <w:lang w:val="lt"/>
        </w:rPr>
        <w:t xml:space="preserve">Vadovaujantis Tarnybai Įstatyme nustatyta pažeidimų prevencijos funkcija, šiuo metu atliekama </w:t>
      </w:r>
      <w:r w:rsidRPr="007C28E9">
        <w:rPr>
          <w:rFonts w:eastAsia="Times New Roman" w:cstheme="minorHAnsi"/>
          <w:b/>
          <w:bCs/>
          <w:sz w:val="24"/>
          <w:szCs w:val="24"/>
          <w:lang w:val="lt"/>
        </w:rPr>
        <w:t>Lazdijų rajono savivaldybės administracijos</w:t>
      </w:r>
      <w:r w:rsidRPr="0065334E">
        <w:rPr>
          <w:rFonts w:cstheme="minorHAnsi"/>
          <w:b/>
          <w:bCs/>
          <w:spacing w:val="-2"/>
          <w:sz w:val="24"/>
          <w:szCs w:val="24"/>
        </w:rPr>
        <w:t xml:space="preserve"> </w:t>
      </w:r>
      <w:r w:rsidRPr="0065334E">
        <w:rPr>
          <w:rFonts w:cstheme="minorHAnsi"/>
          <w:sz w:val="24"/>
          <w:szCs w:val="24"/>
          <w:lang w:eastAsia="lt-LT"/>
        </w:rPr>
        <w:t>(toliau – Perkančioji organizacija) vykdomo pirkimo Nr.</w:t>
      </w:r>
      <w:r w:rsidRPr="0065334E">
        <w:rPr>
          <w:rFonts w:cstheme="minorHAnsi"/>
          <w:b/>
          <w:bCs/>
          <w:sz w:val="24"/>
          <w:szCs w:val="24"/>
          <w:lang w:eastAsia="lt-LT"/>
        </w:rPr>
        <w:t xml:space="preserve"> </w:t>
      </w:r>
      <w:r>
        <w:rPr>
          <w:rFonts w:cstheme="minorHAnsi"/>
          <w:b/>
          <w:bCs/>
          <w:sz w:val="24"/>
          <w:szCs w:val="24"/>
          <w:lang w:eastAsia="lt-LT"/>
        </w:rPr>
        <w:t>710290</w:t>
      </w:r>
      <w:r w:rsidRPr="0065334E">
        <w:rPr>
          <w:rFonts w:cstheme="minorHAnsi"/>
          <w:b/>
          <w:bCs/>
          <w:sz w:val="24"/>
          <w:szCs w:val="24"/>
          <w:lang w:eastAsia="lt-LT"/>
        </w:rPr>
        <w:t xml:space="preserve"> „</w:t>
      </w:r>
      <w:r>
        <w:rPr>
          <w:rFonts w:cstheme="minorHAnsi"/>
          <w:b/>
          <w:bCs/>
          <w:sz w:val="24"/>
          <w:szCs w:val="24"/>
          <w:lang w:eastAsia="lt-LT"/>
        </w:rPr>
        <w:t xml:space="preserve">Vietinės reikšmės kelio Nr. 6-4 Mikyčiai – Prapuntai (LZ0112) (Dvaro g.) ruožo Šventežerio sen., Lazdijų r. sav. </w:t>
      </w:r>
      <w:r w:rsidRPr="0065334E">
        <w:rPr>
          <w:rFonts w:cstheme="minorHAnsi"/>
          <w:b/>
          <w:bCs/>
          <w:sz w:val="24"/>
          <w:szCs w:val="24"/>
          <w:lang w:eastAsia="lt-LT"/>
        </w:rPr>
        <w:t>kapitalinio remonto</w:t>
      </w:r>
      <w:r>
        <w:rPr>
          <w:rFonts w:cstheme="minorHAnsi"/>
          <w:b/>
          <w:bCs/>
          <w:sz w:val="24"/>
          <w:szCs w:val="24"/>
          <w:lang w:eastAsia="lt-LT"/>
        </w:rPr>
        <w:t xml:space="preserve"> </w:t>
      </w:r>
      <w:r w:rsidRPr="0065334E">
        <w:rPr>
          <w:rFonts w:cstheme="minorHAnsi"/>
          <w:b/>
          <w:bCs/>
          <w:sz w:val="24"/>
          <w:szCs w:val="24"/>
          <w:lang w:eastAsia="lt-LT"/>
        </w:rPr>
        <w:t>darbai“</w:t>
      </w:r>
      <w:r w:rsidRPr="0065334E">
        <w:rPr>
          <w:rFonts w:cstheme="minorHAnsi"/>
          <w:sz w:val="24"/>
          <w:szCs w:val="24"/>
          <w:lang w:eastAsia="lt-LT"/>
        </w:rPr>
        <w:t xml:space="preserve"> (toliau – Pirkimas) </w:t>
      </w:r>
      <w:r w:rsidRPr="0065334E">
        <w:rPr>
          <w:rFonts w:cstheme="minorHAnsi"/>
          <w:sz w:val="24"/>
          <w:szCs w:val="24"/>
        </w:rPr>
        <w:t>dokumentų atitikties Įstatymui ir jį įgyvendinantiems teisės aktams peržiūra (peržiūra prevenciniais tikslais atliekama tam tikra apimtimi).</w:t>
      </w:r>
    </w:p>
    <w:p w14:paraId="2C380DFF" w14:textId="77777777" w:rsidR="001E5070" w:rsidRPr="0065334E" w:rsidRDefault="001E5070" w:rsidP="001E5070">
      <w:pPr>
        <w:spacing w:after="0" w:line="276" w:lineRule="auto"/>
        <w:ind w:firstLine="709"/>
        <w:rPr>
          <w:rFonts w:cstheme="minorHAnsi"/>
          <w:sz w:val="24"/>
          <w:szCs w:val="24"/>
          <w:lang w:eastAsia="lt-LT"/>
        </w:rPr>
      </w:pPr>
      <w:r w:rsidRPr="0065334E">
        <w:rPr>
          <w:rFonts w:cstheme="minorHAnsi"/>
          <w:sz w:val="24"/>
          <w:szCs w:val="24"/>
          <w:lang w:eastAsia="lt-LT"/>
        </w:rPr>
        <w:t>Tarnyba, prevencine tvarka peržiūrėjusi Pirkimo dokumentus ir atsižvelgdama į galiojantį teisinį reglamentavimą, teikia</w:t>
      </w:r>
      <w:r>
        <w:rPr>
          <w:rFonts w:cstheme="minorHAnsi"/>
          <w:sz w:val="24"/>
          <w:szCs w:val="24"/>
          <w:lang w:eastAsia="lt-LT"/>
        </w:rPr>
        <w:t xml:space="preserve"> klausimus</w:t>
      </w:r>
      <w:r w:rsidRPr="00B87319">
        <w:rPr>
          <w:rFonts w:cstheme="minorHAnsi"/>
          <w:sz w:val="24"/>
          <w:szCs w:val="24"/>
          <w:lang w:eastAsia="lt-LT"/>
        </w:rPr>
        <w:t>, pastabas ir rekomendacijas</w:t>
      </w:r>
      <w:r w:rsidRPr="0065334E">
        <w:rPr>
          <w:rFonts w:cstheme="minorHAnsi"/>
          <w:sz w:val="24"/>
          <w:szCs w:val="24"/>
          <w:lang w:eastAsia="lt-LT"/>
        </w:rPr>
        <w:t xml:space="preserve"> (toliau – Rekomendacija) dėl Pirkimo dokumentų nuostatų.</w:t>
      </w:r>
    </w:p>
    <w:p w14:paraId="5A79A397" w14:textId="77777777" w:rsidR="001E5070" w:rsidRPr="00DA4A6C" w:rsidRDefault="001E5070" w:rsidP="001E5070">
      <w:pPr>
        <w:pStyle w:val="ListParagraph"/>
        <w:numPr>
          <w:ilvl w:val="3"/>
          <w:numId w:val="1"/>
        </w:numPr>
        <w:tabs>
          <w:tab w:val="left" w:pos="993"/>
        </w:tabs>
        <w:spacing w:after="0" w:line="276" w:lineRule="auto"/>
        <w:ind w:hanging="2236"/>
        <w:rPr>
          <w:rFonts w:cstheme="minorHAnsi"/>
          <w:b/>
          <w:bCs/>
          <w:color w:val="000000"/>
          <w:sz w:val="24"/>
          <w:szCs w:val="24"/>
          <w:shd w:val="clear" w:color="auto" w:fill="FFFFFF"/>
        </w:rPr>
      </w:pPr>
      <w:r w:rsidRPr="00DA4A6C">
        <w:rPr>
          <w:rFonts w:cstheme="minorHAnsi"/>
          <w:b/>
          <w:bCs/>
          <w:color w:val="000000"/>
          <w:sz w:val="24"/>
          <w:szCs w:val="24"/>
          <w:shd w:val="clear" w:color="auto" w:fill="FFFFFF"/>
        </w:rPr>
        <w:t>Dėl skelbime apie pirkimą pateiktos informacijos</w:t>
      </w:r>
    </w:p>
    <w:p w14:paraId="0785C0AF" w14:textId="77777777" w:rsidR="001E5070" w:rsidRPr="00DA53A9" w:rsidRDefault="001E5070" w:rsidP="001E5070">
      <w:pPr>
        <w:pStyle w:val="ListParagraph"/>
        <w:tabs>
          <w:tab w:val="left" w:pos="1134"/>
        </w:tabs>
        <w:spacing w:after="0" w:line="276" w:lineRule="auto"/>
        <w:ind w:left="0" w:firstLine="709"/>
        <w:rPr>
          <w:rFonts w:cstheme="minorHAnsi"/>
          <w:sz w:val="24"/>
          <w:szCs w:val="24"/>
        </w:rPr>
      </w:pPr>
      <w:r w:rsidRPr="00DA53A9">
        <w:rPr>
          <w:rFonts w:cstheme="minorHAnsi"/>
          <w:color w:val="000000"/>
          <w:sz w:val="24"/>
          <w:szCs w:val="24"/>
          <w:shd w:val="clear" w:color="auto" w:fill="FFFFFF"/>
        </w:rPr>
        <w:t xml:space="preserve">Skelbimo apie pirkimą prie </w:t>
      </w:r>
      <w:r>
        <w:rPr>
          <w:rFonts w:cstheme="minorHAnsi"/>
          <w:color w:val="000000"/>
          <w:sz w:val="24"/>
          <w:szCs w:val="24"/>
          <w:shd w:val="clear" w:color="auto" w:fill="FFFFFF"/>
        </w:rPr>
        <w:t>Ž</w:t>
      </w:r>
      <w:r w:rsidRPr="00DA53A9">
        <w:rPr>
          <w:rFonts w:cstheme="minorHAnsi"/>
          <w:color w:val="000000"/>
          <w:sz w:val="24"/>
          <w:szCs w:val="24"/>
          <w:shd w:val="clear" w:color="auto" w:fill="FFFFFF"/>
        </w:rPr>
        <w:t xml:space="preserve">alios informacijos nurodyta, kad aplinkos apsaugos kriterijai nustatyti sutarties vykdymo sąlygose. Įvertinus Pirkimo </w:t>
      </w:r>
      <w:r>
        <w:rPr>
          <w:rFonts w:cstheme="minorHAnsi"/>
          <w:color w:val="000000"/>
          <w:sz w:val="24"/>
          <w:szCs w:val="24"/>
          <w:shd w:val="clear" w:color="auto" w:fill="FFFFFF"/>
        </w:rPr>
        <w:t>dokumentus</w:t>
      </w:r>
      <w:r w:rsidRPr="00DA53A9">
        <w:rPr>
          <w:rFonts w:cstheme="minorHAnsi"/>
          <w:color w:val="000000"/>
          <w:sz w:val="24"/>
          <w:szCs w:val="24"/>
          <w:shd w:val="clear" w:color="auto" w:fill="FFFFFF"/>
        </w:rPr>
        <w:t xml:space="preserve">, nustatyta, kad aplinkos apsaugos kriterijai nustatyti ne tik Sutarties projekte, bet taip pat ir </w:t>
      </w:r>
      <w:r w:rsidRPr="00DA53A9">
        <w:rPr>
          <w:rFonts w:eastAsia="Times New Roman" w:cstheme="minorHAnsi"/>
          <w:kern w:val="2"/>
          <w:sz w:val="24"/>
          <w:szCs w:val="24"/>
          <w:lang w:val="lt"/>
          <w14:ligatures w14:val="standardContextual"/>
        </w:rPr>
        <w:t>Specialiųjų pirkimo sąlygų 8 priede „Tiekėjų kvalifikacijos reikalavimai ir reikalavimai laikytis kokybės vadybos sistemos ir (arba) aplinkos apsaugos vadybos sistemos standartų“. Atsižvelgiant į tai, Tarnyba rekomenduoja</w:t>
      </w:r>
      <w:r>
        <w:rPr>
          <w:rFonts w:eastAsia="Times New Roman" w:cstheme="minorHAnsi"/>
          <w:kern w:val="2"/>
          <w:sz w:val="24"/>
          <w:szCs w:val="24"/>
          <w:lang w:val="lt"/>
          <w14:ligatures w14:val="standardContextual"/>
        </w:rPr>
        <w:t xml:space="preserve"> ateityje vykdant pirkimus</w:t>
      </w:r>
      <w:r w:rsidRPr="00DA53A9">
        <w:rPr>
          <w:rFonts w:eastAsia="Times New Roman" w:cstheme="minorHAnsi"/>
          <w:kern w:val="2"/>
          <w:sz w:val="24"/>
          <w:szCs w:val="24"/>
          <w:lang w:val="lt"/>
          <w14:ligatures w14:val="standardContextual"/>
        </w:rPr>
        <w:t xml:space="preserve"> skelbim</w:t>
      </w:r>
      <w:r>
        <w:rPr>
          <w:rFonts w:eastAsia="Times New Roman" w:cstheme="minorHAnsi"/>
          <w:kern w:val="2"/>
          <w:sz w:val="24"/>
          <w:szCs w:val="24"/>
          <w:lang w:val="lt"/>
          <w14:ligatures w14:val="standardContextual"/>
        </w:rPr>
        <w:t>ų</w:t>
      </w:r>
      <w:r w:rsidRPr="00DA53A9">
        <w:rPr>
          <w:rFonts w:eastAsia="Times New Roman" w:cstheme="minorHAnsi"/>
          <w:kern w:val="2"/>
          <w:sz w:val="24"/>
          <w:szCs w:val="24"/>
          <w:lang w:val="lt"/>
          <w14:ligatures w14:val="standardContextual"/>
        </w:rPr>
        <w:t xml:space="preserve"> apie pirkimą </w:t>
      </w:r>
      <w:r>
        <w:rPr>
          <w:rFonts w:eastAsia="Times New Roman" w:cstheme="minorHAnsi"/>
          <w:kern w:val="2"/>
          <w:sz w:val="24"/>
          <w:szCs w:val="24"/>
          <w:lang w:val="lt"/>
          <w14:ligatures w14:val="standardContextual"/>
        </w:rPr>
        <w:t xml:space="preserve">skiltyje „Žalia informacija“ </w:t>
      </w:r>
      <w:r w:rsidRPr="00DA53A9">
        <w:rPr>
          <w:rFonts w:eastAsia="Times New Roman" w:cstheme="minorHAnsi"/>
          <w:kern w:val="2"/>
          <w:sz w:val="24"/>
          <w:szCs w:val="24"/>
          <w:lang w:val="lt"/>
          <w14:ligatures w14:val="standardContextual"/>
        </w:rPr>
        <w:t>pateikt</w:t>
      </w:r>
      <w:r>
        <w:rPr>
          <w:rFonts w:eastAsia="Times New Roman" w:cstheme="minorHAnsi"/>
          <w:kern w:val="2"/>
          <w:sz w:val="24"/>
          <w:szCs w:val="24"/>
          <w:lang w:val="lt"/>
          <w14:ligatures w14:val="standardContextual"/>
        </w:rPr>
        <w:t>i</w:t>
      </w:r>
      <w:r w:rsidRPr="00DA53A9">
        <w:rPr>
          <w:rFonts w:eastAsia="Times New Roman" w:cstheme="minorHAnsi"/>
          <w:kern w:val="2"/>
          <w:sz w:val="24"/>
          <w:szCs w:val="24"/>
          <w:lang w:val="lt"/>
          <w14:ligatures w14:val="standardContextual"/>
        </w:rPr>
        <w:t xml:space="preserve"> </w:t>
      </w:r>
      <w:r>
        <w:rPr>
          <w:rFonts w:eastAsia="Times New Roman" w:cstheme="minorHAnsi"/>
          <w:kern w:val="2"/>
          <w:sz w:val="24"/>
          <w:szCs w:val="24"/>
          <w:lang w:val="lt"/>
          <w14:ligatures w14:val="standardContextual"/>
        </w:rPr>
        <w:t xml:space="preserve">tikslią </w:t>
      </w:r>
      <w:r w:rsidRPr="00DA53A9">
        <w:rPr>
          <w:rFonts w:eastAsia="Times New Roman" w:cstheme="minorHAnsi"/>
          <w:kern w:val="2"/>
          <w:sz w:val="24"/>
          <w:szCs w:val="24"/>
          <w:lang w:val="lt"/>
          <w14:ligatures w14:val="standardContextual"/>
        </w:rPr>
        <w:t>informaciją</w:t>
      </w:r>
      <w:r>
        <w:rPr>
          <w:rFonts w:eastAsia="Times New Roman" w:cstheme="minorHAnsi"/>
          <w:kern w:val="2"/>
          <w:sz w:val="24"/>
          <w:szCs w:val="24"/>
          <w:lang w:val="lt"/>
          <w14:ligatures w14:val="standardContextual"/>
        </w:rPr>
        <w:t xml:space="preserve"> apie tai, kokiose pirkimo dokumentų dalyse nustatyti aplinkos apsaugos kriterijai.</w:t>
      </w:r>
    </w:p>
    <w:p w14:paraId="313DB179" w14:textId="77777777" w:rsidR="001E5070" w:rsidRPr="002C6AE1" w:rsidRDefault="001E5070" w:rsidP="001E5070">
      <w:pPr>
        <w:pStyle w:val="ListParagraph"/>
        <w:numPr>
          <w:ilvl w:val="0"/>
          <w:numId w:val="1"/>
        </w:numPr>
        <w:tabs>
          <w:tab w:val="left" w:pos="993"/>
        </w:tabs>
        <w:spacing w:after="0" w:line="276" w:lineRule="auto"/>
        <w:ind w:firstLine="349"/>
        <w:jc w:val="both"/>
        <w:textAlignment w:val="baseline"/>
        <w:rPr>
          <w:rFonts w:eastAsia="Times New Roman" w:cstheme="minorHAnsi"/>
          <w:sz w:val="24"/>
          <w:szCs w:val="24"/>
          <w:lang w:eastAsia="lt-LT"/>
        </w:rPr>
      </w:pPr>
      <w:r w:rsidRPr="002C6AE1">
        <w:rPr>
          <w:rFonts w:eastAsia="Times New Roman" w:cstheme="minorHAnsi"/>
          <w:b/>
          <w:bCs/>
          <w:color w:val="000000"/>
          <w:sz w:val="24"/>
          <w:szCs w:val="24"/>
          <w:lang w:eastAsia="lt-LT"/>
        </w:rPr>
        <w:t>Dėl Europos bendrojo viešųjų pirkimų dokumento (toliau – EBVPD)</w:t>
      </w:r>
      <w:r w:rsidRPr="002C6AE1">
        <w:rPr>
          <w:rFonts w:eastAsia="Times New Roman" w:cstheme="minorHAnsi"/>
          <w:color w:val="000000"/>
          <w:sz w:val="24"/>
          <w:szCs w:val="24"/>
          <w:lang w:eastAsia="lt-LT"/>
        </w:rPr>
        <w:t> </w:t>
      </w:r>
    </w:p>
    <w:p w14:paraId="26CE35C4" w14:textId="77777777" w:rsidR="001E5070" w:rsidRPr="002C6AE1" w:rsidRDefault="001E5070" w:rsidP="001E5070">
      <w:pPr>
        <w:spacing w:after="0" w:line="276" w:lineRule="auto"/>
        <w:ind w:firstLine="709"/>
        <w:textAlignment w:val="baseline"/>
        <w:rPr>
          <w:rFonts w:eastAsia="Times New Roman" w:cstheme="minorHAnsi"/>
          <w:sz w:val="24"/>
          <w:szCs w:val="24"/>
          <w:lang w:eastAsia="lt-LT"/>
        </w:rPr>
      </w:pPr>
      <w:r w:rsidRPr="002C6AE1">
        <w:rPr>
          <w:rFonts w:eastAsia="Times New Roman" w:cstheme="minorHAnsi"/>
          <w:color w:val="000000"/>
          <w:sz w:val="24"/>
          <w:szCs w:val="24"/>
          <w:lang w:eastAsia="lt-LT"/>
        </w:rPr>
        <w:t>Pažymėtina, kad EBVPD formoje nurodyti tiekėjų pašalinimo pagrindai turi sutapti su tiekėjų pašalinimo pagrindais, nurodytais Specialiųjų pirkimo sąlygų 2 priedo „Tiekėjų pašalinimo pagrindai“ lentelėje (toliau – Tiekėjų pašalinimo pagrindai). Nagrinėjamu atveju EBVPD esanti informacija nesutampa, pavyzdžiui, EBVPD nėra nurodyti Įstatymo 46 straipsnio 6 dalies 1</w:t>
      </w:r>
      <w:r w:rsidRPr="002C6AE1">
        <w:rPr>
          <w:rFonts w:cstheme="minorHAnsi"/>
          <w:sz w:val="24"/>
          <w:szCs w:val="24"/>
          <w:vertAlign w:val="superscript"/>
          <w:lang w:eastAsia="lt-LT"/>
        </w:rPr>
        <w:footnoteReference w:id="1"/>
      </w:r>
      <w:r w:rsidRPr="002C6AE1">
        <w:rPr>
          <w:rFonts w:eastAsia="Times New Roman" w:cstheme="minorHAnsi"/>
          <w:color w:val="000000"/>
          <w:sz w:val="24"/>
          <w:szCs w:val="24"/>
          <w:lang w:eastAsia="lt-LT"/>
        </w:rPr>
        <w:t xml:space="preserve"> punkto reikalavimai, kurie yra Tiekėjų pašalinimo pagrinduose.</w:t>
      </w:r>
    </w:p>
    <w:p w14:paraId="4FF16CA1" w14:textId="77777777" w:rsidR="001E5070" w:rsidRPr="0038729C" w:rsidRDefault="001E5070" w:rsidP="001E5070">
      <w:pPr>
        <w:spacing w:after="0" w:line="276" w:lineRule="auto"/>
        <w:ind w:firstLine="709"/>
        <w:textAlignment w:val="baseline"/>
        <w:rPr>
          <w:rFonts w:eastAsia="Times New Roman" w:cstheme="minorHAnsi"/>
          <w:sz w:val="24"/>
          <w:szCs w:val="24"/>
          <w:lang w:eastAsia="lt-LT"/>
        </w:rPr>
      </w:pPr>
      <w:r w:rsidRPr="002C6AE1">
        <w:rPr>
          <w:rFonts w:eastAsia="Times New Roman" w:cstheme="minorHAnsi"/>
          <w:sz w:val="24"/>
          <w:szCs w:val="24"/>
          <w:lang w:eastAsia="lt-LT"/>
        </w:rPr>
        <w:t>Atsižvelgiant</w:t>
      </w:r>
      <w:r w:rsidRPr="0038729C">
        <w:rPr>
          <w:rFonts w:eastAsia="Times New Roman" w:cstheme="minorHAnsi"/>
          <w:sz w:val="24"/>
          <w:szCs w:val="24"/>
          <w:lang w:eastAsia="lt-LT"/>
        </w:rPr>
        <w:t xml:space="preserve"> į nurodytą ir vadovaujantis Įstatymo 35 straipsnio 4 dalies nuostata, kad </w:t>
      </w:r>
      <w:r w:rsidRPr="00A52421">
        <w:rPr>
          <w:rFonts w:eastAsia="Times New Roman" w:cstheme="minorHAnsi"/>
          <w:sz w:val="24"/>
          <w:szCs w:val="24"/>
          <w:lang w:eastAsia="lt-LT"/>
        </w:rPr>
        <w:t>„&lt;...&gt; Pirkimo dokumentai turi būti tikslūs, aiškūs, be dviprasmybių &lt;...&gt;</w:t>
      </w:r>
      <w:r w:rsidRPr="0038729C">
        <w:rPr>
          <w:rFonts w:eastAsia="Times New Roman" w:cstheme="minorHAnsi"/>
          <w:sz w:val="24"/>
          <w:szCs w:val="24"/>
          <w:lang w:eastAsia="lt-LT"/>
        </w:rPr>
        <w:t>“, Tarnyba rekomenduoja:</w:t>
      </w:r>
    </w:p>
    <w:p w14:paraId="7BE140D0" w14:textId="77777777" w:rsidR="001E5070" w:rsidRPr="0038729C" w:rsidRDefault="001E5070" w:rsidP="001E5070">
      <w:pPr>
        <w:spacing w:after="0" w:line="276" w:lineRule="auto"/>
        <w:ind w:firstLine="709"/>
        <w:textAlignment w:val="baseline"/>
        <w:rPr>
          <w:rFonts w:eastAsia="Times New Roman" w:cstheme="minorHAnsi"/>
          <w:sz w:val="24"/>
          <w:szCs w:val="24"/>
          <w:lang w:eastAsia="lt-LT"/>
        </w:rPr>
      </w:pPr>
      <w:r w:rsidRPr="0038729C">
        <w:rPr>
          <w:rFonts w:eastAsia="Times New Roman" w:cstheme="minorHAnsi"/>
          <w:sz w:val="24"/>
          <w:szCs w:val="24"/>
          <w:lang w:eastAsia="lt-LT"/>
        </w:rPr>
        <w:t xml:space="preserve">a) </w:t>
      </w:r>
      <w:r>
        <w:rPr>
          <w:rFonts w:eastAsia="Times New Roman" w:cstheme="minorHAnsi"/>
          <w:sz w:val="24"/>
          <w:szCs w:val="24"/>
          <w:lang w:eastAsia="lt-LT"/>
        </w:rPr>
        <w:t xml:space="preserve">arba </w:t>
      </w:r>
      <w:r w:rsidRPr="0038729C">
        <w:rPr>
          <w:rFonts w:eastAsia="Times New Roman" w:cstheme="minorHAnsi"/>
          <w:sz w:val="24"/>
          <w:szCs w:val="24"/>
          <w:lang w:eastAsia="lt-LT"/>
        </w:rPr>
        <w:t xml:space="preserve">patikslinti (pakeisti) EBVPD formą taip, kad ji atitiktų Tiekėjų pašalinimo pagrindus, t. y. EBVPD formoje </w:t>
      </w:r>
      <w:r>
        <w:rPr>
          <w:rFonts w:eastAsia="Times New Roman" w:cstheme="minorHAnsi"/>
          <w:sz w:val="24"/>
          <w:szCs w:val="24"/>
          <w:lang w:eastAsia="lt-LT"/>
        </w:rPr>
        <w:t>nurodyti</w:t>
      </w:r>
      <w:r w:rsidRPr="0038729C">
        <w:rPr>
          <w:rFonts w:eastAsia="Times New Roman" w:cstheme="minorHAnsi"/>
          <w:sz w:val="24"/>
          <w:szCs w:val="24"/>
          <w:lang w:eastAsia="lt-LT"/>
        </w:rPr>
        <w:t xml:space="preserve"> </w:t>
      </w:r>
      <w:r w:rsidRPr="0038729C">
        <w:rPr>
          <w:rFonts w:eastAsia="Times New Roman" w:cstheme="minorHAnsi"/>
          <w:color w:val="000000"/>
          <w:sz w:val="24"/>
          <w:szCs w:val="24"/>
          <w:lang w:eastAsia="lt-LT"/>
        </w:rPr>
        <w:t xml:space="preserve">Įstatymo 46 straipsnio 6 dalies </w:t>
      </w:r>
      <w:r>
        <w:rPr>
          <w:rFonts w:eastAsia="Times New Roman" w:cstheme="minorHAnsi"/>
          <w:color w:val="000000"/>
          <w:sz w:val="24"/>
          <w:szCs w:val="24"/>
          <w:lang w:eastAsia="lt-LT"/>
        </w:rPr>
        <w:t>1</w:t>
      </w:r>
      <w:r w:rsidRPr="0038729C">
        <w:rPr>
          <w:rFonts w:eastAsia="Times New Roman" w:cstheme="minorHAnsi"/>
          <w:color w:val="000000"/>
          <w:sz w:val="24"/>
          <w:szCs w:val="24"/>
          <w:lang w:eastAsia="lt-LT"/>
        </w:rPr>
        <w:t xml:space="preserve"> punkto reikalavim</w:t>
      </w:r>
      <w:r>
        <w:rPr>
          <w:rFonts w:eastAsia="Times New Roman" w:cstheme="minorHAnsi"/>
          <w:color w:val="000000"/>
          <w:sz w:val="24"/>
          <w:szCs w:val="24"/>
          <w:lang w:eastAsia="lt-LT"/>
        </w:rPr>
        <w:t>us</w:t>
      </w:r>
      <w:r w:rsidRPr="0038729C">
        <w:rPr>
          <w:rFonts w:eastAsia="Times New Roman" w:cstheme="minorHAnsi"/>
          <w:color w:val="000000"/>
          <w:sz w:val="24"/>
          <w:szCs w:val="24"/>
          <w:lang w:eastAsia="lt-LT"/>
        </w:rPr>
        <w:t>;</w:t>
      </w:r>
    </w:p>
    <w:p w14:paraId="0B807416" w14:textId="77777777" w:rsidR="001E5070" w:rsidRPr="0038729C" w:rsidRDefault="001E5070" w:rsidP="001E5070">
      <w:pPr>
        <w:spacing w:after="0" w:line="276" w:lineRule="auto"/>
        <w:ind w:firstLine="709"/>
        <w:textAlignment w:val="baseline"/>
        <w:rPr>
          <w:rFonts w:eastAsia="Times New Roman" w:cstheme="minorHAnsi"/>
          <w:sz w:val="24"/>
          <w:szCs w:val="24"/>
          <w:lang w:eastAsia="lt-LT"/>
        </w:rPr>
      </w:pPr>
      <w:r w:rsidRPr="0038729C">
        <w:rPr>
          <w:rFonts w:eastAsia="Times New Roman" w:cstheme="minorHAnsi"/>
          <w:sz w:val="24"/>
          <w:szCs w:val="24"/>
          <w:lang w:eastAsia="lt-LT"/>
        </w:rPr>
        <w:t xml:space="preserve">b) arba patikslinti Tiekėjų pašalinimo pagrindus </w:t>
      </w:r>
      <w:r>
        <w:rPr>
          <w:rFonts w:eastAsia="Times New Roman" w:cstheme="minorHAnsi"/>
          <w:sz w:val="24"/>
          <w:szCs w:val="24"/>
          <w:lang w:eastAsia="lt-LT"/>
        </w:rPr>
        <w:t>atsisakant</w:t>
      </w:r>
      <w:r w:rsidRPr="0038729C">
        <w:rPr>
          <w:rFonts w:eastAsia="Times New Roman" w:cstheme="minorHAnsi"/>
          <w:sz w:val="24"/>
          <w:szCs w:val="24"/>
          <w:lang w:eastAsia="lt-LT"/>
        </w:rPr>
        <w:t xml:space="preserve"> Įstatymo</w:t>
      </w:r>
      <w:r w:rsidRPr="0038729C">
        <w:rPr>
          <w:rFonts w:eastAsia="Times New Roman" w:cstheme="minorHAnsi"/>
          <w:color w:val="000000"/>
          <w:sz w:val="24"/>
          <w:szCs w:val="24"/>
          <w:lang w:eastAsia="lt-LT"/>
        </w:rPr>
        <w:t xml:space="preserve"> 46 straipsnio 6 dalies </w:t>
      </w:r>
      <w:r>
        <w:rPr>
          <w:rFonts w:eastAsia="Times New Roman" w:cstheme="minorHAnsi"/>
          <w:color w:val="000000"/>
          <w:sz w:val="24"/>
          <w:szCs w:val="24"/>
          <w:lang w:eastAsia="lt-LT"/>
        </w:rPr>
        <w:t>1</w:t>
      </w:r>
      <w:r w:rsidRPr="0038729C">
        <w:rPr>
          <w:rFonts w:eastAsia="Times New Roman" w:cstheme="minorHAnsi"/>
          <w:color w:val="000000"/>
          <w:sz w:val="24"/>
          <w:szCs w:val="24"/>
          <w:lang w:eastAsia="lt-LT"/>
        </w:rPr>
        <w:t xml:space="preserve"> punkt</w:t>
      </w:r>
      <w:r>
        <w:rPr>
          <w:rFonts w:eastAsia="Times New Roman" w:cstheme="minorHAnsi"/>
          <w:color w:val="000000"/>
          <w:sz w:val="24"/>
          <w:szCs w:val="24"/>
          <w:lang w:eastAsia="lt-LT"/>
        </w:rPr>
        <w:t>o</w:t>
      </w:r>
      <w:r w:rsidRPr="0038729C">
        <w:rPr>
          <w:rFonts w:eastAsia="Times New Roman" w:cstheme="minorHAnsi"/>
          <w:color w:val="000000"/>
          <w:sz w:val="24"/>
          <w:szCs w:val="24"/>
          <w:lang w:eastAsia="lt-LT"/>
        </w:rPr>
        <w:t>.</w:t>
      </w:r>
    </w:p>
    <w:p w14:paraId="59F221AB" w14:textId="77777777" w:rsidR="001E5070" w:rsidRPr="00C26135" w:rsidRDefault="001E5070" w:rsidP="001E5070">
      <w:pPr>
        <w:pStyle w:val="ListParagraph"/>
        <w:numPr>
          <w:ilvl w:val="0"/>
          <w:numId w:val="1"/>
        </w:numPr>
        <w:tabs>
          <w:tab w:val="left" w:pos="993"/>
        </w:tabs>
        <w:spacing w:after="0" w:line="276" w:lineRule="auto"/>
        <w:ind w:firstLine="349"/>
        <w:rPr>
          <w:rFonts w:cstheme="minorHAnsi"/>
          <w:b/>
          <w:bCs/>
          <w:sz w:val="24"/>
          <w:szCs w:val="24"/>
        </w:rPr>
      </w:pPr>
      <w:r w:rsidRPr="00C26135">
        <w:rPr>
          <w:rFonts w:cstheme="minorHAnsi"/>
          <w:b/>
          <w:bCs/>
          <w:sz w:val="24"/>
          <w:szCs w:val="24"/>
        </w:rPr>
        <w:t>Dėl tiekėjų kvalifikacijos reikalavimų</w:t>
      </w:r>
    </w:p>
    <w:p w14:paraId="3902875F" w14:textId="77777777" w:rsidR="001E5070" w:rsidRDefault="001E5070" w:rsidP="001E5070">
      <w:pPr>
        <w:spacing w:after="0" w:line="276" w:lineRule="auto"/>
        <w:ind w:firstLine="709"/>
        <w:rPr>
          <w:rFonts w:eastAsia="Arial" w:cstheme="minorHAnsi"/>
          <w:bCs/>
          <w:sz w:val="24"/>
          <w:szCs w:val="24"/>
        </w:rPr>
      </w:pPr>
      <w:r w:rsidRPr="000844FB">
        <w:rPr>
          <w:rFonts w:eastAsia="Times New Roman" w:cstheme="minorHAnsi"/>
          <w:kern w:val="2"/>
          <w:sz w:val="24"/>
          <w:szCs w:val="24"/>
          <w:lang w:val="lt"/>
          <w14:ligatures w14:val="standardContextual"/>
        </w:rPr>
        <w:lastRenderedPageBreak/>
        <w:t>Specialiųjų pirkimo sąlygų 8 priedo „Tiekėjų kvalifikacijos reikalavimai ir reikalavimai laikytis kokybės vadybos sistemos ir (arba) aplinkos apsaugos vadybos sistemos standartų“ 4 punkte nustatyta, kad „</w:t>
      </w:r>
      <w:r>
        <w:rPr>
          <w:rFonts w:eastAsia="Arial" w:cstheme="minorHAnsi"/>
          <w:i/>
          <w:iCs/>
          <w:sz w:val="24"/>
          <w:szCs w:val="24"/>
        </w:rPr>
        <w:t>&lt;...&gt;</w:t>
      </w:r>
      <w:r w:rsidRPr="000844FB">
        <w:rPr>
          <w:rFonts w:eastAsia="Arial" w:cstheme="minorHAnsi"/>
          <w:i/>
          <w:iCs/>
          <w:sz w:val="24"/>
          <w:szCs w:val="24"/>
        </w:rPr>
        <w:t xml:space="preserve"> </w:t>
      </w:r>
      <w:bookmarkStart w:id="0" w:name="_Hlk160194478"/>
      <w:r w:rsidRPr="00A52421">
        <w:rPr>
          <w:rFonts w:eastAsia="Arial" w:cstheme="minorHAnsi"/>
          <w:sz w:val="24"/>
          <w:szCs w:val="24"/>
        </w:rPr>
        <w:t xml:space="preserve">užsienio šalies </w:t>
      </w:r>
      <w:r w:rsidRPr="00A52421">
        <w:rPr>
          <w:rFonts w:eastAsia="Arial" w:cstheme="minorHAnsi"/>
          <w:b/>
          <w:bCs/>
          <w:sz w:val="24"/>
          <w:szCs w:val="24"/>
        </w:rPr>
        <w:t>tiekėjas</w:t>
      </w:r>
      <w:r w:rsidRPr="00A52421">
        <w:rPr>
          <w:rFonts w:eastAsia="Arial" w:cstheme="minorHAnsi"/>
          <w:sz w:val="24"/>
          <w:szCs w:val="24"/>
        </w:rPr>
        <w:t xml:space="preserve"> </w:t>
      </w:r>
      <w:r w:rsidRPr="00A52421">
        <w:rPr>
          <w:rFonts w:eastAsia="Arial" w:cstheme="minorHAnsi"/>
          <w:b/>
          <w:bCs/>
          <w:sz w:val="24"/>
          <w:szCs w:val="24"/>
        </w:rPr>
        <w:t>turi pareigą</w:t>
      </w:r>
      <w:r w:rsidRPr="00A52421">
        <w:rPr>
          <w:rFonts w:eastAsia="Arial" w:cstheme="minorHAnsi"/>
          <w:sz w:val="24"/>
          <w:szCs w:val="24"/>
        </w:rPr>
        <w:t xml:space="preserve"> per protingą laiką </w:t>
      </w:r>
      <w:r w:rsidRPr="00A52421">
        <w:rPr>
          <w:rFonts w:eastAsia="Arial" w:cstheme="minorHAnsi"/>
          <w:b/>
          <w:bCs/>
          <w:sz w:val="24"/>
          <w:szCs w:val="24"/>
        </w:rPr>
        <w:t>kreiptis</w:t>
      </w:r>
      <w:r w:rsidRPr="00A52421">
        <w:rPr>
          <w:rFonts w:eastAsia="Arial" w:cstheme="minorHAnsi"/>
          <w:sz w:val="24"/>
          <w:szCs w:val="24"/>
        </w:rPr>
        <w:t xml:space="preserve"> į atitinkamą Lietuvos Respublikos instituciją </w:t>
      </w:r>
      <w:r w:rsidRPr="00A52421">
        <w:rPr>
          <w:rFonts w:eastAsia="Arial" w:cstheme="minorHAnsi"/>
          <w:b/>
          <w:bCs/>
          <w:sz w:val="24"/>
          <w:szCs w:val="24"/>
        </w:rPr>
        <w:t>dėl teisės pripažinimo dokumento išdavimo</w:t>
      </w:r>
      <w:bookmarkEnd w:id="0"/>
      <w:r w:rsidRPr="000844FB">
        <w:rPr>
          <w:rFonts w:eastAsia="Arial" w:cstheme="minorHAnsi"/>
          <w:i/>
          <w:iCs/>
          <w:sz w:val="24"/>
          <w:szCs w:val="24"/>
        </w:rPr>
        <w:t xml:space="preserve">. </w:t>
      </w:r>
      <w:r>
        <w:rPr>
          <w:rFonts w:eastAsia="Arial" w:cstheme="minorHAnsi"/>
          <w:i/>
          <w:iCs/>
          <w:sz w:val="24"/>
          <w:szCs w:val="24"/>
        </w:rPr>
        <w:t xml:space="preserve">&lt;...&gt; </w:t>
      </w:r>
      <w:r w:rsidRPr="000844FB">
        <w:rPr>
          <w:rFonts w:eastAsia="Arial" w:cstheme="minorHAnsi"/>
          <w:sz w:val="24"/>
          <w:szCs w:val="24"/>
        </w:rPr>
        <w:t xml:space="preserve">“. </w:t>
      </w:r>
      <w:r>
        <w:rPr>
          <w:rFonts w:eastAsia="Arial" w:cstheme="minorHAnsi"/>
          <w:sz w:val="24"/>
          <w:szCs w:val="24"/>
        </w:rPr>
        <w:t xml:space="preserve">Atkreiptinas dėmesys, kad </w:t>
      </w:r>
      <w:r w:rsidRPr="00843018">
        <w:rPr>
          <w:rFonts w:eastAsia="Arial" w:cstheme="minorHAnsi"/>
          <w:sz w:val="24"/>
          <w:szCs w:val="24"/>
          <w:lang w:val="lt"/>
        </w:rPr>
        <w:t>Tiekėjų kvalifikacijos reikalavim</w:t>
      </w:r>
      <w:r>
        <w:rPr>
          <w:rFonts w:eastAsia="Arial" w:cstheme="minorHAnsi"/>
          <w:sz w:val="24"/>
          <w:szCs w:val="24"/>
          <w:lang w:val="lt"/>
        </w:rPr>
        <w:t xml:space="preserve">ų 1.1 p. nustatytas reikalavimas ne tiekėjui, o </w:t>
      </w:r>
      <w:r w:rsidRPr="004B5592">
        <w:rPr>
          <w:rFonts w:eastAsia="Arial" w:cstheme="minorHAnsi"/>
          <w:b/>
          <w:bCs/>
          <w:sz w:val="24"/>
          <w:szCs w:val="24"/>
          <w:lang w:val="lt"/>
        </w:rPr>
        <w:t>specialistui</w:t>
      </w:r>
      <w:r>
        <w:rPr>
          <w:rFonts w:eastAsia="Arial" w:cstheme="minorHAnsi"/>
          <w:sz w:val="24"/>
          <w:szCs w:val="24"/>
          <w:lang w:val="lt"/>
        </w:rPr>
        <w:t xml:space="preserve">, taip pat </w:t>
      </w:r>
      <w:r w:rsidRPr="00A52421">
        <w:rPr>
          <w:rFonts w:eastAsia="Arial" w:cstheme="minorHAnsi"/>
          <w:sz w:val="24"/>
          <w:szCs w:val="24"/>
        </w:rPr>
        <w:t>n</w:t>
      </w:r>
      <w:r w:rsidRPr="00A52421">
        <w:rPr>
          <w:rFonts w:eastAsia="Arial" w:cstheme="minorHAnsi"/>
          <w:bCs/>
          <w:sz w:val="24"/>
          <w:szCs w:val="24"/>
        </w:rPr>
        <w:t>esudėtingojo</w:t>
      </w:r>
      <w:r w:rsidRPr="00843018">
        <w:rPr>
          <w:rFonts w:eastAsia="Arial" w:cstheme="minorHAnsi"/>
          <w:bCs/>
          <w:sz w:val="24"/>
          <w:szCs w:val="24"/>
        </w:rPr>
        <w:t xml:space="preserve"> statinio statybos vadovui (ir Lietuvos Respublikos, ir užsienio šalių (neišskiriant trečiųjų šalių) specialistams) pakanka turėti architekto ar statybos inžinieriaus išsilavinimą</w:t>
      </w:r>
      <w:r>
        <w:rPr>
          <w:rStyle w:val="FootnoteReference"/>
          <w:rFonts w:eastAsia="Arial" w:cstheme="minorHAnsi"/>
          <w:bCs/>
          <w:sz w:val="24"/>
          <w:szCs w:val="24"/>
        </w:rPr>
        <w:footnoteReference w:id="2"/>
      </w:r>
      <w:r w:rsidRPr="00843018">
        <w:rPr>
          <w:rFonts w:eastAsia="Arial" w:cstheme="minorHAnsi"/>
          <w:bCs/>
          <w:sz w:val="24"/>
          <w:szCs w:val="24"/>
        </w:rPr>
        <w:t xml:space="preserve"> ir pateikti išsilavinimą liudijančių diplomų kopijas. Tokiu atveju nėra pareigos kreiptis į VšĮ Statybos sektoriaus vystymo agentūrą dėl teisės pripažinimo dokumento ir pan., kadangi vertinamas tik siūlomo specialisto išsilavinimas. Tiekėjai turi teisę, </w:t>
      </w:r>
      <w:r w:rsidRPr="00A52421">
        <w:rPr>
          <w:rFonts w:eastAsia="Arial" w:cstheme="minorHAnsi"/>
          <w:b/>
          <w:sz w:val="24"/>
          <w:szCs w:val="24"/>
        </w:rPr>
        <w:t>bet ne pareigą</w:t>
      </w:r>
      <w:r w:rsidRPr="00843018">
        <w:rPr>
          <w:rFonts w:eastAsia="Arial" w:cstheme="minorHAnsi"/>
          <w:bCs/>
          <w:sz w:val="24"/>
          <w:szCs w:val="24"/>
        </w:rPr>
        <w:t>, pateikti siūlomo specialisto dokumentus (atestatus ir teisės pripažinimo dokumentus</w:t>
      </w:r>
      <w:r>
        <w:rPr>
          <w:rFonts w:eastAsia="Arial" w:cstheme="minorHAnsi"/>
          <w:bCs/>
          <w:sz w:val="24"/>
          <w:szCs w:val="24"/>
        </w:rPr>
        <w:t>, jei tokius turi)</w:t>
      </w:r>
      <w:r w:rsidRPr="00843018">
        <w:rPr>
          <w:rFonts w:eastAsia="Arial" w:cstheme="minorHAnsi"/>
          <w:bCs/>
          <w:sz w:val="24"/>
          <w:szCs w:val="24"/>
        </w:rPr>
        <w:t xml:space="preserve"> įrodančius aukštesnę nei nesudėtingojo statinio statybos vadovo kvalifikaciją.</w:t>
      </w:r>
    </w:p>
    <w:p w14:paraId="311010B8" w14:textId="77777777" w:rsidR="001E5070" w:rsidRDefault="001E5070" w:rsidP="001E5070">
      <w:pPr>
        <w:spacing w:after="0" w:line="276" w:lineRule="auto"/>
        <w:ind w:firstLine="709"/>
        <w:rPr>
          <w:rFonts w:eastAsia="Arial" w:cstheme="minorHAnsi"/>
          <w:bCs/>
          <w:sz w:val="24"/>
          <w:szCs w:val="24"/>
        </w:rPr>
      </w:pPr>
      <w:r w:rsidRPr="008E788D">
        <w:rPr>
          <w:rFonts w:eastAsia="Arial" w:cstheme="minorHAnsi"/>
          <w:bCs/>
          <w:sz w:val="24"/>
          <w:szCs w:val="24"/>
        </w:rPr>
        <w:t>Atsižvelgdama į tai, kas nurodyta, Tarnyba rekomenduoja aukščiau nurodyt</w:t>
      </w:r>
      <w:r>
        <w:rPr>
          <w:rFonts w:eastAsia="Arial" w:cstheme="minorHAnsi"/>
          <w:bCs/>
          <w:sz w:val="24"/>
          <w:szCs w:val="24"/>
        </w:rPr>
        <w:t>o 4 punkto informaciją</w:t>
      </w:r>
      <w:r w:rsidRPr="008E788D">
        <w:rPr>
          <w:rFonts w:eastAsia="Arial" w:cstheme="minorHAnsi"/>
          <w:bCs/>
          <w:sz w:val="24"/>
          <w:szCs w:val="24"/>
        </w:rPr>
        <w:t xml:space="preserve"> patikslinti / pakeisti, atsižvelgiant į pateiktas pastabas</w:t>
      </w:r>
      <w:r>
        <w:rPr>
          <w:rFonts w:eastAsia="Arial" w:cstheme="minorHAnsi"/>
          <w:bCs/>
          <w:sz w:val="24"/>
          <w:szCs w:val="24"/>
        </w:rPr>
        <w:t>.</w:t>
      </w:r>
    </w:p>
    <w:p w14:paraId="505E2814" w14:textId="526FC955" w:rsidR="001E5070" w:rsidRPr="00EC264B" w:rsidRDefault="006A2543" w:rsidP="001E5070">
      <w:pPr>
        <w:spacing w:after="0" w:line="276" w:lineRule="auto"/>
        <w:ind w:firstLine="709"/>
        <w:rPr>
          <w:rFonts w:eastAsia="Arial Unicode MS" w:cstheme="minorHAnsi"/>
          <w:b/>
          <w:bCs/>
          <w:sz w:val="24"/>
          <w:szCs w:val="24"/>
          <w:bdr w:val="none" w:sz="0" w:space="0" w:color="auto" w:frame="1"/>
        </w:rPr>
      </w:pPr>
      <w:r>
        <w:rPr>
          <w:rFonts w:eastAsia="Arial Unicode MS" w:cstheme="minorHAnsi"/>
          <w:b/>
          <w:bCs/>
          <w:sz w:val="24"/>
          <w:szCs w:val="24"/>
          <w:bdr w:val="none" w:sz="0" w:space="0" w:color="auto" w:frame="1"/>
        </w:rPr>
        <w:t>4.</w:t>
      </w:r>
      <w:r w:rsidR="001E5070" w:rsidRPr="00EC264B">
        <w:rPr>
          <w:rFonts w:eastAsia="Arial Unicode MS" w:cstheme="minorHAnsi"/>
          <w:b/>
          <w:bCs/>
          <w:sz w:val="24"/>
          <w:szCs w:val="24"/>
          <w:bdr w:val="none" w:sz="0" w:space="0" w:color="auto" w:frame="1"/>
        </w:rPr>
        <w:t>Dėl pirkimo sąlygų</w:t>
      </w:r>
      <w:r w:rsidR="001E5070">
        <w:rPr>
          <w:rFonts w:eastAsia="Arial Unicode MS" w:cstheme="minorHAnsi"/>
          <w:b/>
          <w:bCs/>
          <w:sz w:val="24"/>
          <w:szCs w:val="24"/>
          <w:bdr w:val="none" w:sz="0" w:space="0" w:color="auto" w:frame="1"/>
        </w:rPr>
        <w:t xml:space="preserve"> bei pagrindinės sutarties projekto nuostatų</w:t>
      </w:r>
    </w:p>
    <w:p w14:paraId="47345AD0" w14:textId="77777777" w:rsidR="001E5070" w:rsidRPr="008E6530" w:rsidRDefault="001E5070" w:rsidP="001E5070">
      <w:pPr>
        <w:tabs>
          <w:tab w:val="num" w:pos="567"/>
          <w:tab w:val="left" w:pos="993"/>
        </w:tabs>
        <w:spacing w:after="0" w:line="276" w:lineRule="auto"/>
        <w:ind w:firstLine="709"/>
        <w:rPr>
          <w:rFonts w:eastAsia="Arial Unicode MS" w:cstheme="minorHAnsi"/>
          <w:sz w:val="24"/>
          <w:szCs w:val="24"/>
          <w:bdr w:val="none" w:sz="0" w:space="0" w:color="auto" w:frame="1"/>
        </w:rPr>
      </w:pPr>
      <w:r>
        <w:rPr>
          <w:rFonts w:eastAsia="Times New Roman" w:cstheme="minorHAnsi"/>
          <w:kern w:val="2"/>
          <w:sz w:val="24"/>
          <w:szCs w:val="24"/>
          <w:lang w:val="lt"/>
          <w14:ligatures w14:val="standardContextual"/>
        </w:rPr>
        <w:t xml:space="preserve">4.1. </w:t>
      </w:r>
      <w:r w:rsidRPr="008E6530">
        <w:rPr>
          <w:rFonts w:eastAsia="Times New Roman" w:cstheme="minorHAnsi"/>
          <w:kern w:val="2"/>
          <w:sz w:val="24"/>
          <w:szCs w:val="24"/>
          <w:lang w:val="lt"/>
          <w14:ligatures w14:val="standardContextual"/>
        </w:rPr>
        <w:t xml:space="preserve">Specialiųjų pirkimo sąlygų 10.1 punkto pastaboje nustatyta, kad </w:t>
      </w:r>
      <w:r w:rsidRPr="008E6530">
        <w:rPr>
          <w:rFonts w:cstheme="minorHAnsi"/>
          <w:sz w:val="24"/>
          <w:szCs w:val="24"/>
        </w:rPr>
        <w:t>„</w:t>
      </w:r>
      <w:r w:rsidRPr="00780AF4">
        <w:rPr>
          <w:rFonts w:cstheme="minorHAnsi"/>
          <w:sz w:val="24"/>
          <w:szCs w:val="24"/>
        </w:rPr>
        <w:t xml:space="preserve">tiekėjui specialiųjų pirkimo sąlygų 7 priedo „Sutarties projektas“ </w:t>
      </w:r>
      <w:r w:rsidRPr="00780AF4">
        <w:rPr>
          <w:rFonts w:eastAsia="Times New Roman" w:cstheme="minorHAnsi"/>
          <w:spacing w:val="-3"/>
          <w:sz w:val="24"/>
          <w:szCs w:val="24"/>
        </w:rPr>
        <w:t>15.4.2 ir 15.4.3 papunkčiuose pateikiamų priedų (t. y. „</w:t>
      </w:r>
      <w:r w:rsidRPr="00780AF4">
        <w:rPr>
          <w:rFonts w:cstheme="minorHAnsi"/>
          <w:sz w:val="24"/>
          <w:szCs w:val="24"/>
        </w:rPr>
        <w:t>Veiklų sąrašas“ ir „</w:t>
      </w:r>
      <w:r w:rsidRPr="00780AF4">
        <w:rPr>
          <w:rFonts w:eastAsia="Times New Roman" w:cstheme="minorHAnsi"/>
          <w:spacing w:val="-3"/>
          <w:sz w:val="24"/>
          <w:szCs w:val="24"/>
        </w:rPr>
        <w:t xml:space="preserve">Darbų kiekių žiniaraščio“) </w:t>
      </w:r>
      <w:r w:rsidRPr="00780AF4">
        <w:rPr>
          <w:rFonts w:cstheme="minorHAnsi"/>
          <w:sz w:val="24"/>
          <w:szCs w:val="24"/>
        </w:rPr>
        <w:t xml:space="preserve">užpildyti ir pateikti kartu su pasiūlymu nereikia. </w:t>
      </w:r>
      <w:r w:rsidRPr="00780AF4">
        <w:rPr>
          <w:rFonts w:cstheme="minorHAnsi"/>
          <w:b/>
          <w:bCs/>
          <w:sz w:val="24"/>
          <w:szCs w:val="24"/>
          <w:u w:val="single"/>
        </w:rPr>
        <w:t xml:space="preserve">Veiklų sąrašas ir </w:t>
      </w:r>
      <w:r w:rsidRPr="00780AF4">
        <w:rPr>
          <w:rFonts w:eastAsia="Times New Roman" w:cstheme="minorHAnsi"/>
          <w:b/>
          <w:bCs/>
          <w:spacing w:val="-3"/>
          <w:sz w:val="24"/>
          <w:szCs w:val="24"/>
          <w:u w:val="single"/>
        </w:rPr>
        <w:t xml:space="preserve">Darbų kiekių žiniaraštis </w:t>
      </w:r>
      <w:r w:rsidRPr="00780AF4">
        <w:rPr>
          <w:rFonts w:cstheme="minorHAnsi"/>
          <w:b/>
          <w:bCs/>
          <w:sz w:val="24"/>
          <w:szCs w:val="24"/>
          <w:u w:val="single"/>
        </w:rPr>
        <w:t>pildomas</w:t>
      </w:r>
      <w:r w:rsidRPr="00780AF4">
        <w:rPr>
          <w:rFonts w:cstheme="minorHAnsi"/>
          <w:b/>
          <w:bCs/>
          <w:sz w:val="24"/>
          <w:szCs w:val="24"/>
        </w:rPr>
        <w:t xml:space="preserve"> </w:t>
      </w:r>
      <w:r w:rsidRPr="00780AF4">
        <w:rPr>
          <w:rFonts w:cstheme="minorHAnsi"/>
          <w:sz w:val="24"/>
          <w:szCs w:val="24"/>
        </w:rPr>
        <w:t xml:space="preserve">laimėtojo </w:t>
      </w:r>
      <w:r w:rsidRPr="00780AF4">
        <w:rPr>
          <w:rFonts w:cstheme="minorHAnsi"/>
          <w:b/>
          <w:bCs/>
          <w:sz w:val="24"/>
          <w:szCs w:val="24"/>
          <w:u w:val="single"/>
        </w:rPr>
        <w:t>prieš pasirašant pirkimo sutartį</w:t>
      </w:r>
      <w:r w:rsidRPr="008E6530">
        <w:rPr>
          <w:rFonts w:cstheme="minorHAnsi"/>
          <w:sz w:val="24"/>
          <w:szCs w:val="24"/>
        </w:rPr>
        <w:t>“.</w:t>
      </w:r>
      <w:r>
        <w:rPr>
          <w:rFonts w:cstheme="minorHAnsi"/>
          <w:sz w:val="24"/>
          <w:szCs w:val="24"/>
        </w:rPr>
        <w:t xml:space="preserve"> Specialiųjų pirkimo sąlygų 7 priedo „Sutarties projektas“ (toliau – Sutarties projektas) 4.8 punkte nurodyta „</w:t>
      </w:r>
      <w:r w:rsidRPr="00344DBF">
        <w:rPr>
          <w:rFonts w:cstheme="minorHAnsi"/>
          <w:sz w:val="24"/>
          <w:szCs w:val="24"/>
        </w:rPr>
        <w:t xml:space="preserve">Rangovas per 5 darbo dienas nuo Sutarties pasirašymo, </w:t>
      </w:r>
      <w:r w:rsidRPr="00780AF4">
        <w:rPr>
          <w:rFonts w:cstheme="minorHAnsi"/>
          <w:b/>
          <w:bCs/>
          <w:sz w:val="24"/>
          <w:szCs w:val="24"/>
        </w:rPr>
        <w:t>privalo pateikti</w:t>
      </w:r>
      <w:r w:rsidRPr="00344DBF">
        <w:rPr>
          <w:rFonts w:cstheme="minorHAnsi"/>
          <w:sz w:val="24"/>
          <w:szCs w:val="24"/>
        </w:rPr>
        <w:t xml:space="preserve"> Užsakovui Statybos darbų atlikimo ir Lėšų įsisavinimo grafikus</w:t>
      </w:r>
      <w:r>
        <w:rPr>
          <w:rFonts w:cstheme="minorHAnsi"/>
          <w:sz w:val="24"/>
          <w:szCs w:val="24"/>
        </w:rPr>
        <w:t>“</w:t>
      </w:r>
      <w:r w:rsidRPr="00344DBF">
        <w:rPr>
          <w:rFonts w:cstheme="minorHAnsi"/>
          <w:sz w:val="24"/>
          <w:szCs w:val="24"/>
        </w:rPr>
        <w:t>.</w:t>
      </w:r>
      <w:r>
        <w:rPr>
          <w:rFonts w:cstheme="minorHAnsi"/>
          <w:sz w:val="24"/>
          <w:szCs w:val="24"/>
        </w:rPr>
        <w:t xml:space="preserve"> Tarnyba atkreipia dėmesį į tai, kad tiekėjas pildyti minėtus dokumentus gali kada nori, tačiau šiuo atveju yra svarbu ne pildymo, bet jų pateikimo Perkančiajai organizacijai aiškiai nustatytas momentas. Atsižvelgiant į tai,</w:t>
      </w:r>
      <w:r w:rsidRPr="008E6530">
        <w:rPr>
          <w:rFonts w:cstheme="minorHAnsi"/>
          <w:sz w:val="24"/>
          <w:szCs w:val="24"/>
        </w:rPr>
        <w:t xml:space="preserve"> Tarnyba </w:t>
      </w:r>
      <w:r>
        <w:rPr>
          <w:rFonts w:cstheme="minorHAnsi"/>
          <w:sz w:val="24"/>
          <w:szCs w:val="24"/>
        </w:rPr>
        <w:t>rekomenduoja Pirkimo dokumentuose tiksliai nurodyti</w:t>
      </w:r>
      <w:r w:rsidRPr="008E6530">
        <w:rPr>
          <w:rFonts w:cstheme="minorHAnsi"/>
          <w:sz w:val="24"/>
          <w:szCs w:val="24"/>
        </w:rPr>
        <w:t>, kada turi būti pateikiamas Perkančiajai organizacijai užpildytas Veiklų sąrašas ir Darbų kiekių žiniaraštis</w:t>
      </w:r>
      <w:r>
        <w:rPr>
          <w:rFonts w:cstheme="minorHAnsi"/>
          <w:sz w:val="24"/>
          <w:szCs w:val="24"/>
        </w:rPr>
        <w:t>.</w:t>
      </w:r>
      <w:r w:rsidRPr="008E6530">
        <w:rPr>
          <w:rFonts w:cstheme="minorHAnsi"/>
          <w:sz w:val="24"/>
          <w:szCs w:val="24"/>
        </w:rPr>
        <w:t xml:space="preserve"> T</w:t>
      </w:r>
      <w:r>
        <w:rPr>
          <w:rFonts w:cstheme="minorHAnsi"/>
          <w:sz w:val="24"/>
          <w:szCs w:val="24"/>
        </w:rPr>
        <w:t xml:space="preserve">arnyba taip pat </w:t>
      </w:r>
      <w:r w:rsidRPr="008E6530">
        <w:rPr>
          <w:rFonts w:cstheme="minorHAnsi"/>
          <w:sz w:val="24"/>
          <w:szCs w:val="24"/>
        </w:rPr>
        <w:t xml:space="preserve">prašo paaiškinti, ar Sutarties projekto 5.1 punkte nurodytas </w:t>
      </w:r>
      <w:r>
        <w:rPr>
          <w:rFonts w:cstheme="minorHAnsi"/>
          <w:sz w:val="24"/>
          <w:szCs w:val="24"/>
        </w:rPr>
        <w:t>„</w:t>
      </w:r>
      <w:r w:rsidRPr="008E6530">
        <w:rPr>
          <w:rFonts w:cstheme="minorHAnsi"/>
          <w:sz w:val="24"/>
          <w:szCs w:val="24"/>
        </w:rPr>
        <w:t>Veiklų sąraše pateiktas grafikas</w:t>
      </w:r>
      <w:r>
        <w:rPr>
          <w:rFonts w:cstheme="minorHAnsi"/>
          <w:sz w:val="24"/>
          <w:szCs w:val="24"/>
        </w:rPr>
        <w:t>“</w:t>
      </w:r>
      <w:r>
        <w:rPr>
          <w:rStyle w:val="FootnoteReference"/>
          <w:rFonts w:cstheme="minorHAnsi"/>
          <w:sz w:val="24"/>
          <w:szCs w:val="24"/>
        </w:rPr>
        <w:footnoteReference w:id="3"/>
      </w:r>
      <w:r w:rsidRPr="008E6530">
        <w:rPr>
          <w:rFonts w:cstheme="minorHAnsi"/>
          <w:sz w:val="24"/>
          <w:szCs w:val="24"/>
        </w:rPr>
        <w:t xml:space="preserve"> yra tapatus </w:t>
      </w:r>
      <w:r>
        <w:rPr>
          <w:rFonts w:cstheme="minorHAnsi"/>
          <w:sz w:val="24"/>
          <w:szCs w:val="24"/>
        </w:rPr>
        <w:t>„</w:t>
      </w:r>
      <w:r w:rsidRPr="008E6530">
        <w:rPr>
          <w:rFonts w:eastAsia="Times New Roman" w:cstheme="minorHAnsi"/>
          <w:sz w:val="24"/>
          <w:szCs w:val="24"/>
        </w:rPr>
        <w:t>Statybos darbų atlikimo ir Lėšų įsisavinimo grafikui</w:t>
      </w:r>
      <w:r>
        <w:rPr>
          <w:rFonts w:eastAsia="Times New Roman" w:cstheme="minorHAnsi"/>
          <w:sz w:val="24"/>
          <w:szCs w:val="24"/>
        </w:rPr>
        <w:t xml:space="preserve"> (-ams)“</w:t>
      </w:r>
      <w:r w:rsidRPr="008E6530">
        <w:rPr>
          <w:rFonts w:eastAsia="Times New Roman" w:cstheme="minorHAnsi"/>
          <w:sz w:val="24"/>
          <w:szCs w:val="24"/>
        </w:rPr>
        <w:t xml:space="preserve"> (</w:t>
      </w:r>
      <w:r>
        <w:rPr>
          <w:rFonts w:eastAsia="Times New Roman" w:cstheme="minorHAnsi"/>
          <w:sz w:val="24"/>
          <w:szCs w:val="24"/>
        </w:rPr>
        <w:t xml:space="preserve">pažymėtina, jog skirtingai įvardinti </w:t>
      </w:r>
      <w:r w:rsidRPr="008E6530">
        <w:rPr>
          <w:rFonts w:eastAsia="Times New Roman" w:cstheme="minorHAnsi"/>
          <w:sz w:val="24"/>
          <w:szCs w:val="24"/>
        </w:rPr>
        <w:t xml:space="preserve">grafikai minimi ne viename Sutarties projekto punkte)? Jei </w:t>
      </w:r>
      <w:r>
        <w:rPr>
          <w:rFonts w:eastAsia="Times New Roman" w:cstheme="minorHAnsi"/>
          <w:sz w:val="24"/>
          <w:szCs w:val="24"/>
        </w:rPr>
        <w:t>tai yra tas pats grafikas</w:t>
      </w:r>
      <w:r w:rsidRPr="008E6530">
        <w:rPr>
          <w:rFonts w:eastAsia="Times New Roman" w:cstheme="minorHAnsi"/>
          <w:sz w:val="24"/>
          <w:szCs w:val="24"/>
        </w:rPr>
        <w:t xml:space="preserve">, Tarnyba rekomenduoja suvienodinti jų pavadinimus. Jei </w:t>
      </w:r>
      <w:r>
        <w:rPr>
          <w:rFonts w:eastAsia="Times New Roman" w:cstheme="minorHAnsi"/>
          <w:sz w:val="24"/>
          <w:szCs w:val="24"/>
        </w:rPr>
        <w:t>tai skirtingi grafikai</w:t>
      </w:r>
      <w:r w:rsidRPr="008E6530">
        <w:rPr>
          <w:rFonts w:eastAsia="Times New Roman" w:cstheme="minorHAnsi"/>
          <w:sz w:val="24"/>
          <w:szCs w:val="24"/>
        </w:rPr>
        <w:t>, Tarnyba rekomenduoja Pirkimo dokumentuose aiškiai nurodyti</w:t>
      </w:r>
      <w:r>
        <w:rPr>
          <w:rFonts w:eastAsia="Times New Roman" w:cstheme="minorHAnsi"/>
          <w:sz w:val="24"/>
          <w:szCs w:val="24"/>
        </w:rPr>
        <w:t xml:space="preserve">, </w:t>
      </w:r>
      <w:r w:rsidRPr="00F55D06">
        <w:rPr>
          <w:rFonts w:eastAsia="Times New Roman" w:cstheme="minorHAnsi"/>
          <w:sz w:val="24"/>
          <w:szCs w:val="24"/>
          <w:u w:val="single"/>
        </w:rPr>
        <w:t xml:space="preserve">kuo jie skiriasi ir </w:t>
      </w:r>
      <w:r w:rsidRPr="008E6530">
        <w:rPr>
          <w:rFonts w:eastAsia="Times New Roman" w:cstheme="minorHAnsi"/>
          <w:sz w:val="24"/>
          <w:szCs w:val="24"/>
          <w:u w:val="single"/>
        </w:rPr>
        <w:t xml:space="preserve">kada jie turi būti </w:t>
      </w:r>
      <w:r w:rsidRPr="008E6530">
        <w:rPr>
          <w:rFonts w:eastAsia="Times New Roman" w:cstheme="minorHAnsi"/>
          <w:sz w:val="24"/>
          <w:szCs w:val="24"/>
          <w:u w:val="single"/>
        </w:rPr>
        <w:lastRenderedPageBreak/>
        <w:t>pateikti</w:t>
      </w:r>
      <w:r w:rsidRPr="008E6530">
        <w:rPr>
          <w:rFonts w:eastAsia="Times New Roman" w:cstheme="minorHAnsi"/>
          <w:sz w:val="24"/>
          <w:szCs w:val="24"/>
        </w:rPr>
        <w:t xml:space="preserve"> Perkančiajai organizacijai</w:t>
      </w:r>
      <w:r>
        <w:rPr>
          <w:rFonts w:eastAsia="Times New Roman" w:cstheme="minorHAnsi"/>
          <w:sz w:val="24"/>
          <w:szCs w:val="24"/>
        </w:rPr>
        <w:t>,</w:t>
      </w:r>
      <w:r w:rsidRPr="00540297">
        <w:rPr>
          <w:rFonts w:eastAsia="Times New Roman" w:cstheme="minorHAnsi"/>
          <w:sz w:val="24"/>
          <w:szCs w:val="24"/>
        </w:rPr>
        <w:t xml:space="preserve"> </w:t>
      </w:r>
      <w:r>
        <w:rPr>
          <w:rFonts w:eastAsia="Times New Roman" w:cstheme="minorHAnsi"/>
          <w:sz w:val="24"/>
          <w:szCs w:val="24"/>
        </w:rPr>
        <w:t>nes, pavyzdžiui, Sutarties projekto 3.4</w:t>
      </w:r>
      <w:r>
        <w:rPr>
          <w:rStyle w:val="FootnoteReference"/>
          <w:rFonts w:eastAsia="Times New Roman" w:cstheme="minorHAnsi"/>
          <w:sz w:val="24"/>
          <w:szCs w:val="24"/>
        </w:rPr>
        <w:footnoteReference w:id="4"/>
      </w:r>
      <w:r>
        <w:rPr>
          <w:rFonts w:eastAsia="Times New Roman" w:cstheme="minorHAnsi"/>
          <w:sz w:val="24"/>
          <w:szCs w:val="24"/>
        </w:rPr>
        <w:t xml:space="preserve"> , 4.8</w:t>
      </w:r>
      <w:r>
        <w:rPr>
          <w:rStyle w:val="FootnoteReference"/>
          <w:rFonts w:eastAsia="Times New Roman" w:cstheme="minorHAnsi"/>
          <w:sz w:val="24"/>
          <w:szCs w:val="24"/>
        </w:rPr>
        <w:footnoteReference w:id="5"/>
      </w:r>
      <w:r>
        <w:rPr>
          <w:rFonts w:eastAsia="Times New Roman" w:cstheme="minorHAnsi"/>
          <w:sz w:val="24"/>
          <w:szCs w:val="24"/>
        </w:rPr>
        <w:t xml:space="preserve"> , 5.1</w:t>
      </w:r>
      <w:r>
        <w:rPr>
          <w:rStyle w:val="FootnoteReference"/>
          <w:rFonts w:eastAsia="Times New Roman" w:cstheme="minorHAnsi"/>
          <w:sz w:val="24"/>
          <w:szCs w:val="24"/>
        </w:rPr>
        <w:footnoteReference w:id="6"/>
      </w:r>
      <w:r>
        <w:rPr>
          <w:rFonts w:eastAsia="Times New Roman" w:cstheme="minorHAnsi"/>
          <w:sz w:val="24"/>
          <w:szCs w:val="24"/>
        </w:rPr>
        <w:t>punktuose pateikta dviprasmiška ir netapati informacija</w:t>
      </w:r>
      <w:r w:rsidRPr="008E6530">
        <w:rPr>
          <w:rFonts w:eastAsia="Times New Roman" w:cstheme="minorHAnsi"/>
          <w:sz w:val="24"/>
          <w:szCs w:val="24"/>
        </w:rPr>
        <w:t xml:space="preserve">, </w:t>
      </w:r>
      <w:r>
        <w:rPr>
          <w:rFonts w:eastAsia="Times New Roman" w:cstheme="minorHAnsi"/>
          <w:sz w:val="24"/>
          <w:szCs w:val="24"/>
        </w:rPr>
        <w:t>taip pat nurodytos skirtingos</w:t>
      </w:r>
      <w:r w:rsidRPr="008E6530">
        <w:rPr>
          <w:rFonts w:eastAsia="Times New Roman" w:cstheme="minorHAnsi"/>
          <w:sz w:val="24"/>
          <w:szCs w:val="24"/>
        </w:rPr>
        <w:t xml:space="preserve"> taikomos sankcijos tiekėjui, jeigu jis nesilaiko vieno ar kito grafiko</w:t>
      </w:r>
      <w:r>
        <w:rPr>
          <w:rFonts w:eastAsia="Times New Roman" w:cstheme="minorHAnsi"/>
          <w:sz w:val="24"/>
          <w:szCs w:val="24"/>
        </w:rPr>
        <w:t xml:space="preserve"> (Sutarties projekto 6.3</w:t>
      </w:r>
      <w:r>
        <w:rPr>
          <w:rStyle w:val="FootnoteReference"/>
          <w:rFonts w:eastAsia="Times New Roman" w:cstheme="minorHAnsi"/>
          <w:sz w:val="24"/>
          <w:szCs w:val="24"/>
        </w:rPr>
        <w:footnoteReference w:id="7"/>
      </w:r>
      <w:r>
        <w:rPr>
          <w:rFonts w:eastAsia="Times New Roman" w:cstheme="minorHAnsi"/>
          <w:sz w:val="24"/>
          <w:szCs w:val="24"/>
        </w:rPr>
        <w:t>, 12.3.3</w:t>
      </w:r>
      <w:r>
        <w:rPr>
          <w:rStyle w:val="FootnoteReference"/>
          <w:rFonts w:eastAsia="Times New Roman" w:cstheme="minorHAnsi"/>
          <w:sz w:val="24"/>
          <w:szCs w:val="24"/>
        </w:rPr>
        <w:footnoteReference w:id="8"/>
      </w:r>
      <w:r>
        <w:rPr>
          <w:rFonts w:eastAsia="Times New Roman" w:cstheme="minorHAnsi"/>
          <w:sz w:val="24"/>
          <w:szCs w:val="24"/>
        </w:rPr>
        <w:t>, 6.8</w:t>
      </w:r>
      <w:r>
        <w:rPr>
          <w:rStyle w:val="FootnoteReference"/>
          <w:rFonts w:eastAsia="Times New Roman" w:cstheme="minorHAnsi"/>
          <w:sz w:val="24"/>
          <w:szCs w:val="24"/>
        </w:rPr>
        <w:footnoteReference w:id="9"/>
      </w:r>
      <w:r>
        <w:rPr>
          <w:rFonts w:eastAsia="Times New Roman" w:cstheme="minorHAnsi"/>
          <w:sz w:val="24"/>
          <w:szCs w:val="24"/>
        </w:rPr>
        <w:t xml:space="preserve"> punktai).</w:t>
      </w:r>
    </w:p>
    <w:p w14:paraId="3E8CA558" w14:textId="77777777" w:rsidR="001E5070" w:rsidRPr="0099055B" w:rsidRDefault="001E5070" w:rsidP="001E5070">
      <w:pPr>
        <w:tabs>
          <w:tab w:val="left" w:pos="720"/>
        </w:tabs>
        <w:spacing w:after="0" w:line="276" w:lineRule="auto"/>
        <w:ind w:firstLine="709"/>
        <w:rPr>
          <w:rFonts w:ascii="Calibri" w:eastAsia="Times New Roman" w:hAnsi="Calibri" w:cs="Calibri"/>
          <w:sz w:val="24"/>
          <w:szCs w:val="24"/>
          <w:lang w:eastAsia="lt-LT"/>
        </w:rPr>
      </w:pPr>
      <w:r>
        <w:rPr>
          <w:rFonts w:cstheme="minorHAnsi"/>
          <w:sz w:val="24"/>
          <w:szCs w:val="24"/>
        </w:rPr>
        <w:t>4.2.</w:t>
      </w:r>
      <w:r w:rsidRPr="0099055B">
        <w:rPr>
          <w:rFonts w:cstheme="minorHAnsi"/>
          <w:sz w:val="24"/>
          <w:szCs w:val="24"/>
        </w:rPr>
        <w:t xml:space="preserve"> Sutarties projekto 3.4 punkte nu</w:t>
      </w:r>
      <w:r>
        <w:rPr>
          <w:rFonts w:cstheme="minorHAnsi"/>
          <w:sz w:val="24"/>
          <w:szCs w:val="24"/>
        </w:rPr>
        <w:t>stat</w:t>
      </w:r>
      <w:r w:rsidRPr="0099055B">
        <w:rPr>
          <w:rFonts w:cstheme="minorHAnsi"/>
          <w:sz w:val="24"/>
          <w:szCs w:val="24"/>
        </w:rPr>
        <w:t>yta, kad „</w:t>
      </w:r>
      <w:r w:rsidRPr="001F7D80">
        <w:rPr>
          <w:rFonts w:eastAsia="Times New Roman" w:cstheme="minorHAnsi"/>
          <w:sz w:val="24"/>
          <w:szCs w:val="24"/>
        </w:rPr>
        <w:t xml:space="preserve">Bauda už statybos darbų atlikimo ir (ar) lėšų įsisavinimo grafiko nesilaikymą – 5 proc. nuo vėluojamų atlikti darbų vertės </w:t>
      </w:r>
      <w:r w:rsidRPr="004B5592">
        <w:rPr>
          <w:rFonts w:eastAsia="Times New Roman" w:cstheme="minorHAnsi"/>
          <w:sz w:val="24"/>
          <w:szCs w:val="24"/>
        </w:rPr>
        <w:t>(</w:t>
      </w:r>
      <w:r w:rsidRPr="004B5592">
        <w:rPr>
          <w:rFonts w:eastAsia="Times New Roman" w:cstheme="minorHAnsi"/>
          <w:b/>
          <w:bCs/>
          <w:sz w:val="24"/>
          <w:szCs w:val="24"/>
        </w:rPr>
        <w:t>su PVM</w:t>
      </w:r>
      <w:r w:rsidRPr="004B5592">
        <w:rPr>
          <w:rFonts w:eastAsia="Times New Roman" w:cstheme="minorHAnsi"/>
          <w:sz w:val="24"/>
          <w:szCs w:val="24"/>
        </w:rPr>
        <w:t>)</w:t>
      </w:r>
      <w:r w:rsidRPr="00CE48D2">
        <w:rPr>
          <w:rFonts w:eastAsia="Times New Roman" w:cstheme="minorHAnsi"/>
          <w:sz w:val="24"/>
          <w:szCs w:val="24"/>
        </w:rPr>
        <w:t>“.</w:t>
      </w:r>
      <w:r w:rsidRPr="0099055B">
        <w:rPr>
          <w:rFonts w:eastAsia="Times New Roman" w:cstheme="minorHAnsi"/>
          <w:sz w:val="24"/>
          <w:szCs w:val="24"/>
        </w:rPr>
        <w:t xml:space="preserve"> Tarnyba atkreipia dėmesį į tai, ka</w:t>
      </w:r>
      <w:r>
        <w:rPr>
          <w:rFonts w:eastAsia="Times New Roman" w:cstheme="minorHAnsi"/>
          <w:sz w:val="24"/>
          <w:szCs w:val="24"/>
        </w:rPr>
        <w:t>d</w:t>
      </w:r>
      <w:r w:rsidRPr="0099055B">
        <w:rPr>
          <w:rFonts w:eastAsia="Times New Roman" w:cstheme="minorHAnsi"/>
          <w:sz w:val="24"/>
          <w:szCs w:val="24"/>
        </w:rPr>
        <w:t xml:space="preserve"> Skelbimo apie pirkimą III.2.2 punkte nu</w:t>
      </w:r>
      <w:r>
        <w:rPr>
          <w:rFonts w:eastAsia="Times New Roman" w:cstheme="minorHAnsi"/>
          <w:sz w:val="24"/>
          <w:szCs w:val="24"/>
        </w:rPr>
        <w:t>rod</w:t>
      </w:r>
      <w:r w:rsidRPr="0099055B">
        <w:rPr>
          <w:rFonts w:eastAsia="Times New Roman" w:cstheme="minorHAnsi"/>
          <w:sz w:val="24"/>
          <w:szCs w:val="24"/>
        </w:rPr>
        <w:t>yta, kad „</w:t>
      </w:r>
      <w:r w:rsidRPr="0099055B">
        <w:rPr>
          <w:rFonts w:ascii="Calibri" w:eastAsia="Times New Roman" w:hAnsi="Calibri" w:cs="Calibri"/>
          <w:sz w:val="24"/>
          <w:szCs w:val="24"/>
          <w:lang w:eastAsia="lt-LT"/>
        </w:rPr>
        <w:t xml:space="preserve">Jeigu Rangovas nesilaiko statybos darbų atlikimo ir (ar) lėšų įsisavinimo grafiko ir vėluoja daugiau negu 10 dienų, rangovui taikoma 5 proc. bauda, </w:t>
      </w:r>
      <w:r w:rsidRPr="004B5592">
        <w:rPr>
          <w:rFonts w:ascii="Calibri" w:eastAsia="Times New Roman" w:hAnsi="Calibri" w:cs="Calibri"/>
          <w:b/>
          <w:bCs/>
          <w:sz w:val="24"/>
          <w:szCs w:val="24"/>
          <w:lang w:eastAsia="lt-LT"/>
        </w:rPr>
        <w:t>nuo vėluojamų atlikti darbų vertės</w:t>
      </w:r>
      <w:r>
        <w:rPr>
          <w:rFonts w:ascii="Calibri" w:eastAsia="Times New Roman" w:hAnsi="Calibri" w:cs="Calibri"/>
          <w:sz w:val="24"/>
          <w:szCs w:val="24"/>
          <w:lang w:eastAsia="lt-LT"/>
        </w:rPr>
        <w:t>“, t. y. nenurodyta, ar bauda skaičiuojama nuo vėluojamų atlikti darbų vertės su PVM ar be PVM.</w:t>
      </w:r>
    </w:p>
    <w:p w14:paraId="34AFFB42" w14:textId="77777777" w:rsidR="001E5070" w:rsidRDefault="001E5070" w:rsidP="001E5070">
      <w:pPr>
        <w:tabs>
          <w:tab w:val="left" w:pos="720"/>
        </w:tabs>
        <w:spacing w:after="0" w:line="276" w:lineRule="auto"/>
        <w:ind w:firstLine="709"/>
        <w:rPr>
          <w:rFonts w:eastAsia="Times New Roman" w:cstheme="minorHAnsi"/>
          <w:sz w:val="24"/>
          <w:szCs w:val="24"/>
        </w:rPr>
      </w:pPr>
      <w:r>
        <w:rPr>
          <w:rFonts w:cstheme="minorHAnsi"/>
          <w:sz w:val="24"/>
          <w:szCs w:val="24"/>
        </w:rPr>
        <w:t xml:space="preserve">Pažymėtina, kad </w:t>
      </w:r>
      <w:r w:rsidRPr="00DA4A6C">
        <w:rPr>
          <w:rFonts w:cstheme="minorHAnsi"/>
          <w:sz w:val="24"/>
          <w:szCs w:val="24"/>
        </w:rPr>
        <w:t xml:space="preserve">Įstatymo 35 straipsnio 4 dalyje įtvirtinta, </w:t>
      </w:r>
      <w:r w:rsidRPr="008E788D">
        <w:rPr>
          <w:rFonts w:cstheme="minorHAnsi"/>
          <w:sz w:val="24"/>
          <w:szCs w:val="24"/>
        </w:rPr>
        <w:t>kad „</w:t>
      </w:r>
      <w:r w:rsidRPr="004B5592">
        <w:rPr>
          <w:rFonts w:cstheme="minorHAnsi"/>
          <w:sz w:val="24"/>
          <w:szCs w:val="24"/>
        </w:rPr>
        <w:t>Pirkimo dokumentai turi būti tikslūs, aiškūs, be dviprasmybių, kad tiekėjai galėtų pateikti pasiūlymus, o perkančioji organizacija – nupirkti tai, ko reikia</w:t>
      </w:r>
      <w:r w:rsidRPr="008E788D">
        <w:rPr>
          <w:rFonts w:cstheme="minorHAnsi"/>
          <w:sz w:val="24"/>
          <w:szCs w:val="24"/>
        </w:rPr>
        <w:t>“, o Įstatymo 35 straipsnio 3 dalyje – „</w:t>
      </w:r>
      <w:r w:rsidRPr="004B5592">
        <w:rPr>
          <w:rFonts w:cstheme="minorHAnsi"/>
          <w:sz w:val="24"/>
          <w:szCs w:val="24"/>
        </w:rPr>
        <w:t>Tuo atveju, kai skelbime apie pirkimą &lt;...&gt; pateikta informacija neatitinka informacijos, pateiktos kituose pirkimo dokumentuose, teisinga laikoma informacija, nurodyta skelbime apie pirkimą &lt;...&gt;</w:t>
      </w:r>
      <w:r w:rsidRPr="008E788D">
        <w:rPr>
          <w:rFonts w:cstheme="minorHAnsi"/>
          <w:sz w:val="24"/>
          <w:szCs w:val="24"/>
        </w:rPr>
        <w:t>“.</w:t>
      </w:r>
      <w:r>
        <w:rPr>
          <w:rFonts w:cstheme="minorHAnsi"/>
          <w:sz w:val="24"/>
          <w:szCs w:val="24"/>
        </w:rPr>
        <w:t xml:space="preserve"> </w:t>
      </w:r>
    </w:p>
    <w:p w14:paraId="5E46E818" w14:textId="77777777" w:rsidR="001E5070" w:rsidRDefault="001E5070" w:rsidP="001E5070">
      <w:pPr>
        <w:tabs>
          <w:tab w:val="left" w:pos="720"/>
        </w:tabs>
        <w:spacing w:after="0" w:line="276" w:lineRule="auto"/>
        <w:ind w:firstLine="709"/>
        <w:rPr>
          <w:rFonts w:cstheme="minorHAnsi"/>
          <w:sz w:val="24"/>
          <w:szCs w:val="24"/>
        </w:rPr>
      </w:pPr>
      <w:r w:rsidRPr="002C6AE1">
        <w:rPr>
          <w:rFonts w:cstheme="minorHAnsi"/>
          <w:sz w:val="24"/>
          <w:szCs w:val="24"/>
        </w:rPr>
        <w:t>Atsižvelgiant į aukščiau nurodytą, Tarnyba rekomenduoja tikslinti</w:t>
      </w:r>
      <w:r>
        <w:rPr>
          <w:rFonts w:cstheme="minorHAnsi"/>
          <w:sz w:val="24"/>
          <w:szCs w:val="24"/>
        </w:rPr>
        <w:t xml:space="preserve"> skelbimo apie pirkimą </w:t>
      </w:r>
      <w:r w:rsidRPr="008E788D">
        <w:rPr>
          <w:rFonts w:cstheme="minorHAnsi"/>
          <w:sz w:val="24"/>
          <w:szCs w:val="24"/>
        </w:rPr>
        <w:t>III.2.2 punkt</w:t>
      </w:r>
      <w:r>
        <w:rPr>
          <w:rFonts w:cstheme="minorHAnsi"/>
          <w:sz w:val="24"/>
          <w:szCs w:val="24"/>
        </w:rPr>
        <w:t>o informaciją.</w:t>
      </w:r>
    </w:p>
    <w:p w14:paraId="6142C7BE" w14:textId="77777777" w:rsidR="001E5070" w:rsidRDefault="001E5070" w:rsidP="001E5070">
      <w:pPr>
        <w:tabs>
          <w:tab w:val="left" w:pos="720"/>
        </w:tabs>
        <w:spacing w:after="0" w:line="276" w:lineRule="auto"/>
        <w:ind w:firstLine="709"/>
        <w:rPr>
          <w:rFonts w:eastAsia="Times New Roman" w:cstheme="minorHAnsi"/>
          <w:sz w:val="24"/>
          <w:szCs w:val="24"/>
        </w:rPr>
      </w:pPr>
      <w:r>
        <w:rPr>
          <w:rFonts w:eastAsia="Times New Roman" w:cstheme="minorHAnsi"/>
          <w:sz w:val="24"/>
          <w:szCs w:val="24"/>
        </w:rPr>
        <w:t>4.3. Tarnyba atkreipia dėmesį į tai, kad Sutarties projekte nėra „Inžinieriaus“ sąvokos, nors ji naudojama Sutarties projekto 10.6 punkte. Atsižvelgiant į nurodytą, Tarnyba rekomenduoja įvesti „Inžinieriaus“ sąvoką arba tikslinti Sutarties projekto 10.6 punktą.</w:t>
      </w:r>
    </w:p>
    <w:p w14:paraId="59F5BADC" w14:textId="77777777" w:rsidR="00D64E2E" w:rsidRPr="001E5070" w:rsidRDefault="001E5070" w:rsidP="001E5070">
      <w:pPr>
        <w:spacing w:after="0" w:line="276" w:lineRule="auto"/>
        <w:ind w:firstLine="567"/>
        <w:jc w:val="both"/>
        <w:rPr>
          <w:lang w:val="lt"/>
        </w:rPr>
      </w:pPr>
      <w:r w:rsidRPr="00642EC0">
        <w:rPr>
          <w:rStyle w:val="normaltextrun"/>
          <w:rFonts w:cstheme="minorHAnsi"/>
          <w:color w:val="000000"/>
          <w:sz w:val="24"/>
          <w:szCs w:val="24"/>
        </w:rPr>
        <w:t>Atsižvelgdama į tai, kas nurodyta, Tarnyba rekomenduoja peržiūrėti ir patikslinti Pirkimo dokumentus pagal šioje Rekomendacijoje pateiktas pastab</w:t>
      </w:r>
      <w:r>
        <w:rPr>
          <w:rStyle w:val="normaltextrun"/>
          <w:rFonts w:cstheme="minorHAnsi"/>
          <w:color w:val="000000"/>
          <w:sz w:val="24"/>
          <w:szCs w:val="24"/>
        </w:rPr>
        <w:t>as</w:t>
      </w:r>
      <w:r w:rsidRPr="00642EC0">
        <w:rPr>
          <w:rStyle w:val="normaltextrun"/>
          <w:rFonts w:cstheme="minorHAnsi"/>
          <w:color w:val="000000"/>
          <w:sz w:val="24"/>
          <w:szCs w:val="24"/>
        </w:rPr>
        <w:t xml:space="preserve">. Primename, kad Perkančioji organizacija, patikslinusi Pirkimo dokumentus, turi visus pakeitimus paskelbti viešai Centrinėje viešųjų pirkimų informacinėje sistemoje (CVP IS) ir </w:t>
      </w:r>
      <w:r w:rsidRPr="00642EC0">
        <w:rPr>
          <w:rStyle w:val="normaltextrun"/>
          <w:rFonts w:cstheme="minorHAnsi"/>
          <w:sz w:val="24"/>
          <w:szCs w:val="24"/>
        </w:rPr>
        <w:t xml:space="preserve">prireikus pratęsti pasiūlymų pateikimo terminą protingam laikotarpiui, per kurį potencialūs tiekėjai galėtų susipažinti su patikslintais ir </w:t>
      </w:r>
      <w:r w:rsidRPr="00642EC0">
        <w:rPr>
          <w:rStyle w:val="normaltextrun"/>
          <w:rFonts w:cstheme="minorHAnsi"/>
          <w:sz w:val="24"/>
          <w:szCs w:val="24"/>
        </w:rPr>
        <w:lastRenderedPageBreak/>
        <w:t xml:space="preserve">pakeistais Pirkimo dokumentais. </w:t>
      </w:r>
      <w:r w:rsidRPr="00642EC0">
        <w:rPr>
          <w:rFonts w:eastAsia="Calibri" w:cstheme="minorHAnsi"/>
          <w:sz w:val="24"/>
          <w:szCs w:val="24"/>
        </w:rPr>
        <w:t>Pažymėtina, kad visais atvejais sprendimą dėl tolimesnio Pirkimo procedūrų vykdymo ar nutraukimo priima pati Perkančioji organizacija, vadovaudamasi Įstatymo 29 straipsnio 3</w:t>
      </w:r>
      <w:r w:rsidRPr="00642EC0">
        <w:rPr>
          <w:rFonts w:eastAsia="Calibri" w:cstheme="minorHAnsi"/>
          <w:sz w:val="24"/>
          <w:szCs w:val="24"/>
          <w:vertAlign w:val="superscript"/>
        </w:rPr>
        <w:footnoteReference w:id="10"/>
      </w:r>
      <w:r w:rsidRPr="00642EC0">
        <w:rPr>
          <w:rFonts w:eastAsia="Calibri" w:cstheme="minorHAnsi"/>
          <w:sz w:val="24"/>
          <w:szCs w:val="24"/>
        </w:rPr>
        <w:t xml:space="preserve"> ir 4</w:t>
      </w:r>
      <w:r w:rsidRPr="00642EC0">
        <w:rPr>
          <w:rFonts w:eastAsia="Calibri" w:cstheme="minorHAnsi"/>
          <w:sz w:val="24"/>
          <w:szCs w:val="24"/>
          <w:vertAlign w:val="superscript"/>
        </w:rPr>
        <w:footnoteReference w:id="11"/>
      </w:r>
      <w:r w:rsidRPr="00642EC0">
        <w:rPr>
          <w:rFonts w:eastAsia="Calibri" w:cstheme="minorHAnsi"/>
          <w:sz w:val="24"/>
          <w:szCs w:val="24"/>
        </w:rPr>
        <w:t xml:space="preserve"> dalių nuostatomis.</w:t>
      </w:r>
    </w:p>
    <w:sectPr w:rsidR="00D64E2E" w:rsidRPr="001E5070" w:rsidSect="001E50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34D9" w14:textId="77777777" w:rsidR="001E5070" w:rsidRDefault="001E5070" w:rsidP="001E5070">
      <w:pPr>
        <w:spacing w:after="0" w:line="240" w:lineRule="auto"/>
      </w:pPr>
      <w:r>
        <w:separator/>
      </w:r>
    </w:p>
  </w:endnote>
  <w:endnote w:type="continuationSeparator" w:id="0">
    <w:p w14:paraId="0DCD5C7D" w14:textId="77777777" w:rsidR="001E5070" w:rsidRDefault="001E5070" w:rsidP="001E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C4DBB" w14:textId="77777777" w:rsidR="001E5070" w:rsidRDefault="001E5070" w:rsidP="001E5070">
      <w:pPr>
        <w:spacing w:after="0" w:line="240" w:lineRule="auto"/>
      </w:pPr>
      <w:r>
        <w:separator/>
      </w:r>
    </w:p>
  </w:footnote>
  <w:footnote w:type="continuationSeparator" w:id="0">
    <w:p w14:paraId="55E9BE8A" w14:textId="77777777" w:rsidR="001E5070" w:rsidRDefault="001E5070" w:rsidP="001E5070">
      <w:pPr>
        <w:spacing w:after="0" w:line="240" w:lineRule="auto"/>
      </w:pPr>
      <w:r>
        <w:continuationSeparator/>
      </w:r>
    </w:p>
  </w:footnote>
  <w:footnote w:id="1">
    <w:p w14:paraId="13419189" w14:textId="77777777" w:rsidR="001E5070" w:rsidRPr="00DF4991" w:rsidRDefault="001E5070" w:rsidP="001E5070">
      <w:pPr>
        <w:pStyle w:val="FootnoteText"/>
        <w:rPr>
          <w:rFonts w:asciiTheme="minorHAnsi" w:hAnsiTheme="minorHAnsi" w:cstheme="minorHAnsi"/>
        </w:rPr>
      </w:pPr>
      <w:r w:rsidRPr="00DF4991">
        <w:rPr>
          <w:rStyle w:val="FootnoteReference"/>
          <w:rFonts w:asciiTheme="minorHAnsi" w:hAnsiTheme="minorHAnsi" w:cstheme="minorHAnsi"/>
        </w:rPr>
        <w:footnoteRef/>
      </w:r>
      <w:r w:rsidRPr="00DF4991">
        <w:rPr>
          <w:rFonts w:asciiTheme="minorHAnsi" w:hAnsiTheme="minorHAnsi" w:cstheme="minorHAnsi"/>
          <w:color w:val="000000"/>
        </w:rPr>
        <w:t xml:space="preserve"> „</w:t>
      </w:r>
      <w:r w:rsidRPr="00DE4922">
        <w:rPr>
          <w:rFonts w:asciiTheme="minorHAnsi" w:hAnsiTheme="minorHAnsi" w:cstheme="minorHAnsi"/>
          <w:bCs/>
          <w:i/>
          <w:iCs/>
        </w:rPr>
        <w:t xml:space="preserve">Tiekėjas </w:t>
      </w:r>
      <w:r w:rsidRPr="00DE4922">
        <w:rPr>
          <w:rFonts w:asciiTheme="minorHAnsi" w:hAnsiTheme="minorHAnsi" w:cstheme="minorHAnsi"/>
          <w:i/>
          <w:iCs/>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r w:rsidRPr="00DF4991">
        <w:rPr>
          <w:rFonts w:asciiTheme="minorHAnsi" w:hAnsiTheme="minorHAnsi" w:cstheme="minorHAnsi"/>
          <w:color w:val="000000"/>
        </w:rPr>
        <w:t>“.</w:t>
      </w:r>
    </w:p>
  </w:footnote>
  <w:footnote w:id="2">
    <w:p w14:paraId="5578E15A" w14:textId="77777777" w:rsidR="001E5070" w:rsidRDefault="001E5070" w:rsidP="001E5070">
      <w:pPr>
        <w:pStyle w:val="FootnoteText"/>
      </w:pPr>
      <w:r>
        <w:rPr>
          <w:rStyle w:val="FootnoteReference"/>
        </w:rPr>
        <w:footnoteRef/>
      </w:r>
      <w:r>
        <w:t xml:space="preserve"> </w:t>
      </w:r>
      <w:r w:rsidRPr="008E788D">
        <w:t>Statybos įstatymo 12 straipsnio 9 dalyje nustatyta, jog vadovauti nesudėtingojo statinio projektavimui, statinio projekto vykdymo priežiūrai, statinio statybos techninei priežiūrai ir statybai turi teisę asmenys, įgiję šio įstatymo 2 straipsnio 1 arba 92 dalyje nurodytą išsilavinimą“, taip pat Statybos techninio reglamento STR 1.06.01:2016 „Statybos darbai. Statinio statybos priežiūra“ 15.4 papunktyje nurodyta, kad vadovauti nesudėtingojo statinio statybai turi teisę neatestuoti asmenys.</w:t>
      </w:r>
    </w:p>
  </w:footnote>
  <w:footnote w:id="3">
    <w:p w14:paraId="196A1676" w14:textId="77777777" w:rsidR="001E5070" w:rsidRDefault="001E5070" w:rsidP="001E5070">
      <w:pPr>
        <w:pStyle w:val="FootnoteText"/>
      </w:pPr>
      <w:r>
        <w:rPr>
          <w:rStyle w:val="FootnoteReference"/>
        </w:rPr>
        <w:footnoteRef/>
      </w:r>
      <w:r>
        <w:t xml:space="preserve"> „</w:t>
      </w:r>
      <w:r w:rsidRPr="009C1D62">
        <w:t>5.1. Rangovas privalo vykdyti ir užbaigti Darbus pagal Sutartį, &lt;...&gt; laikydamasis Veiklų sąraše pateikto grafiko</w:t>
      </w:r>
      <w:r>
        <w:t xml:space="preserve"> &lt;...&gt;“.</w:t>
      </w:r>
    </w:p>
  </w:footnote>
  <w:footnote w:id="4">
    <w:p w14:paraId="15EC5B67" w14:textId="77777777" w:rsidR="001E5070" w:rsidRPr="008E6530" w:rsidRDefault="001E5070" w:rsidP="001E5070">
      <w:pPr>
        <w:pStyle w:val="FootnoteText"/>
      </w:pPr>
      <w:r w:rsidRPr="008E6530">
        <w:rPr>
          <w:rStyle w:val="FootnoteReference"/>
        </w:rPr>
        <w:footnoteRef/>
      </w:r>
      <w:r w:rsidRPr="008E6530">
        <w:t xml:space="preserve"> </w:t>
      </w:r>
      <w:r>
        <w:t xml:space="preserve">„3.4 </w:t>
      </w:r>
      <w:r w:rsidRPr="00F55D06">
        <w:rPr>
          <w:rFonts w:asciiTheme="minorHAnsi" w:eastAsia="Times New Roman" w:hAnsiTheme="minorHAnsi" w:cstheme="minorHAnsi"/>
          <w:noProof/>
        </w:rPr>
        <w:t>Prieš pradedant darbus, Rangovas turi pateikti</w:t>
      </w:r>
      <w:r w:rsidRPr="008E6530">
        <w:rPr>
          <w:rFonts w:asciiTheme="minorHAnsi" w:eastAsia="Times New Roman" w:hAnsiTheme="minorHAnsi" w:cstheme="minorHAnsi"/>
          <w:noProof/>
        </w:rPr>
        <w:t xml:space="preserve"> </w:t>
      </w:r>
      <w:r w:rsidRPr="00F55D06">
        <w:rPr>
          <w:rFonts w:asciiTheme="minorHAnsi" w:eastAsia="Times New Roman" w:hAnsiTheme="minorHAnsi" w:cstheme="minorHAnsi"/>
          <w:noProof/>
        </w:rPr>
        <w:t>statybos darbų atlikimo ir lėšų įsisavinimo grafikus</w:t>
      </w:r>
      <w:r w:rsidRPr="008E6530">
        <w:rPr>
          <w:rFonts w:asciiTheme="minorHAnsi" w:eastAsia="Times New Roman" w:hAnsiTheme="minorHAnsi" w:cstheme="minorHAnsi"/>
          <w:noProof/>
        </w:rPr>
        <w:t xml:space="preserve"> ir suderinti su Užsakovu“.</w:t>
      </w:r>
    </w:p>
  </w:footnote>
  <w:footnote w:id="5">
    <w:p w14:paraId="277B2A2E" w14:textId="77777777" w:rsidR="001E5070" w:rsidRPr="008E6530" w:rsidRDefault="001E5070" w:rsidP="001E5070">
      <w:pPr>
        <w:pStyle w:val="FootnoteText"/>
      </w:pPr>
      <w:r w:rsidRPr="008E6530">
        <w:rPr>
          <w:rStyle w:val="FootnoteReference"/>
        </w:rPr>
        <w:footnoteRef/>
      </w:r>
      <w:r>
        <w:t xml:space="preserve"> „4.8. </w:t>
      </w:r>
      <w:r w:rsidRPr="008E6530">
        <w:rPr>
          <w:rFonts w:asciiTheme="minorHAnsi" w:eastAsia="Times New Roman" w:hAnsiTheme="minorHAnsi" w:cstheme="minorHAnsi"/>
        </w:rPr>
        <w:t xml:space="preserve">Rangovas </w:t>
      </w:r>
      <w:r w:rsidRPr="00F55D06">
        <w:rPr>
          <w:rFonts w:asciiTheme="minorHAnsi" w:eastAsia="Times New Roman" w:hAnsiTheme="minorHAnsi" w:cstheme="minorHAnsi"/>
        </w:rPr>
        <w:t>per 5 darbo dienas nuo Sutarties pasirašymo, privalo pateikti</w:t>
      </w:r>
      <w:r w:rsidRPr="008E6530">
        <w:rPr>
          <w:rFonts w:asciiTheme="minorHAnsi" w:eastAsia="Times New Roman" w:hAnsiTheme="minorHAnsi" w:cstheme="minorHAnsi"/>
        </w:rPr>
        <w:t xml:space="preserve"> Užsakovui Statybos darbų atlikimo ir Lėšų įsisavinimo grafikus“.</w:t>
      </w:r>
    </w:p>
  </w:footnote>
  <w:footnote w:id="6">
    <w:p w14:paraId="3B0DDD2F" w14:textId="77777777" w:rsidR="001E5070" w:rsidRDefault="001E5070" w:rsidP="001E5070">
      <w:pPr>
        <w:pStyle w:val="FootnoteText"/>
      </w:pPr>
      <w:r>
        <w:rPr>
          <w:rStyle w:val="FootnoteReference"/>
        </w:rPr>
        <w:footnoteRef/>
      </w:r>
      <w:r>
        <w:t xml:space="preserve"> „5.1. </w:t>
      </w:r>
      <w:r w:rsidRPr="009C1D62">
        <w:t xml:space="preserve">Rangovas privalo vykdyti ir užbaigti Darbus pagal Sutartį, </w:t>
      </w:r>
      <w:r>
        <w:t>&lt;...&gt;</w:t>
      </w:r>
      <w:r w:rsidRPr="009C1D62">
        <w:t xml:space="preserve"> laikydamasis Veiklų sąraše pateikto grafiko</w:t>
      </w:r>
      <w:r>
        <w:t xml:space="preserve"> &lt;...&gt;“.</w:t>
      </w:r>
    </w:p>
  </w:footnote>
  <w:footnote w:id="7">
    <w:p w14:paraId="1DEB2FF0" w14:textId="77777777" w:rsidR="001E5070" w:rsidRPr="00F55D06" w:rsidRDefault="001E5070" w:rsidP="001E5070">
      <w:pPr>
        <w:pStyle w:val="FootnoteText"/>
        <w:rPr>
          <w:rFonts w:asciiTheme="minorHAnsi" w:hAnsiTheme="minorHAnsi" w:cstheme="minorHAnsi"/>
        </w:rPr>
      </w:pPr>
      <w:r w:rsidRPr="00F55D06">
        <w:rPr>
          <w:rStyle w:val="FootnoteReference"/>
        </w:rPr>
        <w:footnoteRef/>
      </w:r>
      <w:r w:rsidRPr="00F55D06">
        <w:t xml:space="preserve"> „6.3. </w:t>
      </w:r>
      <w:r w:rsidRPr="00F55D06">
        <w:rPr>
          <w:rFonts w:asciiTheme="minorHAnsi" w:eastAsia="Times New Roman" w:hAnsiTheme="minorHAnsi" w:cstheme="minorHAnsi"/>
        </w:rPr>
        <w:t xml:space="preserve">Jeigu Rangovas nutraukia Darbus, </w:t>
      </w:r>
      <w:r w:rsidRPr="00F55D06">
        <w:rPr>
          <w:rFonts w:asciiTheme="minorHAnsi" w:eastAsia="Times New Roman" w:hAnsiTheme="minorHAnsi" w:cstheme="minorHAnsi"/>
          <w:u w:val="single"/>
        </w:rPr>
        <w:t>vėluoja atlikti bet kokią Darbų grupę pagal Veiklų sąraše pateiktą vykdymo grafiką</w:t>
      </w:r>
      <w:r w:rsidRPr="00F55D06">
        <w:rPr>
          <w:rFonts w:asciiTheme="minorHAnsi" w:eastAsia="Times New Roman" w:hAnsiTheme="minorHAnsi" w:cstheme="minorHAnsi"/>
        </w:rPr>
        <w:t xml:space="preserve">, manoma, kad Rangovas nebaigs darbų per Darbų atlikimo terminą, ir nepateikia Užsakovui pagrįstų įrodymų, pateisinančių Darbų vėlavimą, </w:t>
      </w:r>
      <w:r w:rsidRPr="00F55D06">
        <w:rPr>
          <w:rFonts w:asciiTheme="minorHAnsi" w:eastAsia="Times New Roman" w:hAnsiTheme="minorHAnsi" w:cstheme="minorHAnsi"/>
          <w:u w:val="single"/>
        </w:rPr>
        <w:t>Užsakovas gali įteikti pranešimą, konstatuodamas įsipareigojimų nevykdymą</w:t>
      </w:r>
      <w:r w:rsidRPr="00F55D06">
        <w:rPr>
          <w:rFonts w:asciiTheme="minorHAnsi" w:eastAsia="Times New Roman" w:hAnsiTheme="minorHAnsi" w:cstheme="minorHAnsi"/>
        </w:rPr>
        <w:t xml:space="preserve"> su reikalavimu greičiau įvykdyti Darbus. Jeigu rangovas, gavęs tokį pranešimą, nesiėmė priemonių įsipareigojimams įvykdyti, tada </w:t>
      </w:r>
      <w:r w:rsidRPr="00F55D06">
        <w:rPr>
          <w:rFonts w:asciiTheme="minorHAnsi" w:eastAsia="Times New Roman" w:hAnsiTheme="minorHAnsi" w:cstheme="minorHAnsi"/>
          <w:u w:val="single"/>
        </w:rPr>
        <w:t>Užsakovas, įteikęs antrą pranešimą, gali nutraukti sutartį pagal 12.3.3 papunkčio sąlygas</w:t>
      </w:r>
      <w:r w:rsidRPr="00F55D06">
        <w:rPr>
          <w:rFonts w:asciiTheme="minorHAnsi" w:eastAsia="Times New Roman" w:hAnsiTheme="minorHAnsi" w:cstheme="minorHAnsi"/>
        </w:rPr>
        <w:t>. Ši sąlyga netaikoma, jei vėluojama dėl priežasčių, nepriklausančių nuo Rangovo“.</w:t>
      </w:r>
    </w:p>
  </w:footnote>
  <w:footnote w:id="8">
    <w:p w14:paraId="629AD830" w14:textId="77777777" w:rsidR="001E5070" w:rsidRDefault="001E5070" w:rsidP="001E5070">
      <w:pPr>
        <w:spacing w:after="0" w:line="240" w:lineRule="auto"/>
      </w:pPr>
      <w:r w:rsidRPr="00F55D06">
        <w:rPr>
          <w:rStyle w:val="FootnoteReference"/>
          <w:rFonts w:cstheme="minorHAnsi"/>
          <w:sz w:val="20"/>
          <w:szCs w:val="20"/>
        </w:rPr>
        <w:footnoteRef/>
      </w:r>
      <w:r w:rsidRPr="00F55D06">
        <w:rPr>
          <w:rFonts w:cstheme="minorHAnsi"/>
          <w:sz w:val="20"/>
          <w:szCs w:val="20"/>
        </w:rPr>
        <w:t xml:space="preserve"> „12.3</w:t>
      </w:r>
      <w:r w:rsidRPr="00F55D06">
        <w:rPr>
          <w:rFonts w:cstheme="minorHAnsi"/>
          <w:sz w:val="20"/>
          <w:szCs w:val="20"/>
          <w:u w:val="single"/>
        </w:rPr>
        <w:t xml:space="preserve">. </w:t>
      </w:r>
      <w:r w:rsidRPr="00F55D06">
        <w:rPr>
          <w:rFonts w:eastAsia="Times New Roman" w:cstheme="minorHAnsi"/>
          <w:sz w:val="20"/>
          <w:szCs w:val="20"/>
          <w:u w:val="single"/>
        </w:rPr>
        <w:t>Užsakovas privalo &lt;...&gt;, nutraukti Sutartį</w:t>
      </w:r>
      <w:r w:rsidRPr="00F55D06">
        <w:rPr>
          <w:rFonts w:eastAsia="Times New Roman" w:cstheme="minorHAnsi"/>
          <w:sz w:val="20"/>
          <w:szCs w:val="20"/>
        </w:rPr>
        <w:t xml:space="preserve"> ir pašalinti Rangovą iš Statybvietės dėl šių esminių sutarties pažeidimų: &lt;...&gt; 12.3.3. nepradeda laiku vykdyti Darbų, kitaip aiškiai parodo ketinimą netęsti savo įsipareigojimų pagal Sutartį arba </w:t>
      </w:r>
      <w:r w:rsidRPr="00F55D06">
        <w:rPr>
          <w:rFonts w:eastAsia="Times New Roman" w:cstheme="minorHAnsi"/>
          <w:sz w:val="20"/>
          <w:szCs w:val="20"/>
          <w:u w:val="single"/>
        </w:rPr>
        <w:t>nevykdo Darbų pagal Veiklų sąraše nurodytą grafiką</w:t>
      </w:r>
      <w:r w:rsidRPr="00F55D06">
        <w:rPr>
          <w:rFonts w:eastAsia="Times New Roman" w:cstheme="minorHAnsi"/>
          <w:sz w:val="20"/>
          <w:szCs w:val="20"/>
        </w:rPr>
        <w:t xml:space="preserve"> ir tampa aišku, kad juos baigti iki Darbų atlikimo termino pabaigos neįmanoma</w:t>
      </w:r>
      <w:r>
        <w:rPr>
          <w:rFonts w:eastAsia="Times New Roman" w:cstheme="minorHAnsi"/>
          <w:sz w:val="20"/>
          <w:szCs w:val="20"/>
        </w:rPr>
        <w:t>“</w:t>
      </w:r>
      <w:r w:rsidRPr="00F55D06">
        <w:rPr>
          <w:rFonts w:eastAsia="Times New Roman" w:cstheme="minorHAnsi"/>
          <w:sz w:val="20"/>
          <w:szCs w:val="20"/>
        </w:rPr>
        <w:t>.</w:t>
      </w:r>
    </w:p>
  </w:footnote>
  <w:footnote w:id="9">
    <w:p w14:paraId="696486A5" w14:textId="77777777" w:rsidR="001E5070" w:rsidRPr="001F7D80" w:rsidRDefault="001E5070" w:rsidP="001E5070">
      <w:pPr>
        <w:pStyle w:val="FootnoteText"/>
        <w:rPr>
          <w:rFonts w:asciiTheme="minorHAnsi" w:hAnsiTheme="minorHAnsi" w:cstheme="minorHAnsi"/>
        </w:rPr>
      </w:pPr>
      <w:r w:rsidRPr="001F7D80">
        <w:rPr>
          <w:rStyle w:val="FootnoteReference"/>
          <w:rFonts w:asciiTheme="minorHAnsi" w:hAnsiTheme="minorHAnsi" w:cstheme="minorHAnsi"/>
        </w:rPr>
        <w:footnoteRef/>
      </w:r>
      <w:r w:rsidRPr="001F7D80">
        <w:rPr>
          <w:rFonts w:asciiTheme="minorHAnsi" w:hAnsiTheme="minorHAnsi" w:cstheme="minorHAnsi"/>
        </w:rPr>
        <w:t xml:space="preserve"> </w:t>
      </w:r>
      <w:bookmarkStart w:id="1" w:name="_Hlk160191278"/>
      <w:r w:rsidRPr="001F7D80">
        <w:rPr>
          <w:rFonts w:asciiTheme="minorHAnsi" w:hAnsiTheme="minorHAnsi" w:cstheme="minorHAnsi"/>
        </w:rPr>
        <w:t xml:space="preserve">„6.8. </w:t>
      </w:r>
      <w:r w:rsidRPr="001F7D80">
        <w:rPr>
          <w:rFonts w:asciiTheme="minorHAnsi" w:eastAsia="Times New Roman" w:hAnsiTheme="minorHAnsi" w:cstheme="minorHAnsi"/>
        </w:rPr>
        <w:t xml:space="preserve">Jeigu Rangovas </w:t>
      </w:r>
      <w:r w:rsidRPr="001F7D80">
        <w:rPr>
          <w:rFonts w:asciiTheme="minorHAnsi" w:eastAsia="Times New Roman" w:hAnsiTheme="minorHAnsi" w:cstheme="minorHAnsi"/>
          <w:u w:val="single"/>
        </w:rPr>
        <w:t>nesilaiko statybos darbų atlikimo ir (ar) lėšų įsisavinimo grafiko ir vėluoja daugiau negu 10 dienų, rangovui taikoma 5 proc. bauda</w:t>
      </w:r>
      <w:r w:rsidRPr="001F7D80">
        <w:rPr>
          <w:rFonts w:asciiTheme="minorHAnsi" w:eastAsia="Times New Roman" w:hAnsiTheme="minorHAnsi" w:cstheme="minorHAnsi"/>
        </w:rPr>
        <w:t>, nuo vėluojamų atlikti darbų vertės“.</w:t>
      </w:r>
      <w:bookmarkEnd w:id="1"/>
    </w:p>
  </w:footnote>
  <w:footnote w:id="10">
    <w:p w14:paraId="508E66A5" w14:textId="77777777" w:rsidR="001E5070" w:rsidRPr="00642EC0" w:rsidRDefault="001E5070" w:rsidP="001E5070">
      <w:pPr>
        <w:pStyle w:val="FootnoteText"/>
        <w:jc w:val="both"/>
        <w:rPr>
          <w:rFonts w:asciiTheme="minorHAnsi" w:hAnsiTheme="minorHAnsi" w:cstheme="minorHAnsi"/>
        </w:rPr>
      </w:pPr>
      <w:r w:rsidRPr="00642EC0">
        <w:rPr>
          <w:rStyle w:val="FootnoteReference"/>
          <w:rFonts w:asciiTheme="minorHAnsi" w:hAnsiTheme="minorHAnsi" w:cstheme="minorHAnsi"/>
        </w:rPr>
        <w:footnoteRef/>
      </w:r>
      <w:r w:rsidRPr="00642EC0">
        <w:rPr>
          <w:rFonts w:asciiTheme="minorHAnsi" w:hAnsiTheme="minorHAnsi" w:cstheme="minorHAnsi"/>
        </w:rPr>
        <w:t xml:space="preserve"> „</w:t>
      </w:r>
      <w:r w:rsidRPr="00642EC0">
        <w:rPr>
          <w:rFonts w:asciiTheme="minorHAnsi" w:hAnsiTheme="minorHAnsi" w:cstheme="minorHAnsi"/>
          <w:bCs/>
          <w:color w:val="000000"/>
        </w:rPr>
        <w:t>Perkančioji</w:t>
      </w:r>
      <w:r w:rsidRPr="00642EC0">
        <w:rPr>
          <w:rFonts w:asciiTheme="minorHAnsi" w:hAnsiTheme="minorHAnsi" w:cstheme="minorHAnsi"/>
          <w:color w:val="000000"/>
        </w:rPr>
        <w:t xml:space="preserve"> organizacija privalo </w:t>
      </w:r>
      <w:r w:rsidRPr="00642EC0">
        <w:rPr>
          <w:rFonts w:asciiTheme="minorHAnsi" w:hAnsiTheme="minorHAnsi" w:cstheme="minorHAnsi"/>
          <w:bCs/>
          <w:color w:val="000000"/>
        </w:rPr>
        <w:t>nutraukti pradėtas pirkimo ar projekto konkurso procedūras</w:t>
      </w:r>
      <w:r w:rsidRPr="00642EC0">
        <w:rPr>
          <w:rFonts w:asciiTheme="minorHAnsi" w:hAnsiTheme="minorHAnsi" w:cstheme="minorHAnsi"/>
          <w:color w:val="000000"/>
        </w:rPr>
        <w:t>, jeigu buvo pažeisti šio įstatymo 17 straipsnio 1 dalyje nustatyti principai ir atitinkamos padėties negalima ištaisyti.“</w:t>
      </w:r>
    </w:p>
  </w:footnote>
  <w:footnote w:id="11">
    <w:p w14:paraId="0204A7B4" w14:textId="77777777" w:rsidR="001E5070" w:rsidRPr="00642EC0" w:rsidRDefault="001E5070" w:rsidP="001E5070">
      <w:pPr>
        <w:pStyle w:val="FootnoteText"/>
        <w:jc w:val="both"/>
        <w:rPr>
          <w:rFonts w:asciiTheme="minorHAnsi" w:hAnsiTheme="minorHAnsi" w:cstheme="minorHAnsi"/>
        </w:rPr>
      </w:pPr>
      <w:r w:rsidRPr="00642EC0">
        <w:rPr>
          <w:rStyle w:val="FootnoteReference"/>
          <w:rFonts w:asciiTheme="minorHAnsi" w:hAnsiTheme="minorHAnsi" w:cstheme="minorHAnsi"/>
        </w:rPr>
        <w:footnoteRef/>
      </w:r>
      <w:r w:rsidRPr="00642EC0">
        <w:rPr>
          <w:rFonts w:asciiTheme="minorHAnsi" w:hAnsiTheme="minorHAnsi" w:cstheme="minorHAnsi"/>
        </w:rPr>
        <w:t xml:space="preserve">„ </w:t>
      </w:r>
      <w:r w:rsidRPr="00642EC0">
        <w:rPr>
          <w:rFonts w:asciiTheme="minorHAnsi" w:hAnsiTheme="minorHAnsi" w:cstheme="minorHAnsi"/>
          <w:bCs/>
          <w:color w:val="000000"/>
        </w:rPr>
        <w:t xml:space="preserve">Perkančioji organizacija turi teisę savo iniciatyva nutraukti pradėtas pirkimo ar projekto konkurso procedūras, jeigu atsirado aplinkybių, kurių nebuvo galima numatyti, arba </w:t>
      </w:r>
      <w:r w:rsidRPr="00642EC0">
        <w:rPr>
          <w:rFonts w:asciiTheme="minorHAnsi" w:hAnsiTheme="minorHAnsi" w:cstheme="minorHAnsi"/>
          <w:bCs/>
          <w:color w:val="000000"/>
          <w:lang w:eastAsia="lt-LT"/>
        </w:rPr>
        <w:t>pirkimo dokumentuose padaryta esminių klaidų, dėl kurių pirkimas tampa nebetikslingas ar jį įvykdžius būtų įsigytas perkančiosios organizacijos poreikių neatitinkantis pirkimo objektas“</w:t>
      </w:r>
      <w:r>
        <w:rPr>
          <w:rFonts w:asciiTheme="minorHAnsi" w:hAnsiTheme="minorHAnsi" w:cstheme="minorHAnsi"/>
          <w:bCs/>
          <w:color w:val="000000"/>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5525F"/>
    <w:multiLevelType w:val="multilevel"/>
    <w:tmpl w:val="DF8A3976"/>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70"/>
    <w:rsid w:val="001E5070"/>
    <w:rsid w:val="005F6BBB"/>
    <w:rsid w:val="006A2543"/>
    <w:rsid w:val="00D6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8833"/>
  <w15:chartTrackingRefBased/>
  <w15:docId w15:val="{A435BFF6-99F6-458A-944E-E21245E3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070"/>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E5070"/>
    <w:pPr>
      <w:ind w:left="720"/>
      <w:contextualSpacing/>
    </w:p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E5070"/>
    <w:pPr>
      <w:spacing w:after="0" w:line="240" w:lineRule="auto"/>
    </w:pPr>
    <w:rPr>
      <w:rFonts w:ascii="Calibri" w:hAnsi="Calibri" w:cs="Calibr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E5070"/>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E5070"/>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E5070"/>
    <w:rPr>
      <w:kern w:val="0"/>
      <w:lang w:val="lt-LT"/>
      <w14:ligatures w14:val="none"/>
    </w:rPr>
  </w:style>
  <w:style w:type="character" w:styleId="Hyperlink">
    <w:name w:val="Hyperlink"/>
    <w:basedOn w:val="DefaultParagraphFont"/>
    <w:uiPriority w:val="99"/>
    <w:unhideWhenUsed/>
    <w:rsid w:val="001E5070"/>
    <w:rPr>
      <w:color w:val="0563C1" w:themeColor="hyperlink"/>
      <w:u w:val="single"/>
    </w:rPr>
  </w:style>
  <w:style w:type="character" w:customStyle="1" w:styleId="normaltextrun">
    <w:name w:val="normaltextrun"/>
    <w:basedOn w:val="DefaultParagraphFont"/>
    <w:rsid w:val="001E5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5068</Words>
  <Characters>2890</Characters>
  <Application>Microsoft Office Word</Application>
  <DocSecurity>0</DocSecurity>
  <Lines>24</Lines>
  <Paragraphs>15</Paragraphs>
  <ScaleCrop>false</ScaleCrop>
  <Company>VPT</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dcterms:created xsi:type="dcterms:W3CDTF">2024-03-13T06:31:00Z</dcterms:created>
  <dcterms:modified xsi:type="dcterms:W3CDTF">2024-03-13T06:32:00Z</dcterms:modified>
</cp:coreProperties>
</file>