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59426" w14:textId="77777777" w:rsidR="00296405" w:rsidRPr="00BD5ABB" w:rsidRDefault="00296405" w:rsidP="00296405">
      <w:pPr>
        <w:spacing w:after="0" w:line="276" w:lineRule="auto"/>
        <w:ind w:firstLine="709"/>
        <w:rPr>
          <w:rFonts w:cstheme="minorHAnsi"/>
          <w:sz w:val="24"/>
          <w:szCs w:val="24"/>
        </w:rPr>
      </w:pPr>
      <w:r w:rsidRPr="00BD5ABB">
        <w:rPr>
          <w:rFonts w:eastAsia="Times New Roman" w:cstheme="minorHAnsi"/>
          <w:sz w:val="24"/>
          <w:szCs w:val="24"/>
          <w:lang w:val="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25115EA2" w14:textId="77777777" w:rsidR="00296405" w:rsidRPr="00BD5ABB" w:rsidRDefault="00296405" w:rsidP="00296405">
      <w:pPr>
        <w:spacing w:after="0" w:line="276" w:lineRule="auto"/>
        <w:ind w:firstLine="709"/>
        <w:rPr>
          <w:rFonts w:cstheme="minorHAnsi"/>
          <w:sz w:val="24"/>
          <w:szCs w:val="24"/>
        </w:rPr>
      </w:pPr>
      <w:r w:rsidRPr="00BD5ABB">
        <w:rPr>
          <w:rFonts w:eastAsia="Times New Roman" w:cstheme="minorHAnsi"/>
          <w:sz w:val="24"/>
          <w:szCs w:val="24"/>
          <w:lang w:val="lt"/>
        </w:rPr>
        <w:t xml:space="preserve">Vadovaujantis Tarnybai Įstatyme nustatyta pažeidimų prevencijos funkcija, šiuo metu atliekama </w:t>
      </w:r>
      <w:r w:rsidRPr="00BD5ABB">
        <w:rPr>
          <w:rFonts w:eastAsia="Times New Roman" w:cstheme="minorHAnsi"/>
          <w:b/>
          <w:bCs/>
          <w:sz w:val="24"/>
          <w:szCs w:val="24"/>
          <w:lang w:val="lt"/>
        </w:rPr>
        <w:t>Ukmergės rajono savivaldybės administracijos</w:t>
      </w:r>
      <w:r w:rsidRPr="00BD5ABB">
        <w:rPr>
          <w:rFonts w:cstheme="minorHAnsi"/>
          <w:b/>
          <w:bCs/>
          <w:spacing w:val="-2"/>
          <w:sz w:val="24"/>
          <w:szCs w:val="24"/>
        </w:rPr>
        <w:t xml:space="preserve"> </w:t>
      </w:r>
      <w:r w:rsidRPr="00BD5ABB">
        <w:rPr>
          <w:rFonts w:cstheme="minorHAnsi"/>
          <w:sz w:val="24"/>
          <w:szCs w:val="24"/>
          <w:lang w:eastAsia="lt-LT"/>
        </w:rPr>
        <w:t>(toliau – Perkančioji organizacija) vykdomo pirkimo Nr.</w:t>
      </w:r>
      <w:r w:rsidRPr="00BD5ABB">
        <w:rPr>
          <w:rFonts w:cstheme="minorHAnsi"/>
          <w:b/>
          <w:bCs/>
          <w:sz w:val="24"/>
          <w:szCs w:val="24"/>
          <w:lang w:eastAsia="lt-LT"/>
        </w:rPr>
        <w:t xml:space="preserve"> 711337 „Susisiekimo komunikacijų paskirties statinio Antakalnio gatvės Ukmergės mieste, rekonstravimo darbų viešasis pirkimas“</w:t>
      </w:r>
      <w:r w:rsidRPr="00BD5ABB">
        <w:rPr>
          <w:rFonts w:cstheme="minorHAnsi"/>
          <w:sz w:val="24"/>
          <w:szCs w:val="24"/>
          <w:lang w:eastAsia="lt-LT"/>
        </w:rPr>
        <w:t xml:space="preserve"> (toliau – Pirkimas) </w:t>
      </w:r>
      <w:r w:rsidRPr="00BD5ABB">
        <w:rPr>
          <w:rFonts w:cstheme="minorHAnsi"/>
          <w:sz w:val="24"/>
          <w:szCs w:val="24"/>
        </w:rPr>
        <w:t>dokumentų atitikties Įstatymui ir jį įgyvendinantiems teisės aktams peržiūra (peržiūra prevenciniais tikslais atliekama tam tikra apimtimi).</w:t>
      </w:r>
    </w:p>
    <w:p w14:paraId="266824C0" w14:textId="77777777" w:rsidR="00296405" w:rsidRPr="00BD5ABB" w:rsidRDefault="00296405" w:rsidP="00296405">
      <w:pPr>
        <w:spacing w:after="0" w:line="276" w:lineRule="auto"/>
        <w:ind w:firstLine="709"/>
        <w:rPr>
          <w:rFonts w:cstheme="minorHAnsi"/>
          <w:sz w:val="24"/>
          <w:szCs w:val="24"/>
          <w:lang w:eastAsia="lt-LT"/>
        </w:rPr>
      </w:pPr>
      <w:r w:rsidRPr="00BD5ABB">
        <w:rPr>
          <w:rFonts w:cstheme="minorHAnsi"/>
          <w:sz w:val="24"/>
          <w:szCs w:val="24"/>
          <w:lang w:eastAsia="lt-LT"/>
        </w:rPr>
        <w:t>Tarnyba, prevencine tvarka peržiūrėjusi Pirkimo dokumentus ir atsižvelgdama į galiojantį teisinį reglamentavimą</w:t>
      </w:r>
      <w:r w:rsidRPr="00821441">
        <w:rPr>
          <w:rFonts w:cstheme="minorHAnsi"/>
          <w:sz w:val="24"/>
          <w:szCs w:val="24"/>
          <w:lang w:eastAsia="lt-LT"/>
        </w:rPr>
        <w:t>, teikia pastabas ir rekomendacijas</w:t>
      </w:r>
      <w:r w:rsidRPr="00BD5ABB">
        <w:rPr>
          <w:rFonts w:cstheme="minorHAnsi"/>
          <w:sz w:val="24"/>
          <w:szCs w:val="24"/>
          <w:lang w:eastAsia="lt-LT"/>
        </w:rPr>
        <w:t xml:space="preserve"> (toliau – Rekomendacija) dėl Pirkimo dokumentų nuostatų.</w:t>
      </w:r>
    </w:p>
    <w:p w14:paraId="0A5A5A61" w14:textId="77777777" w:rsidR="00296405" w:rsidRDefault="00296405" w:rsidP="00296405">
      <w:pPr>
        <w:pStyle w:val="ListParagraph"/>
        <w:numPr>
          <w:ilvl w:val="0"/>
          <w:numId w:val="1"/>
        </w:numPr>
        <w:tabs>
          <w:tab w:val="left" w:pos="993"/>
        </w:tabs>
        <w:spacing w:after="0" w:line="276" w:lineRule="auto"/>
        <w:ind w:left="0" w:firstLine="709"/>
        <w:rPr>
          <w:b/>
          <w:bCs/>
          <w:sz w:val="24"/>
          <w:szCs w:val="24"/>
        </w:rPr>
      </w:pPr>
      <w:r w:rsidRPr="00A52F68">
        <w:rPr>
          <w:b/>
          <w:bCs/>
          <w:sz w:val="24"/>
          <w:szCs w:val="24"/>
        </w:rPr>
        <w:t>Dėl kvalifikacijos reikalavimų</w:t>
      </w:r>
    </w:p>
    <w:p w14:paraId="4749F934" w14:textId="77777777" w:rsidR="00296405" w:rsidRPr="00A303AA" w:rsidRDefault="00296405" w:rsidP="00296405">
      <w:pPr>
        <w:pStyle w:val="ListParagraph"/>
        <w:numPr>
          <w:ilvl w:val="1"/>
          <w:numId w:val="1"/>
        </w:numPr>
        <w:tabs>
          <w:tab w:val="left" w:pos="1134"/>
        </w:tabs>
        <w:spacing w:after="0" w:line="276" w:lineRule="auto"/>
        <w:ind w:left="0" w:firstLine="709"/>
        <w:rPr>
          <w:rFonts w:cstheme="minorHAnsi"/>
          <w:sz w:val="24"/>
          <w:szCs w:val="24"/>
        </w:rPr>
      </w:pPr>
      <w:r w:rsidRPr="00A303AA">
        <w:rPr>
          <w:rFonts w:cstheme="minorHAnsi"/>
          <w:sz w:val="24"/>
          <w:szCs w:val="24"/>
        </w:rPr>
        <w:t>Pirkimo sąlygų 3.15 punkto 2 lentelėje „Kvalifikacijos reikalavimai“ (toliau – Kvalifikacijos reikalavimai) 3.15.1 eilutėje nustatyta, kad „</w:t>
      </w:r>
      <w:r w:rsidRPr="00A303AA">
        <w:rPr>
          <w:rFonts w:eastAsia="Times New Roman" w:cstheme="minorHAnsi"/>
          <w:sz w:val="24"/>
          <w:szCs w:val="24"/>
        </w:rPr>
        <w:t>Tiekėjas,&lt;...&gt;,</w:t>
      </w:r>
      <w:r w:rsidRPr="00A303AA">
        <w:rPr>
          <w:rFonts w:eastAsia="Times New Roman" w:cstheme="minorHAnsi"/>
          <w:sz w:val="24"/>
          <w:szCs w:val="24"/>
          <w:lang w:eastAsia="ar-SA"/>
        </w:rPr>
        <w:t xml:space="preserve"> </w:t>
      </w:r>
      <w:r w:rsidRPr="00A303AA">
        <w:rPr>
          <w:rFonts w:eastAsia="Times New Roman" w:cstheme="minorHAnsi"/>
          <w:sz w:val="24"/>
          <w:szCs w:val="24"/>
        </w:rPr>
        <w:t xml:space="preserve">turi teisę būti* ypatingojo statinio, &lt;...&gt; statybos rangovu &lt;...&gt;; </w:t>
      </w:r>
      <w:r w:rsidRPr="00A303AA">
        <w:rPr>
          <w:rFonts w:cstheme="minorHAnsi"/>
          <w:sz w:val="24"/>
          <w:szCs w:val="24"/>
          <w:lang w:eastAsia="lt-LT"/>
        </w:rPr>
        <w:t>Statinių grupė –</w:t>
      </w:r>
      <w:r w:rsidRPr="00A303AA">
        <w:rPr>
          <w:rFonts w:eastAsia="Calibri" w:cstheme="minorHAnsi"/>
          <w:sz w:val="24"/>
          <w:szCs w:val="24"/>
        </w:rPr>
        <w:t xml:space="preserve"> </w:t>
      </w:r>
      <w:r w:rsidRPr="00A303AA">
        <w:rPr>
          <w:rFonts w:cstheme="minorHAnsi"/>
          <w:sz w:val="24"/>
          <w:szCs w:val="24"/>
        </w:rPr>
        <w:t xml:space="preserve">susisiekimo komunikacijos; </w:t>
      </w:r>
      <w:r w:rsidRPr="00A303AA">
        <w:rPr>
          <w:rFonts w:eastAsia="Calibri" w:cstheme="minorHAnsi"/>
          <w:sz w:val="24"/>
          <w:szCs w:val="24"/>
        </w:rPr>
        <w:t xml:space="preserve">Statinių pogrupiai </w:t>
      </w:r>
      <w:r w:rsidRPr="00A303AA">
        <w:rPr>
          <w:rFonts w:cstheme="minorHAnsi"/>
          <w:sz w:val="24"/>
          <w:szCs w:val="24"/>
        </w:rPr>
        <w:t>–</w:t>
      </w:r>
      <w:r w:rsidRPr="00A303AA">
        <w:rPr>
          <w:rFonts w:eastAsia="Calibri" w:cstheme="minorHAnsi"/>
          <w:sz w:val="24"/>
          <w:szCs w:val="24"/>
        </w:rPr>
        <w:t xml:space="preserve"> </w:t>
      </w:r>
      <w:r w:rsidRPr="00A303AA">
        <w:rPr>
          <w:rFonts w:cstheme="minorHAnsi"/>
          <w:sz w:val="24"/>
          <w:szCs w:val="24"/>
        </w:rPr>
        <w:t xml:space="preserve">gatvės arba </w:t>
      </w:r>
      <w:r w:rsidRPr="00A303AA">
        <w:rPr>
          <w:rFonts w:cstheme="minorHAnsi"/>
          <w:b/>
          <w:bCs/>
          <w:sz w:val="24"/>
          <w:szCs w:val="24"/>
        </w:rPr>
        <w:t>keliai</w:t>
      </w:r>
      <w:r w:rsidRPr="00A303AA">
        <w:rPr>
          <w:rFonts w:cstheme="minorHAnsi"/>
          <w:sz w:val="24"/>
          <w:szCs w:val="24"/>
          <w:lang w:eastAsia="lt-LT"/>
        </w:rPr>
        <w:t xml:space="preserve"> (teisinis pagrindas: Statybos techninis reglamentas STR 1.01.03:2017„Statinių klasifikavimas“); &lt;...&gt;“. </w:t>
      </w:r>
    </w:p>
    <w:p w14:paraId="7BEA220B" w14:textId="77777777" w:rsidR="00296405" w:rsidRDefault="00296405" w:rsidP="00296405">
      <w:pPr>
        <w:tabs>
          <w:tab w:val="left" w:pos="1134"/>
        </w:tabs>
        <w:spacing w:after="0" w:line="276" w:lineRule="auto"/>
        <w:ind w:firstLine="709"/>
        <w:rPr>
          <w:rFonts w:cstheme="minorHAnsi"/>
          <w:sz w:val="24"/>
          <w:szCs w:val="24"/>
          <w:lang w:eastAsia="lt-LT"/>
        </w:rPr>
      </w:pPr>
      <w:r>
        <w:rPr>
          <w:sz w:val="24"/>
          <w:szCs w:val="24"/>
        </w:rPr>
        <w:t>Atsižvelgiant į tai, kad Pirkimo objektas yra s</w:t>
      </w:r>
      <w:r w:rsidRPr="00A52F68">
        <w:rPr>
          <w:rFonts w:cstheme="minorHAnsi"/>
          <w:sz w:val="24"/>
          <w:szCs w:val="24"/>
          <w:lang w:eastAsia="lt-LT"/>
        </w:rPr>
        <w:t xml:space="preserve">usisiekimo komunikacijų paskirties statinio Antakalnio </w:t>
      </w:r>
      <w:r w:rsidRPr="00A52F68">
        <w:rPr>
          <w:rFonts w:cstheme="minorHAnsi"/>
          <w:b/>
          <w:bCs/>
          <w:sz w:val="24"/>
          <w:szCs w:val="24"/>
          <w:lang w:eastAsia="lt-LT"/>
        </w:rPr>
        <w:t>gatvės</w:t>
      </w:r>
      <w:r w:rsidRPr="00A52F68">
        <w:rPr>
          <w:rFonts w:cstheme="minorHAnsi"/>
          <w:sz w:val="24"/>
          <w:szCs w:val="24"/>
          <w:lang w:eastAsia="lt-LT"/>
        </w:rPr>
        <w:t xml:space="preserve"> Ukmergės mieste, rekonstravimo darb</w:t>
      </w:r>
      <w:r>
        <w:rPr>
          <w:rFonts w:cstheme="minorHAnsi"/>
          <w:sz w:val="24"/>
          <w:szCs w:val="24"/>
          <w:lang w:eastAsia="lt-LT"/>
        </w:rPr>
        <w:t>ai, Tarnyba rekomenduoja tikslinti šį kvalifikacijos reikalavimą, atsisakant kelių pogrupio. Atkreiptinas dėmesys, kad kvalifikacijos reikalavime statybos vadovui nurodytas tinkamas, atitinkantis Pirkimo objektą, statinio pogrupis – gatvės.</w:t>
      </w:r>
    </w:p>
    <w:p w14:paraId="6028FE40" w14:textId="77777777" w:rsidR="00296405" w:rsidRPr="00323F5F" w:rsidRDefault="00296405" w:rsidP="00296405">
      <w:pPr>
        <w:pStyle w:val="ListParagraph"/>
        <w:numPr>
          <w:ilvl w:val="1"/>
          <w:numId w:val="1"/>
        </w:numPr>
        <w:tabs>
          <w:tab w:val="left" w:pos="1134"/>
        </w:tabs>
        <w:spacing w:after="0" w:line="276" w:lineRule="auto"/>
        <w:ind w:left="0" w:firstLine="709"/>
        <w:rPr>
          <w:rFonts w:eastAsia="Times New Roman" w:cstheme="minorHAnsi"/>
          <w:sz w:val="24"/>
          <w:szCs w:val="24"/>
        </w:rPr>
      </w:pPr>
      <w:r w:rsidRPr="00323F5F">
        <w:rPr>
          <w:rFonts w:eastAsia="Times New Roman" w:cstheme="minorHAnsi"/>
          <w:sz w:val="24"/>
          <w:szCs w:val="24"/>
        </w:rPr>
        <w:t xml:space="preserve">Įstatymo 47 straipsnio 7 dalyje nustatyta, kad tiekėjo kvalifikacijos reikalavimai nustatomi pagal Tarnybos patvirtintą Tiekėjo kvalifikacijos reikalavimų nustatymo metodiką (toliau – </w:t>
      </w:r>
      <w:hyperlink r:id="rId7" w:history="1">
        <w:r w:rsidRPr="001524B8">
          <w:rPr>
            <w:rFonts w:eastAsia="Times New Roman" w:cstheme="minorHAnsi"/>
            <w:sz w:val="24"/>
            <w:szCs w:val="24"/>
          </w:rPr>
          <w:t>Metodika</w:t>
        </w:r>
      </w:hyperlink>
      <w:r w:rsidRPr="00323F5F">
        <w:rPr>
          <w:rFonts w:eastAsia="Times New Roman" w:cstheme="minorHAnsi"/>
          <w:sz w:val="24"/>
          <w:szCs w:val="24"/>
        </w:rPr>
        <w:t xml:space="preserve">). Pažymėtina, jog Metodikos 16 punkte nustatyta kas konkrečiu atveju laikoma panašiu pirkimo objektu, neleistina </w:t>
      </w:r>
      <w:r w:rsidRPr="00323F5F">
        <w:rPr>
          <w:rFonts w:eastAsia="Times New Roman" w:cstheme="minorHAnsi"/>
          <w:b/>
          <w:bCs/>
          <w:sz w:val="24"/>
          <w:szCs w:val="24"/>
        </w:rPr>
        <w:t>pernelyg susiaurinti vertinamo dalyko</w:t>
      </w:r>
      <w:r w:rsidRPr="00323F5F">
        <w:rPr>
          <w:rFonts w:eastAsia="Times New Roman" w:cstheme="minorHAnsi"/>
          <w:sz w:val="24"/>
          <w:szCs w:val="24"/>
        </w:rPr>
        <w:t xml:space="preserve">. </w:t>
      </w:r>
    </w:p>
    <w:p w14:paraId="1FAEB9A4" w14:textId="77777777" w:rsidR="00296405" w:rsidRPr="00323F5F" w:rsidRDefault="00296405" w:rsidP="00296405">
      <w:pPr>
        <w:tabs>
          <w:tab w:val="left" w:pos="1134"/>
        </w:tabs>
        <w:spacing w:after="0" w:line="276" w:lineRule="auto"/>
        <w:ind w:firstLine="709"/>
        <w:jc w:val="both"/>
        <w:rPr>
          <w:rFonts w:cstheme="minorHAnsi"/>
          <w:sz w:val="24"/>
          <w:szCs w:val="24"/>
        </w:rPr>
      </w:pPr>
      <w:r w:rsidRPr="00323F5F">
        <w:rPr>
          <w:rFonts w:cstheme="minorHAnsi"/>
          <w:sz w:val="24"/>
          <w:szCs w:val="24"/>
        </w:rPr>
        <w:t xml:space="preserve">Kvalifikacijos reikalavimų 3.15.2 eilutėje nustatytas </w:t>
      </w:r>
      <w:r w:rsidRPr="00323F5F">
        <w:rPr>
          <w:rFonts w:eastAsia="Times New Roman" w:cstheme="minorHAnsi"/>
          <w:sz w:val="24"/>
          <w:szCs w:val="24"/>
        </w:rPr>
        <w:t>kvalifikacijos reikalavimas dėl tiekėjo patirties:</w:t>
      </w:r>
      <w:r w:rsidRPr="00323F5F">
        <w:rPr>
          <w:rFonts w:cstheme="minorHAnsi"/>
          <w:sz w:val="24"/>
          <w:szCs w:val="24"/>
        </w:rPr>
        <w:t xml:space="preserve"> „Tiekėjo, &lt;...&gt;, tinkamai savo jėgomis atliktų </w:t>
      </w:r>
      <w:r w:rsidRPr="00323F5F">
        <w:rPr>
          <w:rFonts w:cstheme="minorHAnsi"/>
          <w:b/>
          <w:bCs/>
          <w:sz w:val="24"/>
          <w:szCs w:val="24"/>
        </w:rPr>
        <w:t>statybos ir/ar remonto darbų</w:t>
      </w:r>
      <w:r w:rsidRPr="00323F5F">
        <w:rPr>
          <w:rFonts w:cstheme="minorHAnsi"/>
          <w:sz w:val="24"/>
          <w:szCs w:val="24"/>
        </w:rPr>
        <w:t xml:space="preserve"> (statinių grupė - susisiekimo komunikacijų statiniai, pogrupis – keliai, gatvės) apimtis per  pastaruosius 5 metus* &lt;...&gt; yra ne mažesnė kaip 1 700 000,00 Eur be PVM“.</w:t>
      </w:r>
    </w:p>
    <w:p w14:paraId="0D147AA2" w14:textId="77777777" w:rsidR="00296405" w:rsidRDefault="00296405" w:rsidP="00296405">
      <w:pPr>
        <w:tabs>
          <w:tab w:val="left" w:pos="567"/>
          <w:tab w:val="left" w:pos="1134"/>
        </w:tabs>
        <w:spacing w:after="0" w:line="276" w:lineRule="auto"/>
        <w:ind w:firstLine="709"/>
        <w:rPr>
          <w:rFonts w:cstheme="minorHAnsi"/>
          <w:sz w:val="24"/>
          <w:szCs w:val="24"/>
          <w:lang w:eastAsia="lt-LT"/>
        </w:rPr>
      </w:pPr>
      <w:r>
        <w:rPr>
          <w:rFonts w:eastAsia="Times New Roman" w:cstheme="minorHAnsi"/>
          <w:sz w:val="24"/>
          <w:szCs w:val="24"/>
        </w:rPr>
        <w:tab/>
      </w:r>
      <w:r w:rsidRPr="007C4AAB">
        <w:rPr>
          <w:rFonts w:eastAsia="Times New Roman" w:cstheme="minorHAnsi"/>
          <w:sz w:val="24"/>
          <w:szCs w:val="24"/>
        </w:rPr>
        <w:t>Atsižvelgiant į Metodikos 16 punkto nuostatą, rekomenduotina nesusiaurinti vertinamo dalyko – patirties reikalavime nurodyti ne</w:t>
      </w:r>
      <w:r>
        <w:rPr>
          <w:rFonts w:eastAsia="Times New Roman" w:cstheme="minorHAnsi"/>
          <w:sz w:val="24"/>
          <w:szCs w:val="24"/>
        </w:rPr>
        <w:t xml:space="preserve"> tik statybos ir/ar remonto darbus</w:t>
      </w:r>
      <w:r w:rsidRPr="007C4AAB">
        <w:rPr>
          <w:rFonts w:eastAsia="Times New Roman" w:cstheme="minorHAnsi"/>
          <w:sz w:val="24"/>
          <w:szCs w:val="24"/>
        </w:rPr>
        <w:t>, bet ir</w:t>
      </w:r>
      <w:r>
        <w:rPr>
          <w:rFonts w:eastAsia="Times New Roman" w:cstheme="minorHAnsi"/>
          <w:sz w:val="24"/>
          <w:szCs w:val="24"/>
        </w:rPr>
        <w:t xml:space="preserve"> rekonstravimo darbus, nes </w:t>
      </w:r>
      <w:r>
        <w:rPr>
          <w:sz w:val="24"/>
          <w:szCs w:val="24"/>
        </w:rPr>
        <w:t xml:space="preserve">Pirkimo objektas yra </w:t>
      </w:r>
      <w:r w:rsidRPr="00A303AA">
        <w:rPr>
          <w:rFonts w:cstheme="minorHAnsi"/>
          <w:sz w:val="24"/>
          <w:szCs w:val="24"/>
          <w:lang w:eastAsia="lt-LT"/>
        </w:rPr>
        <w:t xml:space="preserve">gatvės </w:t>
      </w:r>
      <w:r w:rsidRPr="00A303AA">
        <w:rPr>
          <w:rFonts w:cstheme="minorHAnsi"/>
          <w:b/>
          <w:bCs/>
          <w:sz w:val="24"/>
          <w:szCs w:val="24"/>
          <w:lang w:eastAsia="lt-LT"/>
        </w:rPr>
        <w:t>rekonstravimo darb</w:t>
      </w:r>
      <w:r>
        <w:rPr>
          <w:rFonts w:cstheme="minorHAnsi"/>
          <w:b/>
          <w:bCs/>
          <w:sz w:val="24"/>
          <w:szCs w:val="24"/>
          <w:lang w:eastAsia="lt-LT"/>
        </w:rPr>
        <w:t>ai</w:t>
      </w:r>
      <w:r>
        <w:rPr>
          <w:rFonts w:cstheme="minorHAnsi"/>
          <w:sz w:val="24"/>
          <w:szCs w:val="24"/>
          <w:lang w:eastAsia="lt-LT"/>
        </w:rPr>
        <w:t>.</w:t>
      </w:r>
    </w:p>
    <w:p w14:paraId="65B15937" w14:textId="77777777" w:rsidR="00296405" w:rsidRDefault="00296405" w:rsidP="00296405">
      <w:pPr>
        <w:pStyle w:val="ListParagraph"/>
        <w:numPr>
          <w:ilvl w:val="1"/>
          <w:numId w:val="1"/>
        </w:numPr>
        <w:tabs>
          <w:tab w:val="left" w:pos="1134"/>
        </w:tabs>
        <w:spacing w:after="0" w:line="276" w:lineRule="auto"/>
        <w:ind w:left="0" w:firstLine="709"/>
        <w:rPr>
          <w:rFonts w:cstheme="minorHAnsi"/>
          <w:sz w:val="24"/>
          <w:szCs w:val="24"/>
        </w:rPr>
      </w:pPr>
      <w:r w:rsidRPr="00BE4454">
        <w:rPr>
          <w:rFonts w:cstheme="minorHAnsi"/>
          <w:sz w:val="24"/>
          <w:szCs w:val="24"/>
        </w:rPr>
        <w:t xml:space="preserve">Kvalifikacijos reikalavimų 3.15.2 eilutės skiltyje „Dokumentai įrodantys atitikimą kvalifikaciniam reikalavimui“ nurodyta, kad „&lt;...&gt; Pažymose turi būti nurodyta darbų objektas (statinio pavadinimas, </w:t>
      </w:r>
      <w:r w:rsidRPr="00BE4454">
        <w:rPr>
          <w:rFonts w:cstheme="minorHAnsi"/>
          <w:b/>
          <w:bCs/>
          <w:sz w:val="24"/>
          <w:szCs w:val="24"/>
        </w:rPr>
        <w:t>pastato grupė</w:t>
      </w:r>
      <w:r w:rsidRPr="00BE4454">
        <w:rPr>
          <w:rFonts w:cstheme="minorHAnsi"/>
          <w:sz w:val="24"/>
          <w:szCs w:val="24"/>
        </w:rPr>
        <w:t>). &lt;...&gt;“</w:t>
      </w:r>
      <w:r>
        <w:rPr>
          <w:rFonts w:cstheme="minorHAnsi"/>
          <w:sz w:val="24"/>
          <w:szCs w:val="24"/>
        </w:rPr>
        <w:t xml:space="preserve">. Atsižvelgiant į tai, kad šio Pirkimo objektas yra ne pastato darbai, taip pat atžvelgiant į patį kvalifikacijos reikalavimą, kuriame nurodytos </w:t>
      </w:r>
      <w:r>
        <w:rPr>
          <w:rFonts w:cstheme="minorHAnsi"/>
          <w:sz w:val="24"/>
          <w:szCs w:val="24"/>
        </w:rPr>
        <w:lastRenderedPageBreak/>
        <w:t xml:space="preserve">susisiekimo komunikacijų statinių grupės keliai, gatvės, rekomenduotina tikslinti </w:t>
      </w:r>
      <w:r w:rsidRPr="00BE4454">
        <w:rPr>
          <w:rFonts w:cstheme="minorHAnsi"/>
          <w:sz w:val="24"/>
          <w:szCs w:val="24"/>
        </w:rPr>
        <w:t>skilt</w:t>
      </w:r>
      <w:r>
        <w:rPr>
          <w:rFonts w:cstheme="minorHAnsi"/>
          <w:sz w:val="24"/>
          <w:szCs w:val="24"/>
        </w:rPr>
        <w:t>yje</w:t>
      </w:r>
      <w:r w:rsidRPr="00BE4454">
        <w:rPr>
          <w:rFonts w:cstheme="minorHAnsi"/>
          <w:sz w:val="24"/>
          <w:szCs w:val="24"/>
        </w:rPr>
        <w:t xml:space="preserve"> „Dokumentai įrodantys atitikimą kvalifikaciniam reikalavimui“</w:t>
      </w:r>
      <w:r>
        <w:rPr>
          <w:rFonts w:cstheme="minorHAnsi"/>
          <w:sz w:val="24"/>
          <w:szCs w:val="24"/>
        </w:rPr>
        <w:t xml:space="preserve"> esančią informaciją.</w:t>
      </w:r>
    </w:p>
    <w:p w14:paraId="5FB86DF1" w14:textId="77777777" w:rsidR="00296405" w:rsidRDefault="00296405" w:rsidP="00296405">
      <w:pPr>
        <w:numPr>
          <w:ilvl w:val="0"/>
          <w:numId w:val="1"/>
        </w:numPr>
        <w:tabs>
          <w:tab w:val="left" w:pos="0"/>
          <w:tab w:val="left" w:pos="993"/>
        </w:tabs>
        <w:spacing w:after="0" w:line="276" w:lineRule="auto"/>
        <w:ind w:hanging="11"/>
        <w:contextualSpacing/>
        <w:rPr>
          <w:rFonts w:eastAsia="Times New Roman" w:cstheme="minorHAnsi"/>
          <w:b/>
          <w:bCs/>
          <w:color w:val="000000"/>
          <w:sz w:val="24"/>
          <w:szCs w:val="24"/>
          <w:shd w:val="clear" w:color="auto" w:fill="FFFFFF"/>
          <w:lang w:eastAsia="lt-LT"/>
        </w:rPr>
      </w:pPr>
      <w:r w:rsidRPr="006129B5">
        <w:rPr>
          <w:rFonts w:eastAsia="Times New Roman" w:cstheme="minorHAnsi"/>
          <w:b/>
          <w:bCs/>
          <w:color w:val="000000"/>
          <w:sz w:val="24"/>
          <w:szCs w:val="24"/>
          <w:shd w:val="clear" w:color="auto" w:fill="FFFFFF"/>
          <w:lang w:eastAsia="lt-LT"/>
        </w:rPr>
        <w:t>Dėl pasiūlymų vertinimo</w:t>
      </w:r>
    </w:p>
    <w:p w14:paraId="415EA405" w14:textId="77777777" w:rsidR="00296405" w:rsidRPr="00AA1F9A" w:rsidRDefault="00296405" w:rsidP="00296405">
      <w:pPr>
        <w:tabs>
          <w:tab w:val="left" w:pos="0"/>
          <w:tab w:val="left" w:pos="1134"/>
        </w:tabs>
        <w:spacing w:after="0" w:line="276" w:lineRule="auto"/>
        <w:ind w:firstLine="709"/>
        <w:contextualSpacing/>
        <w:rPr>
          <w:rFonts w:eastAsia="Times New Roman" w:cstheme="minorHAnsi"/>
          <w:color w:val="000000"/>
          <w:sz w:val="24"/>
          <w:szCs w:val="24"/>
          <w:shd w:val="clear" w:color="auto" w:fill="FFFFFF"/>
          <w:lang w:eastAsia="lt-LT"/>
        </w:rPr>
      </w:pPr>
      <w:r>
        <w:rPr>
          <w:rFonts w:eastAsia="Times New Roman" w:cstheme="minorHAnsi"/>
          <w:color w:val="000000"/>
          <w:sz w:val="24"/>
          <w:szCs w:val="24"/>
          <w:shd w:val="clear" w:color="auto" w:fill="FFFFFF"/>
          <w:lang w:eastAsia="lt-LT"/>
        </w:rPr>
        <w:t xml:space="preserve">Pirkimo sąlygų 14.3 punkte nustatyta, kad </w:t>
      </w:r>
      <w:r w:rsidRPr="006129B5">
        <w:rPr>
          <w:rFonts w:eastAsia="Times New Roman" w:cstheme="minorHAnsi"/>
          <w:color w:val="000000"/>
          <w:sz w:val="24"/>
          <w:szCs w:val="24"/>
          <w:shd w:val="clear" w:color="auto" w:fill="FFFFFF"/>
          <w:lang w:eastAsia="lt-LT"/>
        </w:rPr>
        <w:t>ekonomiškai naudingiausias pasiūlymas bus išrenkamas pagal kainos ir kokybės kriterijų santykį: kainai</w:t>
      </w:r>
      <w:r>
        <w:rPr>
          <w:rFonts w:eastAsia="Times New Roman" w:cstheme="minorHAnsi"/>
          <w:color w:val="000000"/>
          <w:sz w:val="24"/>
          <w:szCs w:val="24"/>
          <w:shd w:val="clear" w:color="auto" w:fill="FFFFFF"/>
          <w:lang w:eastAsia="lt-LT"/>
        </w:rPr>
        <w:t xml:space="preserve"> (</w:t>
      </w:r>
      <w:proofErr w:type="spellStart"/>
      <w:r w:rsidRPr="002B661B">
        <w:rPr>
          <w:rFonts w:ascii="Times New Roman" w:hAnsi="Times New Roman"/>
          <w:sz w:val="24"/>
          <w:szCs w:val="24"/>
          <w:bdr w:val="nil"/>
        </w:rPr>
        <w:t>W</w:t>
      </w:r>
      <w:r w:rsidRPr="002B661B">
        <w:rPr>
          <w:rFonts w:ascii="Times New Roman" w:hAnsi="Times New Roman"/>
          <w:sz w:val="24"/>
          <w:szCs w:val="24"/>
          <w:bdr w:val="nil"/>
          <w:vertAlign w:val="subscript"/>
        </w:rPr>
        <w:t>kaina</w:t>
      </w:r>
      <w:proofErr w:type="spellEnd"/>
      <w:r w:rsidRPr="002627E1">
        <w:rPr>
          <w:rFonts w:ascii="Times New Roman" w:hAnsi="Times New Roman"/>
          <w:sz w:val="24"/>
          <w:szCs w:val="24"/>
          <w:bdr w:val="nil"/>
        </w:rPr>
        <w:t>)</w:t>
      </w:r>
      <w:r w:rsidRPr="006129B5">
        <w:rPr>
          <w:rFonts w:eastAsia="Times New Roman" w:cstheme="minorHAnsi"/>
          <w:color w:val="000000"/>
          <w:sz w:val="24"/>
          <w:szCs w:val="24"/>
          <w:shd w:val="clear" w:color="auto" w:fill="FFFFFF"/>
          <w:lang w:eastAsia="lt-LT"/>
        </w:rPr>
        <w:t xml:space="preserve"> nustatant lyginamąjį svorį – </w:t>
      </w:r>
      <w:r w:rsidRPr="002627E1">
        <w:rPr>
          <w:rFonts w:eastAsia="Times New Roman" w:cstheme="minorHAnsi"/>
          <w:b/>
          <w:bCs/>
          <w:color w:val="000000"/>
          <w:sz w:val="24"/>
          <w:szCs w:val="24"/>
          <w:shd w:val="clear" w:color="auto" w:fill="FFFFFF"/>
          <w:lang w:eastAsia="lt-LT"/>
        </w:rPr>
        <w:t>95</w:t>
      </w:r>
      <w:r w:rsidRPr="006129B5">
        <w:rPr>
          <w:rFonts w:eastAsia="Times New Roman" w:cstheme="minorHAnsi"/>
          <w:color w:val="000000"/>
          <w:sz w:val="24"/>
          <w:szCs w:val="24"/>
          <w:shd w:val="clear" w:color="auto" w:fill="FFFFFF"/>
          <w:lang w:eastAsia="lt-LT"/>
        </w:rPr>
        <w:t>, kokybės kriterij</w:t>
      </w:r>
      <w:r>
        <w:rPr>
          <w:rFonts w:eastAsia="Times New Roman" w:cstheme="minorHAnsi"/>
          <w:color w:val="000000"/>
          <w:sz w:val="24"/>
          <w:szCs w:val="24"/>
          <w:shd w:val="clear" w:color="auto" w:fill="FFFFFF"/>
          <w:lang w:eastAsia="lt-LT"/>
        </w:rPr>
        <w:t>ui „Darbų atlikimo terminas mėnesiais“</w:t>
      </w:r>
      <w:r w:rsidRPr="006129B5">
        <w:rPr>
          <w:rFonts w:eastAsia="Times New Roman" w:cstheme="minorHAnsi"/>
          <w:color w:val="000000"/>
          <w:sz w:val="24"/>
          <w:szCs w:val="24"/>
          <w:shd w:val="clear" w:color="auto" w:fill="FFFFFF"/>
          <w:lang w:eastAsia="lt-LT"/>
        </w:rPr>
        <w:t xml:space="preserve"> (</w:t>
      </w:r>
      <w:proofErr w:type="spellStart"/>
      <w:r w:rsidRPr="002B661B">
        <w:rPr>
          <w:rFonts w:ascii="Times New Roman" w:hAnsi="Times New Roman"/>
          <w:sz w:val="24"/>
          <w:szCs w:val="24"/>
          <w:bdr w:val="nil"/>
        </w:rPr>
        <w:t>W</w:t>
      </w:r>
      <w:r w:rsidRPr="002B661B">
        <w:rPr>
          <w:rFonts w:ascii="Times New Roman" w:hAnsi="Times New Roman"/>
          <w:sz w:val="24"/>
          <w:szCs w:val="24"/>
          <w:bdr w:val="nil"/>
          <w:vertAlign w:val="subscript"/>
        </w:rPr>
        <w:t>kokybė</w:t>
      </w:r>
      <w:proofErr w:type="spellEnd"/>
      <w:r>
        <w:rPr>
          <w:rFonts w:ascii="Times New Roman" w:hAnsi="Times New Roman"/>
          <w:sz w:val="24"/>
          <w:szCs w:val="24"/>
          <w:bdr w:val="nil"/>
        </w:rPr>
        <w:t>)</w:t>
      </w:r>
      <w:r w:rsidRPr="006129B5">
        <w:rPr>
          <w:rFonts w:eastAsia="Times New Roman" w:cstheme="minorHAnsi"/>
          <w:color w:val="000000"/>
          <w:sz w:val="24"/>
          <w:szCs w:val="24"/>
          <w:shd w:val="clear" w:color="auto" w:fill="FFFFFF"/>
          <w:lang w:eastAsia="lt-LT"/>
        </w:rPr>
        <w:t xml:space="preserve"> – </w:t>
      </w:r>
      <w:r w:rsidRPr="002627E1">
        <w:rPr>
          <w:rFonts w:eastAsia="Times New Roman" w:cstheme="minorHAnsi"/>
          <w:b/>
          <w:bCs/>
          <w:color w:val="000000"/>
          <w:sz w:val="24"/>
          <w:szCs w:val="24"/>
          <w:shd w:val="clear" w:color="auto" w:fill="FFFFFF"/>
          <w:lang w:eastAsia="lt-LT"/>
        </w:rPr>
        <w:t>5</w:t>
      </w:r>
      <w:r>
        <w:rPr>
          <w:rFonts w:eastAsia="Times New Roman" w:cstheme="minorHAnsi"/>
          <w:b/>
          <w:bCs/>
          <w:color w:val="000000"/>
          <w:sz w:val="24"/>
          <w:szCs w:val="24"/>
          <w:shd w:val="clear" w:color="auto" w:fill="FFFFFF"/>
          <w:lang w:eastAsia="lt-LT"/>
        </w:rPr>
        <w:t>.</w:t>
      </w:r>
      <w:r>
        <w:rPr>
          <w:rFonts w:eastAsia="Times New Roman" w:cstheme="minorHAnsi"/>
          <w:color w:val="000000"/>
          <w:sz w:val="24"/>
          <w:szCs w:val="24"/>
          <w:shd w:val="clear" w:color="auto" w:fill="FFFFFF"/>
          <w:lang w:eastAsia="lt-LT"/>
        </w:rPr>
        <w:t xml:space="preserve"> Įvertinus pirkimo sąlygų 14.5</w:t>
      </w:r>
      <w:r>
        <w:rPr>
          <w:rStyle w:val="FootnoteReference"/>
          <w:rFonts w:eastAsia="Times New Roman" w:cstheme="minorHAnsi"/>
          <w:color w:val="000000"/>
          <w:sz w:val="24"/>
          <w:szCs w:val="24"/>
          <w:shd w:val="clear" w:color="auto" w:fill="FFFFFF"/>
          <w:lang w:eastAsia="lt-LT"/>
        </w:rPr>
        <w:footnoteReference w:id="1"/>
      </w:r>
      <w:r>
        <w:rPr>
          <w:rFonts w:eastAsia="Times New Roman" w:cstheme="minorHAnsi"/>
          <w:color w:val="000000"/>
          <w:sz w:val="24"/>
          <w:szCs w:val="24"/>
          <w:shd w:val="clear" w:color="auto" w:fill="FFFFFF"/>
          <w:lang w:eastAsia="lt-LT"/>
        </w:rPr>
        <w:t xml:space="preserve"> ir 14.6</w:t>
      </w:r>
      <w:r>
        <w:rPr>
          <w:rStyle w:val="FootnoteReference"/>
          <w:rFonts w:eastAsia="Times New Roman" w:cstheme="minorHAnsi"/>
          <w:color w:val="000000"/>
          <w:sz w:val="24"/>
          <w:szCs w:val="24"/>
          <w:shd w:val="clear" w:color="auto" w:fill="FFFFFF"/>
          <w:lang w:eastAsia="lt-LT"/>
        </w:rPr>
        <w:footnoteReference w:id="2"/>
      </w:r>
      <w:r>
        <w:rPr>
          <w:rFonts w:eastAsia="Times New Roman" w:cstheme="minorHAnsi"/>
          <w:color w:val="000000"/>
          <w:sz w:val="24"/>
          <w:szCs w:val="24"/>
          <w:shd w:val="clear" w:color="auto" w:fill="FFFFFF"/>
          <w:lang w:eastAsia="lt-LT"/>
        </w:rPr>
        <w:t xml:space="preserve"> punktuose esančią informaciją, nustatyta, kad kainos ir kokybės kriterijaus lyginamieji svoriai skiriasi, t. y. nurodyta, kad kainos lyginamasis svoris yra </w:t>
      </w:r>
      <w:r w:rsidRPr="002627E1">
        <w:rPr>
          <w:rFonts w:eastAsia="Times New Roman" w:cstheme="minorHAnsi"/>
          <w:b/>
          <w:bCs/>
          <w:color w:val="000000"/>
          <w:sz w:val="24"/>
          <w:szCs w:val="24"/>
          <w:shd w:val="clear" w:color="auto" w:fill="FFFFFF"/>
          <w:lang w:eastAsia="lt-LT"/>
        </w:rPr>
        <w:t>85</w:t>
      </w:r>
      <w:r w:rsidRPr="00AA1F9A">
        <w:rPr>
          <w:rFonts w:eastAsia="Times New Roman" w:cstheme="minorHAnsi"/>
          <w:color w:val="000000"/>
          <w:sz w:val="24"/>
          <w:szCs w:val="24"/>
          <w:shd w:val="clear" w:color="auto" w:fill="FFFFFF"/>
          <w:lang w:eastAsia="lt-LT"/>
        </w:rPr>
        <w:t xml:space="preserve">, o kokybės kriterijaus lyginamasis svoris – </w:t>
      </w:r>
      <w:r>
        <w:rPr>
          <w:rFonts w:eastAsia="Times New Roman" w:cstheme="minorHAnsi"/>
          <w:b/>
          <w:bCs/>
          <w:color w:val="000000"/>
          <w:sz w:val="24"/>
          <w:szCs w:val="24"/>
          <w:shd w:val="clear" w:color="auto" w:fill="FFFFFF"/>
          <w:lang w:eastAsia="lt-LT"/>
        </w:rPr>
        <w:t>15.</w:t>
      </w:r>
    </w:p>
    <w:p w14:paraId="66C73C1D" w14:textId="77777777" w:rsidR="00296405" w:rsidRDefault="00296405" w:rsidP="00296405">
      <w:pPr>
        <w:tabs>
          <w:tab w:val="left" w:pos="0"/>
          <w:tab w:val="left" w:pos="1134"/>
        </w:tabs>
        <w:spacing w:after="0" w:line="276" w:lineRule="auto"/>
        <w:ind w:firstLine="709"/>
        <w:contextualSpacing/>
        <w:rPr>
          <w:rFonts w:eastAsia="Times New Roman" w:cstheme="minorHAnsi"/>
          <w:sz w:val="24"/>
          <w:szCs w:val="24"/>
          <w:lang w:eastAsia="lt-LT"/>
        </w:rPr>
      </w:pPr>
      <w:r w:rsidRPr="00740D83">
        <w:rPr>
          <w:rFonts w:eastAsia="Times New Roman" w:cstheme="minorHAnsi"/>
          <w:sz w:val="24"/>
          <w:szCs w:val="24"/>
          <w:lang w:eastAsia="lt-LT"/>
        </w:rPr>
        <w:t>Atsižvelgiant į tai, kad Pirkimo dokumentai turi būti tikslūs, aiškūs ir be dviprasmybių</w:t>
      </w:r>
      <w:r w:rsidRPr="00740D83">
        <w:rPr>
          <w:rFonts w:eastAsia="Times New Roman" w:cstheme="minorHAnsi"/>
          <w:sz w:val="24"/>
          <w:szCs w:val="24"/>
          <w:vertAlign w:val="superscript"/>
          <w:lang w:eastAsia="lt-LT"/>
        </w:rPr>
        <w:footnoteReference w:id="3"/>
      </w:r>
      <w:r w:rsidRPr="00740D83">
        <w:rPr>
          <w:rFonts w:eastAsia="Times New Roman" w:cstheme="minorHAnsi"/>
          <w:sz w:val="24"/>
          <w:szCs w:val="24"/>
          <w:lang w:eastAsia="lt-LT"/>
        </w:rPr>
        <w:t xml:space="preserve">, Tarnyba rekomenduoja patikslinti (suvienodinti) Pirkimo dokumentuose pateiktą informaciją, susijusią su pasiūlymų </w:t>
      </w:r>
      <w:r>
        <w:rPr>
          <w:rFonts w:eastAsia="Times New Roman" w:cstheme="minorHAnsi"/>
          <w:sz w:val="24"/>
          <w:szCs w:val="24"/>
          <w:lang w:eastAsia="lt-LT"/>
        </w:rPr>
        <w:t>vertinimu.</w:t>
      </w:r>
    </w:p>
    <w:p w14:paraId="045A1EBF" w14:textId="77777777" w:rsidR="00296405" w:rsidRPr="00AA1F9A" w:rsidRDefault="00296405" w:rsidP="00296405">
      <w:pPr>
        <w:pStyle w:val="ListParagraph"/>
        <w:numPr>
          <w:ilvl w:val="0"/>
          <w:numId w:val="1"/>
        </w:numPr>
        <w:tabs>
          <w:tab w:val="left" w:pos="0"/>
          <w:tab w:val="left" w:pos="993"/>
        </w:tabs>
        <w:spacing w:after="0" w:line="276" w:lineRule="auto"/>
        <w:ind w:left="0" w:firstLine="709"/>
        <w:rPr>
          <w:rFonts w:eastAsia="Times New Roman" w:cstheme="minorHAnsi"/>
          <w:b/>
          <w:bCs/>
          <w:color w:val="000000"/>
          <w:sz w:val="24"/>
          <w:szCs w:val="24"/>
          <w:shd w:val="clear" w:color="auto" w:fill="FFFFFF"/>
          <w:lang w:eastAsia="lt-LT"/>
        </w:rPr>
      </w:pPr>
      <w:r>
        <w:rPr>
          <w:rFonts w:eastAsia="Times New Roman" w:cstheme="minorHAnsi"/>
          <w:b/>
          <w:bCs/>
          <w:color w:val="000000"/>
          <w:sz w:val="24"/>
          <w:szCs w:val="24"/>
          <w:shd w:val="clear" w:color="auto" w:fill="FFFFFF"/>
          <w:lang w:eastAsia="lt-LT"/>
        </w:rPr>
        <w:t>Dėl kitų Pirkimo dokumentų nuostatų</w:t>
      </w:r>
    </w:p>
    <w:p w14:paraId="105A42AE" w14:textId="77777777" w:rsidR="00296405" w:rsidRPr="00AA1F9A" w:rsidRDefault="00296405" w:rsidP="00296405">
      <w:pPr>
        <w:tabs>
          <w:tab w:val="left" w:pos="0"/>
          <w:tab w:val="left" w:pos="1134"/>
        </w:tabs>
        <w:spacing w:after="0" w:line="276" w:lineRule="auto"/>
        <w:ind w:firstLine="709"/>
        <w:contextualSpacing/>
        <w:rPr>
          <w:rFonts w:cstheme="minorHAnsi"/>
          <w:sz w:val="24"/>
          <w:szCs w:val="24"/>
        </w:rPr>
      </w:pPr>
      <w:r w:rsidRPr="00AA1F9A">
        <w:rPr>
          <w:rFonts w:eastAsia="Times New Roman" w:cstheme="minorHAnsi"/>
          <w:color w:val="000000"/>
          <w:sz w:val="24"/>
          <w:szCs w:val="24"/>
          <w:shd w:val="clear" w:color="auto" w:fill="FFFFFF"/>
          <w:lang w:eastAsia="lt-LT"/>
        </w:rPr>
        <w:t>Pasiūlymo formos (Pirkimo sąlygų 1 priedas) 1.1 punkte nustatyta, kad „</w:t>
      </w:r>
      <w:r w:rsidRPr="00AA1F9A">
        <w:rPr>
          <w:rFonts w:cstheme="minorHAnsi"/>
          <w:bCs/>
          <w:sz w:val="24"/>
          <w:szCs w:val="24"/>
        </w:rPr>
        <w:t>Šiuo pasiūlymu pažymime, kad sutinkame su visomis pirkimo sąlygomis, nustatytomis: 1.1.</w:t>
      </w:r>
      <w:r w:rsidRPr="00AA1F9A">
        <w:rPr>
          <w:rFonts w:cstheme="minorHAnsi"/>
          <w:b/>
          <w:sz w:val="24"/>
          <w:szCs w:val="24"/>
        </w:rPr>
        <w:t xml:space="preserve"> </w:t>
      </w:r>
      <w:r w:rsidRPr="00AA1F9A">
        <w:rPr>
          <w:rFonts w:cstheme="minorHAnsi"/>
          <w:sz w:val="24"/>
          <w:szCs w:val="24"/>
        </w:rPr>
        <w:t xml:space="preserve">pirkimo skelbime, paskelbtame </w:t>
      </w:r>
      <w:r w:rsidRPr="00AA1F9A">
        <w:rPr>
          <w:rFonts w:cstheme="minorHAnsi"/>
          <w:b/>
          <w:bCs/>
          <w:sz w:val="24"/>
          <w:szCs w:val="24"/>
        </w:rPr>
        <w:t>Pirkimų įstatymo</w:t>
      </w:r>
      <w:r w:rsidRPr="00AA1F9A">
        <w:rPr>
          <w:rFonts w:cstheme="minorHAnsi"/>
          <w:sz w:val="24"/>
          <w:szCs w:val="24"/>
        </w:rPr>
        <w:t xml:space="preserve"> nustatyta tvarka“, o 7.4 punkte – „Pasirašydamas šį pasiūlymą, tvirtintu, kad:</w:t>
      </w:r>
      <w:r w:rsidRPr="00283755">
        <w:rPr>
          <w:rFonts w:cstheme="minorHAnsi"/>
          <w:sz w:val="24"/>
          <w:szCs w:val="24"/>
        </w:rPr>
        <w:t xml:space="preserve"> &lt;...&gt; </w:t>
      </w:r>
      <w:r w:rsidRPr="00AA1F9A">
        <w:rPr>
          <w:rFonts w:eastAsia="Times New Roman" w:cstheme="minorHAnsi"/>
          <w:sz w:val="24"/>
          <w:szCs w:val="24"/>
        </w:rPr>
        <w:t xml:space="preserve">7.4. sutinku, kad vadovaujantis </w:t>
      </w:r>
      <w:r w:rsidRPr="00AA1F9A">
        <w:rPr>
          <w:rFonts w:eastAsia="Times New Roman" w:cstheme="minorHAnsi"/>
          <w:b/>
          <w:bCs/>
          <w:sz w:val="24"/>
          <w:szCs w:val="24"/>
        </w:rPr>
        <w:t>Lietuvos Respublikos Pirkimų įstatymo 94 straipsnio 9 dalimi</w:t>
      </w:r>
      <w:r w:rsidRPr="00AA1F9A">
        <w:rPr>
          <w:rFonts w:eastAsia="Times New Roman" w:cstheme="minorHAnsi"/>
          <w:sz w:val="24"/>
          <w:szCs w:val="24"/>
        </w:rPr>
        <w:t>, laimėjimo atveju, mano pateiktas pasiūlymas, sudaryta pirkimo sutartis ir jos pakeitimai (jei tokių bus) būtų paskelbti CVP IS“. Pirkimo sąlygų 1.3 punkte nustatyta, kad „</w:t>
      </w:r>
      <w:r w:rsidRPr="00AA1F9A">
        <w:rPr>
          <w:rFonts w:cstheme="minorHAnsi"/>
          <w:sz w:val="24"/>
          <w:szCs w:val="24"/>
        </w:rPr>
        <w:t xml:space="preserve">Pirkimas vykdomas vadovaujantis </w:t>
      </w:r>
      <w:r w:rsidRPr="00AA1F9A">
        <w:rPr>
          <w:rFonts w:cstheme="minorHAnsi"/>
          <w:b/>
          <w:bCs/>
          <w:sz w:val="24"/>
          <w:szCs w:val="24"/>
        </w:rPr>
        <w:t>Lietuvos Respublikos viešųjų pirkimų įstatymu</w:t>
      </w:r>
      <w:r w:rsidRPr="00AA1F9A">
        <w:rPr>
          <w:rFonts w:cstheme="minorHAnsi"/>
          <w:sz w:val="24"/>
          <w:szCs w:val="24"/>
        </w:rPr>
        <w:t xml:space="preserve"> (toliau – Viešųjų pirkimų įstatymas), &lt;...&gt;“.</w:t>
      </w:r>
      <w:r>
        <w:rPr>
          <w:rFonts w:cstheme="minorHAnsi"/>
          <w:sz w:val="24"/>
          <w:szCs w:val="24"/>
        </w:rPr>
        <w:t xml:space="preserve"> </w:t>
      </w:r>
    </w:p>
    <w:p w14:paraId="71BCD703" w14:textId="77777777" w:rsidR="00296405" w:rsidRPr="00283755" w:rsidRDefault="00296405" w:rsidP="00296405">
      <w:pPr>
        <w:tabs>
          <w:tab w:val="left" w:pos="0"/>
          <w:tab w:val="left" w:pos="1134"/>
        </w:tabs>
        <w:spacing w:after="0" w:line="276" w:lineRule="auto"/>
        <w:ind w:firstLine="709"/>
        <w:contextualSpacing/>
        <w:rPr>
          <w:rFonts w:eastAsia="Times New Roman" w:cstheme="minorHAnsi"/>
          <w:sz w:val="24"/>
          <w:szCs w:val="24"/>
          <w:lang w:eastAsia="lt-LT"/>
        </w:rPr>
      </w:pPr>
      <w:r w:rsidRPr="00283755">
        <w:rPr>
          <w:rFonts w:eastAsia="Times New Roman" w:cstheme="minorHAnsi"/>
          <w:sz w:val="24"/>
          <w:szCs w:val="24"/>
          <w:lang w:eastAsia="lt-LT"/>
        </w:rPr>
        <w:t>Atsižvelgiant į tai, kad Pirkimo dokumentai turi būti tikslūs, aiškūs ir be dviprasmybių</w:t>
      </w:r>
      <w:r w:rsidRPr="00283755">
        <w:rPr>
          <w:rFonts w:eastAsia="Times New Roman" w:cstheme="minorHAnsi"/>
          <w:sz w:val="24"/>
          <w:szCs w:val="24"/>
          <w:vertAlign w:val="superscript"/>
          <w:lang w:eastAsia="lt-LT"/>
        </w:rPr>
        <w:footnoteReference w:id="4"/>
      </w:r>
      <w:r w:rsidRPr="00283755">
        <w:rPr>
          <w:rFonts w:eastAsia="Times New Roman" w:cstheme="minorHAnsi"/>
          <w:sz w:val="24"/>
          <w:szCs w:val="24"/>
          <w:lang w:eastAsia="lt-LT"/>
        </w:rPr>
        <w:t>, Tarnyba rekomenduoja patikslinti (suvienodinti) Pirkimo dokumentuose pateiktą informaciją apie tai, kokiu įstatymu yra vadovaujamasi vykdant Pirkimą.</w:t>
      </w:r>
    </w:p>
    <w:p w14:paraId="74918B11" w14:textId="77777777" w:rsidR="00296405" w:rsidRPr="00283755" w:rsidRDefault="00296405" w:rsidP="00296405">
      <w:pPr>
        <w:pStyle w:val="ListParagraph"/>
        <w:numPr>
          <w:ilvl w:val="0"/>
          <w:numId w:val="1"/>
        </w:numPr>
        <w:tabs>
          <w:tab w:val="left" w:pos="0"/>
          <w:tab w:val="left" w:pos="993"/>
        </w:tabs>
        <w:spacing w:after="0" w:line="276" w:lineRule="auto"/>
        <w:ind w:hanging="11"/>
        <w:rPr>
          <w:rFonts w:eastAsia="Times New Roman" w:cstheme="minorHAnsi"/>
          <w:b/>
          <w:bCs/>
          <w:color w:val="000000"/>
          <w:sz w:val="24"/>
          <w:szCs w:val="24"/>
          <w:shd w:val="clear" w:color="auto" w:fill="FFFFFF"/>
          <w:lang w:eastAsia="lt-LT"/>
        </w:rPr>
      </w:pPr>
      <w:r w:rsidRPr="00283755">
        <w:rPr>
          <w:rFonts w:eastAsia="Times New Roman" w:cstheme="minorHAnsi"/>
          <w:b/>
          <w:bCs/>
          <w:color w:val="000000"/>
          <w:sz w:val="24"/>
          <w:szCs w:val="24"/>
          <w:shd w:val="clear" w:color="auto" w:fill="FFFFFF"/>
          <w:lang w:eastAsia="lt-LT"/>
        </w:rPr>
        <w:t>Dėl Sutarties projekto nuostatų</w:t>
      </w:r>
    </w:p>
    <w:p w14:paraId="0E910A7B" w14:textId="77777777" w:rsidR="00296405" w:rsidRPr="004A2C95" w:rsidRDefault="00296405" w:rsidP="00296405">
      <w:pPr>
        <w:pStyle w:val="ListParagraph"/>
        <w:numPr>
          <w:ilvl w:val="1"/>
          <w:numId w:val="1"/>
        </w:numPr>
        <w:tabs>
          <w:tab w:val="left" w:pos="1134"/>
        </w:tabs>
        <w:suppressAutoHyphens/>
        <w:spacing w:after="0" w:line="276" w:lineRule="auto"/>
        <w:ind w:left="0" w:firstLine="709"/>
        <w:rPr>
          <w:sz w:val="24"/>
          <w:szCs w:val="24"/>
        </w:rPr>
      </w:pPr>
      <w:r w:rsidRPr="004A2C95">
        <w:rPr>
          <w:rFonts w:eastAsia="Calibri" w:cstheme="minorHAnsi"/>
          <w:sz w:val="24"/>
          <w:szCs w:val="24"/>
          <w:lang w:eastAsia="lt-LT"/>
        </w:rPr>
        <w:t xml:space="preserve">Sutarties projekto (Pirkimo sąlygų 6 priedas) (toliau – Sutarties projektas) 4.1 punkte nustatyta, kad „&lt;...&gt; Sutarčiai įsigaliojus, ji </w:t>
      </w:r>
      <w:r w:rsidRPr="004A2C95">
        <w:rPr>
          <w:rFonts w:eastAsia="Calibri" w:cstheme="minorHAnsi"/>
          <w:bCs/>
          <w:noProof/>
          <w:sz w:val="24"/>
          <w:szCs w:val="24"/>
          <w:lang w:eastAsia="lt-LT"/>
        </w:rPr>
        <w:t xml:space="preserve">galioja iki visų Darbų užbaigimo ir atsiskaitymo už juos, bei kitų sutartinių įsipareigojimų įvykdymo dienos, arba kai Sutarties Šalys sutaria ją nutraukti, arba ji nutraukiama Sutartyje nustatytais atvejais“. Atsižvelgiant į tai, kad sutarčiai taikoma </w:t>
      </w:r>
      <w:r w:rsidRPr="004A2C95">
        <w:rPr>
          <w:rFonts w:eastAsia="Calibri" w:cstheme="minorHAnsi"/>
          <w:b/>
          <w:noProof/>
          <w:sz w:val="24"/>
          <w:szCs w:val="24"/>
          <w:lang w:eastAsia="lt-LT"/>
        </w:rPr>
        <w:t>fiksuoto įkainio kainodara</w:t>
      </w:r>
      <w:r w:rsidRPr="004A2C95">
        <w:rPr>
          <w:rFonts w:eastAsia="Calibri" w:cstheme="minorHAnsi"/>
          <w:bCs/>
          <w:noProof/>
          <w:sz w:val="24"/>
          <w:szCs w:val="24"/>
          <w:lang w:eastAsia="lt-LT"/>
        </w:rPr>
        <w:t xml:space="preserve"> (Sutarties projekto 3.1 punktas), Tarnyba rekomenduoja </w:t>
      </w:r>
      <w:r w:rsidRPr="004A2C95">
        <w:rPr>
          <w:rFonts w:eastAsia="Calibri" w:cstheme="minorHAnsi"/>
          <w:bCs/>
          <w:noProof/>
          <w:sz w:val="24"/>
          <w:szCs w:val="24"/>
          <w:lang w:eastAsia="lt-LT"/>
        </w:rPr>
        <w:lastRenderedPageBreak/>
        <w:t>įsivertinti, ar nevertėtų tikslinti Sutarties projekto 4.1 punkto jį papildant informacija – „</w:t>
      </w:r>
      <w:r w:rsidRPr="004A2C95">
        <w:rPr>
          <w:sz w:val="24"/>
          <w:szCs w:val="24"/>
        </w:rPr>
        <w:t>arba kol bus pasiekta maksimali sutarties kaina, nurodyta Sutarties 3.3 p.“?</w:t>
      </w:r>
    </w:p>
    <w:p w14:paraId="6D4BDB89" w14:textId="77777777" w:rsidR="00296405" w:rsidRPr="004A2C95" w:rsidRDefault="00296405" w:rsidP="00296405">
      <w:pPr>
        <w:pStyle w:val="ListParagraph"/>
        <w:numPr>
          <w:ilvl w:val="1"/>
          <w:numId w:val="1"/>
        </w:numPr>
        <w:tabs>
          <w:tab w:val="left" w:pos="567"/>
          <w:tab w:val="left" w:pos="1201"/>
          <w:tab w:val="left" w:pos="1276"/>
        </w:tabs>
        <w:suppressAutoHyphens/>
        <w:autoSpaceDE w:val="0"/>
        <w:spacing w:after="0" w:line="276" w:lineRule="auto"/>
        <w:ind w:left="0" w:firstLine="709"/>
        <w:rPr>
          <w:rFonts w:eastAsia="Times New Roman" w:cstheme="minorHAnsi"/>
          <w:noProof/>
          <w:sz w:val="24"/>
          <w:szCs w:val="24"/>
        </w:rPr>
      </w:pPr>
      <w:r w:rsidRPr="004A2C95">
        <w:rPr>
          <w:rFonts w:eastAsia="Times New Roman" w:cstheme="minorHAnsi"/>
          <w:noProof/>
          <w:sz w:val="24"/>
          <w:szCs w:val="24"/>
        </w:rPr>
        <w:t xml:space="preserve">Sutarties projekto 11.8 punkte nustatyta, kad </w:t>
      </w:r>
      <w:r w:rsidRPr="004A2C95">
        <w:rPr>
          <w:rFonts w:eastAsia="Times New Roman" w:cstheme="minorHAnsi"/>
          <w:i/>
          <w:iCs/>
          <w:noProof/>
          <w:sz w:val="24"/>
          <w:szCs w:val="24"/>
        </w:rPr>
        <w:t>„</w:t>
      </w:r>
      <w:r w:rsidRPr="004A2C95">
        <w:rPr>
          <w:rFonts w:eastAsia="Times New Roman" w:cstheme="minorHAnsi"/>
          <w:sz w:val="24"/>
          <w:szCs w:val="24"/>
          <w:lang w:eastAsia="ar-SA"/>
        </w:rPr>
        <w:t xml:space="preserve">Tais atvejais, kai Sutarties vykdymo </w:t>
      </w:r>
      <w:r w:rsidRPr="004A2C95">
        <w:rPr>
          <w:rFonts w:eastAsia="Times New Roman" w:cstheme="minorHAnsi"/>
          <w:b/>
          <w:bCs/>
          <w:sz w:val="24"/>
          <w:szCs w:val="24"/>
          <w:lang w:eastAsia="ar-SA"/>
        </w:rPr>
        <w:t>sustabdymas truko ilgiau</w:t>
      </w:r>
      <w:r w:rsidRPr="004A2C95">
        <w:rPr>
          <w:rFonts w:eastAsia="Times New Roman" w:cstheme="minorHAnsi"/>
          <w:sz w:val="24"/>
          <w:szCs w:val="24"/>
          <w:lang w:eastAsia="ar-SA"/>
        </w:rPr>
        <w:t xml:space="preserve"> nei Sutarties sustabdymo metu buvo likęs terminas iki Rangovo sutartinių įsipareigojimų įvykdymo pabaigos, po sustabdymo pratęsiant vykdymo terminą, pratęsimas turi būti t</w:t>
      </w:r>
      <w:r w:rsidRPr="004A2C95">
        <w:rPr>
          <w:rFonts w:eastAsia="Times New Roman" w:cstheme="minorHAnsi"/>
          <w:sz w:val="24"/>
          <w:szCs w:val="24"/>
          <w:lang w:eastAsia="lt-LT"/>
        </w:rPr>
        <w:t>am terminui, kuris sustabdymo metu buvo likęs iki Rangovo sutartinių įsipareigojimų įvykdymo pabaigos“, o 11.9 punkte – „</w:t>
      </w:r>
      <w:r w:rsidRPr="004A2C95">
        <w:rPr>
          <w:rFonts w:eastAsia="Times New Roman" w:cstheme="minorHAnsi"/>
          <w:sz w:val="24"/>
          <w:szCs w:val="24"/>
          <w:lang w:eastAsia="ar-SA"/>
        </w:rPr>
        <w:t xml:space="preserve">Tais atvejais, kai Sutarties vykdymo </w:t>
      </w:r>
      <w:r w:rsidRPr="004A2C95">
        <w:rPr>
          <w:rFonts w:eastAsia="Times New Roman" w:cstheme="minorHAnsi"/>
          <w:b/>
          <w:bCs/>
          <w:sz w:val="24"/>
          <w:szCs w:val="24"/>
          <w:lang w:eastAsia="ar-SA"/>
        </w:rPr>
        <w:t>sustabdymas truko trumpiau</w:t>
      </w:r>
      <w:r w:rsidRPr="004A2C95">
        <w:rPr>
          <w:rFonts w:eastAsia="Times New Roman" w:cstheme="minorHAnsi"/>
          <w:sz w:val="24"/>
          <w:szCs w:val="24"/>
          <w:lang w:eastAsia="ar-SA"/>
        </w:rPr>
        <w:t xml:space="preserve"> nei Sutarties sustabdymo metu buvo likęs terminas iki Rangovo sutartinių įsipareigojimų įvykdymo pabaigos, Rangovo sutartinių įsipareigojimų vykdymo terminas pratęsiamas tokiam laikotarpiui, kuriam jis buvo sustabdytas“. </w:t>
      </w:r>
      <w:r w:rsidRPr="004A2C95">
        <w:rPr>
          <w:rFonts w:eastAsia="Times New Roman" w:cstheme="minorHAnsi"/>
          <w:noProof/>
          <w:sz w:val="24"/>
          <w:szCs w:val="24"/>
        </w:rPr>
        <w:t>Tarnyba pažymi, kad sutartinių įsipareigojimų, kurių vykdymas buvo sustabdytas, vykdymo terminas turi būti pratęsiamas ne tam laikotarpiui, kiek trunka sutartinių įsipareigojimų vykdymo sustabdymas, o laikotarpiui, kuris, išnykus aplinkybėms, dėl kurių sutartinių įsipareigojimų (jų dalies) vykdymas buvo sustabdytas, pagal sutartį buvo likęs tiekėjo sutartinių įsipareigojimų (jų dalies) vykdymui iki kol sutartinių įsipareigojimų (jų dalies) vykdymas buvo sustabdytas. Atsižvelgiant į tai, Tarnyba prašo paaiškinti Sutarties projekte įtvirtintų nuostatų (11.8.–11.9.) tikslą ir kaip jos bus taikomos Sutarties vykdymo metu.</w:t>
      </w:r>
    </w:p>
    <w:p w14:paraId="48BA9768" w14:textId="77777777" w:rsidR="00296405" w:rsidRPr="00230F9F" w:rsidRDefault="00296405" w:rsidP="00296405">
      <w:pPr>
        <w:spacing w:after="0" w:line="276" w:lineRule="auto"/>
        <w:ind w:firstLine="709"/>
        <w:rPr>
          <w:rFonts w:cstheme="minorHAnsi"/>
          <w:sz w:val="24"/>
          <w:szCs w:val="24"/>
        </w:rPr>
      </w:pPr>
      <w:r w:rsidRPr="00230F9F">
        <w:rPr>
          <w:rFonts w:cstheme="minorHAnsi"/>
          <w:sz w:val="24"/>
          <w:szCs w:val="24"/>
        </w:rPr>
        <w:t>Atsižvelgdama į tai, kas nurodyta, Tarnyba rekomenduoja peržiūrėti ir patikslinti Pirkimų dokumentus pagal šioje Rekomendacijoje pateiktas pastabas. Primename, kad Perkančioji organizacija, patikslinusi Pirkimų dokumentus, turi visus pakeitimus paskelbti viešai Centrinėje viešųjų pirkimų informacinėje sistemoje (CVP IS) ir pratęsti pasiūlymų pateikimo terminą protingam laikotarpiui, per kurį potencialūs tiekėjai galėtų susipažinti su patikslintais ir pakeistais Pirkimo dokumentais.</w:t>
      </w:r>
    </w:p>
    <w:p w14:paraId="4072DF8C" w14:textId="55D9D293" w:rsidR="00D64E2E" w:rsidRDefault="00296405" w:rsidP="00296405">
      <w:pPr>
        <w:spacing w:after="0" w:line="276" w:lineRule="auto"/>
        <w:ind w:firstLine="709"/>
      </w:pPr>
      <w:r w:rsidRPr="00230F9F">
        <w:rPr>
          <w:sz w:val="24"/>
          <w:szCs w:val="24"/>
        </w:rPr>
        <w:t>Pažymėtina, kad visais atvejais sprendimą dėl tolimesnio Pirkimų procedūrų vykdymo ar nutraukimo priima pati Perkančioji organizacija, vadovaudamasi Įstatymo 29 straipsnio 3</w:t>
      </w:r>
      <w:r w:rsidRPr="00230F9F">
        <w:rPr>
          <w:rFonts w:cstheme="minorHAnsi"/>
          <w:sz w:val="24"/>
          <w:szCs w:val="24"/>
          <w:vertAlign w:val="superscript"/>
        </w:rPr>
        <w:footnoteReference w:id="5"/>
      </w:r>
      <w:r w:rsidRPr="00230F9F">
        <w:rPr>
          <w:sz w:val="24"/>
          <w:szCs w:val="24"/>
        </w:rPr>
        <w:t xml:space="preserve"> ir 4</w:t>
      </w:r>
      <w:r w:rsidRPr="00230F9F">
        <w:rPr>
          <w:rFonts w:cstheme="minorHAnsi"/>
          <w:sz w:val="24"/>
          <w:szCs w:val="24"/>
          <w:vertAlign w:val="superscript"/>
        </w:rPr>
        <w:footnoteReference w:id="6"/>
      </w:r>
      <w:r w:rsidRPr="00230F9F">
        <w:rPr>
          <w:sz w:val="24"/>
          <w:szCs w:val="24"/>
          <w:vertAlign w:val="superscript"/>
        </w:rPr>
        <w:t xml:space="preserve"> </w:t>
      </w:r>
      <w:r w:rsidRPr="00230F9F">
        <w:rPr>
          <w:sz w:val="24"/>
          <w:szCs w:val="24"/>
        </w:rPr>
        <w:t>dalių nuostatomis.</w:t>
      </w:r>
    </w:p>
    <w:sectPr w:rsidR="00D64E2E" w:rsidSect="0029640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D5942" w14:textId="77777777" w:rsidR="00296405" w:rsidRDefault="00296405" w:rsidP="00296405">
      <w:pPr>
        <w:spacing w:after="0" w:line="240" w:lineRule="auto"/>
      </w:pPr>
      <w:r>
        <w:separator/>
      </w:r>
    </w:p>
  </w:endnote>
  <w:endnote w:type="continuationSeparator" w:id="0">
    <w:p w14:paraId="410A230C" w14:textId="77777777" w:rsidR="00296405" w:rsidRDefault="00296405" w:rsidP="00296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319CE" w14:textId="77777777" w:rsidR="00296405" w:rsidRDefault="00296405" w:rsidP="00296405">
      <w:pPr>
        <w:spacing w:after="0" w:line="240" w:lineRule="auto"/>
      </w:pPr>
      <w:r>
        <w:separator/>
      </w:r>
    </w:p>
  </w:footnote>
  <w:footnote w:type="continuationSeparator" w:id="0">
    <w:p w14:paraId="3E11047A" w14:textId="77777777" w:rsidR="00296405" w:rsidRDefault="00296405" w:rsidP="00296405">
      <w:pPr>
        <w:spacing w:after="0" w:line="240" w:lineRule="auto"/>
      </w:pPr>
      <w:r>
        <w:continuationSeparator/>
      </w:r>
    </w:p>
  </w:footnote>
  <w:footnote w:id="1">
    <w:p w14:paraId="64173197" w14:textId="77777777" w:rsidR="00296405" w:rsidRPr="002627E1" w:rsidRDefault="00296405" w:rsidP="00296405">
      <w:pPr>
        <w:pBdr>
          <w:top w:val="nil"/>
          <w:left w:val="nil"/>
          <w:bottom w:val="nil"/>
          <w:right w:val="nil"/>
          <w:between w:val="nil"/>
          <w:bar w:val="nil"/>
        </w:pBdr>
        <w:suppressAutoHyphens/>
        <w:spacing w:after="0" w:line="240" w:lineRule="auto"/>
        <w:rPr>
          <w:rFonts w:cstheme="minorHAnsi"/>
          <w:sz w:val="20"/>
          <w:szCs w:val="20"/>
        </w:rPr>
      </w:pPr>
      <w:r w:rsidRPr="002627E1">
        <w:rPr>
          <w:rStyle w:val="FootnoteReference"/>
          <w:rFonts w:cstheme="minorHAnsi"/>
          <w:sz w:val="20"/>
          <w:szCs w:val="20"/>
        </w:rPr>
        <w:footnoteRef/>
      </w:r>
      <w:r w:rsidRPr="002627E1">
        <w:rPr>
          <w:rFonts w:cstheme="minorHAnsi"/>
          <w:sz w:val="20"/>
          <w:szCs w:val="20"/>
        </w:rPr>
        <w:t xml:space="preserve"> „</w:t>
      </w:r>
      <w:r w:rsidRPr="002627E1">
        <w:rPr>
          <w:rFonts w:cstheme="minorHAnsi"/>
          <w:sz w:val="20"/>
          <w:szCs w:val="20"/>
          <w:bdr w:val="nil"/>
        </w:rPr>
        <w:t xml:space="preserve">14.5. Tiekėjo pasiūlymo kainos balai apskaičiuojami kainos lyginamąjį svorį </w:t>
      </w:r>
      <w:proofErr w:type="spellStart"/>
      <w:r w:rsidRPr="002627E1">
        <w:rPr>
          <w:rFonts w:cstheme="minorHAnsi"/>
          <w:sz w:val="20"/>
          <w:szCs w:val="20"/>
          <w:bdr w:val="nil"/>
        </w:rPr>
        <w:t>W</w:t>
      </w:r>
      <w:r w:rsidRPr="002627E1">
        <w:rPr>
          <w:rFonts w:cstheme="minorHAnsi"/>
          <w:sz w:val="20"/>
          <w:szCs w:val="20"/>
          <w:bdr w:val="nil"/>
          <w:vertAlign w:val="subscript"/>
        </w:rPr>
        <w:t>kaina</w:t>
      </w:r>
      <w:proofErr w:type="spellEnd"/>
      <w:r w:rsidRPr="002627E1">
        <w:rPr>
          <w:rFonts w:cstheme="minorHAnsi"/>
          <w:sz w:val="20"/>
          <w:szCs w:val="20"/>
          <w:bdr w:val="nil"/>
          <w:vertAlign w:val="subscript"/>
        </w:rPr>
        <w:t xml:space="preserve">, </w:t>
      </w:r>
      <w:r w:rsidRPr="002627E1">
        <w:rPr>
          <w:rFonts w:cstheme="minorHAnsi"/>
          <w:b/>
          <w:bCs/>
          <w:sz w:val="20"/>
          <w:szCs w:val="20"/>
          <w:bdr w:val="nil"/>
        </w:rPr>
        <w:t>(</w:t>
      </w:r>
      <w:proofErr w:type="spellStart"/>
      <w:r w:rsidRPr="002627E1">
        <w:rPr>
          <w:rFonts w:cstheme="minorHAnsi"/>
          <w:b/>
          <w:bCs/>
          <w:sz w:val="20"/>
          <w:szCs w:val="20"/>
          <w:bdr w:val="nil"/>
        </w:rPr>
        <w:t>W</w:t>
      </w:r>
      <w:r w:rsidRPr="002627E1">
        <w:rPr>
          <w:rFonts w:cstheme="minorHAnsi"/>
          <w:b/>
          <w:bCs/>
          <w:sz w:val="20"/>
          <w:szCs w:val="20"/>
          <w:bdr w:val="nil"/>
          <w:vertAlign w:val="subscript"/>
        </w:rPr>
        <w:t>kaina</w:t>
      </w:r>
      <w:proofErr w:type="spellEnd"/>
      <w:r w:rsidRPr="002627E1">
        <w:rPr>
          <w:rFonts w:cstheme="minorHAnsi"/>
          <w:b/>
          <w:bCs/>
          <w:sz w:val="20"/>
          <w:szCs w:val="20"/>
          <w:bdr w:val="nil"/>
        </w:rPr>
        <w:t>=85)</w:t>
      </w:r>
      <w:r w:rsidRPr="002627E1">
        <w:rPr>
          <w:rFonts w:cstheme="minorHAnsi"/>
          <w:sz w:val="20"/>
          <w:szCs w:val="20"/>
          <w:bdr w:val="nil"/>
        </w:rPr>
        <w:t xml:space="preserve">, dauginant iš santykio, kuris gaunamas iš apibrėžtos viršutinės kainos ribos </w:t>
      </w:r>
      <w:proofErr w:type="spellStart"/>
      <w:r w:rsidRPr="002627E1">
        <w:rPr>
          <w:rFonts w:cstheme="minorHAnsi"/>
          <w:sz w:val="20"/>
          <w:szCs w:val="20"/>
          <w:bdr w:val="nil"/>
        </w:rPr>
        <w:t>P</w:t>
      </w:r>
      <w:r w:rsidRPr="002627E1">
        <w:rPr>
          <w:rFonts w:cstheme="minorHAnsi"/>
          <w:sz w:val="20"/>
          <w:szCs w:val="20"/>
          <w:bdr w:val="nil"/>
          <w:vertAlign w:val="subscript"/>
        </w:rPr>
        <w:t>SetMax</w:t>
      </w:r>
      <w:proofErr w:type="spellEnd"/>
      <w:r w:rsidRPr="002627E1">
        <w:rPr>
          <w:rFonts w:cstheme="minorHAnsi"/>
          <w:sz w:val="20"/>
          <w:szCs w:val="20"/>
          <w:bdr w:val="nil"/>
          <w:vertAlign w:val="subscript"/>
        </w:rPr>
        <w:t xml:space="preserve"> </w:t>
      </w:r>
      <w:r w:rsidRPr="002627E1">
        <w:rPr>
          <w:rFonts w:cstheme="minorHAnsi"/>
          <w:sz w:val="20"/>
          <w:szCs w:val="20"/>
          <w:bdr w:val="nil"/>
        </w:rPr>
        <w:t xml:space="preserve">atimant konkretaus vertinamo pasiūlymo kainą </w:t>
      </w:r>
      <w:proofErr w:type="spellStart"/>
      <w:r w:rsidRPr="002627E1">
        <w:rPr>
          <w:rFonts w:cstheme="minorHAnsi"/>
          <w:sz w:val="20"/>
          <w:szCs w:val="20"/>
          <w:bdr w:val="nil"/>
        </w:rPr>
        <w:t>P</w:t>
      </w:r>
      <w:r w:rsidRPr="002627E1">
        <w:rPr>
          <w:rFonts w:cstheme="minorHAnsi"/>
          <w:sz w:val="20"/>
          <w:szCs w:val="20"/>
          <w:bdr w:val="nil"/>
          <w:vertAlign w:val="subscript"/>
        </w:rPr>
        <w:t>i</w:t>
      </w:r>
      <w:proofErr w:type="spellEnd"/>
      <w:r w:rsidRPr="002627E1">
        <w:rPr>
          <w:rFonts w:cstheme="minorHAnsi"/>
          <w:sz w:val="20"/>
          <w:szCs w:val="20"/>
          <w:bdr w:val="nil"/>
        </w:rPr>
        <w:t xml:space="preserve">, gautą skirtumą dalijant iš skirtumo tarp apibrėžtos viršutinės kainos ribos </w:t>
      </w:r>
      <w:proofErr w:type="spellStart"/>
      <w:r w:rsidRPr="002627E1">
        <w:rPr>
          <w:rFonts w:cstheme="minorHAnsi"/>
          <w:sz w:val="20"/>
          <w:szCs w:val="20"/>
          <w:bdr w:val="nil"/>
        </w:rPr>
        <w:t>P</w:t>
      </w:r>
      <w:r w:rsidRPr="002627E1">
        <w:rPr>
          <w:rFonts w:cstheme="minorHAnsi"/>
          <w:sz w:val="20"/>
          <w:szCs w:val="20"/>
          <w:bdr w:val="nil"/>
          <w:vertAlign w:val="subscript"/>
        </w:rPr>
        <w:t>SetMax</w:t>
      </w:r>
      <w:proofErr w:type="spellEnd"/>
      <w:r w:rsidRPr="002627E1">
        <w:rPr>
          <w:rFonts w:cstheme="minorHAnsi"/>
          <w:sz w:val="20"/>
          <w:szCs w:val="20"/>
          <w:bdr w:val="nil"/>
          <w:vertAlign w:val="subscript"/>
        </w:rPr>
        <w:t xml:space="preserve"> </w:t>
      </w:r>
      <w:r w:rsidRPr="002627E1">
        <w:rPr>
          <w:rFonts w:cstheme="minorHAnsi"/>
          <w:sz w:val="20"/>
          <w:szCs w:val="20"/>
          <w:bdr w:val="nil"/>
        </w:rPr>
        <w:t xml:space="preserve">ir apibrėžtos apatinės kainos ribos </w:t>
      </w:r>
      <w:proofErr w:type="spellStart"/>
      <w:r w:rsidRPr="002627E1">
        <w:rPr>
          <w:rFonts w:cstheme="minorHAnsi"/>
          <w:sz w:val="20"/>
          <w:szCs w:val="20"/>
          <w:bdr w:val="nil"/>
        </w:rPr>
        <w:t>P</w:t>
      </w:r>
      <w:r w:rsidRPr="002627E1">
        <w:rPr>
          <w:rFonts w:cstheme="minorHAnsi"/>
          <w:sz w:val="20"/>
          <w:szCs w:val="20"/>
          <w:bdr w:val="nil"/>
          <w:vertAlign w:val="subscript"/>
        </w:rPr>
        <w:t>SetMin</w:t>
      </w:r>
      <w:proofErr w:type="spellEnd"/>
      <w:r w:rsidRPr="002627E1">
        <w:rPr>
          <w:rFonts w:cstheme="minorHAnsi"/>
          <w:sz w:val="20"/>
          <w:szCs w:val="20"/>
          <w:bdr w:val="nil"/>
        </w:rPr>
        <w:t xml:space="preserve"> &lt;...&gt;“.</w:t>
      </w:r>
    </w:p>
  </w:footnote>
  <w:footnote w:id="2">
    <w:p w14:paraId="68D64B70" w14:textId="77777777" w:rsidR="00296405" w:rsidRPr="002627E1" w:rsidRDefault="00296405" w:rsidP="00296405">
      <w:pPr>
        <w:pBdr>
          <w:top w:val="nil"/>
          <w:left w:val="nil"/>
          <w:bottom w:val="nil"/>
          <w:right w:val="nil"/>
          <w:between w:val="nil"/>
          <w:bar w:val="nil"/>
        </w:pBdr>
        <w:suppressAutoHyphens/>
        <w:spacing w:after="0" w:line="240" w:lineRule="auto"/>
        <w:ind w:firstLine="709"/>
        <w:rPr>
          <w:rFonts w:cstheme="minorHAnsi"/>
          <w:sz w:val="20"/>
          <w:szCs w:val="20"/>
        </w:rPr>
      </w:pPr>
      <w:r w:rsidRPr="002627E1">
        <w:rPr>
          <w:rStyle w:val="FootnoteReference"/>
          <w:rFonts w:cstheme="minorHAnsi"/>
          <w:sz w:val="20"/>
          <w:szCs w:val="20"/>
        </w:rPr>
        <w:footnoteRef/>
      </w:r>
      <w:r w:rsidRPr="002627E1">
        <w:rPr>
          <w:rFonts w:cstheme="minorHAnsi"/>
          <w:sz w:val="20"/>
          <w:szCs w:val="20"/>
        </w:rPr>
        <w:t xml:space="preserve"> </w:t>
      </w:r>
      <w:r w:rsidRPr="002627E1">
        <w:rPr>
          <w:rFonts w:cstheme="minorHAnsi"/>
          <w:sz w:val="20"/>
          <w:szCs w:val="20"/>
        </w:rPr>
        <w:t>„</w:t>
      </w:r>
      <w:r w:rsidRPr="002627E1">
        <w:rPr>
          <w:rFonts w:cstheme="minorHAnsi"/>
          <w:sz w:val="20"/>
          <w:szCs w:val="20"/>
          <w:bdr w:val="nil"/>
        </w:rPr>
        <w:t>14.6. Galutinio</w:t>
      </w:r>
      <w:r w:rsidRPr="002627E1">
        <w:rPr>
          <w:rFonts w:cstheme="minorHAnsi"/>
          <w:b/>
          <w:bCs/>
          <w:sz w:val="20"/>
          <w:szCs w:val="20"/>
          <w:bdr w:val="nil"/>
        </w:rPr>
        <w:t xml:space="preserve"> </w:t>
      </w:r>
      <w:r w:rsidRPr="002627E1">
        <w:rPr>
          <w:rFonts w:cstheme="minorHAnsi"/>
          <w:sz w:val="20"/>
          <w:szCs w:val="20"/>
          <w:bdr w:val="nil"/>
        </w:rPr>
        <w:t xml:space="preserve">darbų atlikimo termino, išreikšto mėnesiais, balai apskaičiuojami konkretaus vertinamo pasiūlymo kokybę procentais </w:t>
      </w:r>
      <w:proofErr w:type="spellStart"/>
      <w:r w:rsidRPr="002627E1">
        <w:rPr>
          <w:rFonts w:cstheme="minorHAnsi"/>
          <w:sz w:val="20"/>
          <w:szCs w:val="20"/>
          <w:bdr w:val="nil"/>
        </w:rPr>
        <w:t>Qi</w:t>
      </w:r>
      <w:proofErr w:type="spellEnd"/>
      <w:r w:rsidRPr="002627E1">
        <w:rPr>
          <w:rFonts w:cstheme="minorHAnsi"/>
          <w:sz w:val="20"/>
          <w:szCs w:val="20"/>
          <w:bdr w:val="nil"/>
        </w:rPr>
        <w:t xml:space="preserve"> dauginant iš kokybei suteikto lyginamojo svorio, </w:t>
      </w:r>
      <w:proofErr w:type="spellStart"/>
      <w:r w:rsidRPr="002627E1">
        <w:rPr>
          <w:rFonts w:cstheme="minorHAnsi"/>
          <w:sz w:val="20"/>
          <w:szCs w:val="20"/>
          <w:bdr w:val="nil"/>
        </w:rPr>
        <w:t>t.y</w:t>
      </w:r>
      <w:proofErr w:type="spellEnd"/>
      <w:r w:rsidRPr="002627E1">
        <w:rPr>
          <w:rFonts w:cstheme="minorHAnsi"/>
          <w:sz w:val="20"/>
          <w:szCs w:val="20"/>
          <w:bdr w:val="nil"/>
        </w:rPr>
        <w:t xml:space="preserve">. </w:t>
      </w:r>
      <w:r w:rsidRPr="002627E1">
        <w:rPr>
          <w:rFonts w:cstheme="minorHAnsi"/>
          <w:b/>
          <w:bCs/>
          <w:sz w:val="20"/>
          <w:szCs w:val="20"/>
          <w:bdr w:val="nil"/>
        </w:rPr>
        <w:t>15</w:t>
      </w:r>
      <w:r w:rsidRPr="002627E1">
        <w:rPr>
          <w:rFonts w:cstheme="minorHAnsi"/>
          <w:sz w:val="20"/>
          <w:szCs w:val="20"/>
        </w:rPr>
        <w:t>“.</w:t>
      </w:r>
    </w:p>
  </w:footnote>
  <w:footnote w:id="3">
    <w:p w14:paraId="001902E0" w14:textId="77777777" w:rsidR="00296405" w:rsidRPr="007E4886" w:rsidRDefault="00296405" w:rsidP="00296405">
      <w:pPr>
        <w:pStyle w:val="FootnoteText"/>
        <w:rPr>
          <w:rFonts w:cstheme="minorHAnsi"/>
        </w:rPr>
      </w:pPr>
      <w:r w:rsidRPr="007E4886">
        <w:rPr>
          <w:rStyle w:val="FootnoteReference"/>
          <w:rFonts w:cstheme="minorHAnsi"/>
        </w:rPr>
        <w:footnoteRef/>
      </w:r>
      <w:r w:rsidRPr="007E4886">
        <w:rPr>
          <w:rFonts w:cstheme="minorHAnsi"/>
        </w:rPr>
        <w:t xml:space="preserve"> </w:t>
      </w:r>
      <w:r w:rsidRPr="007E4886">
        <w:rPr>
          <w:rFonts w:cstheme="minorHAnsi"/>
        </w:rPr>
        <w:t>Įstatymo 35 straipsnio 4 dalies nuostata „Pirkimo dokumentai turi būti tikslūs, aiškūs, be dviprasmybių, kad tiekėjai galėtų pateikti pasiūlymus, o perkančioji organizacija – nupirkti tai, ko reikia“.</w:t>
      </w:r>
    </w:p>
  </w:footnote>
  <w:footnote w:id="4">
    <w:p w14:paraId="5A8FF02A" w14:textId="77777777" w:rsidR="00296405" w:rsidRPr="007E4886" w:rsidRDefault="00296405" w:rsidP="00296405">
      <w:pPr>
        <w:pStyle w:val="FootnoteText"/>
        <w:rPr>
          <w:rFonts w:cstheme="minorHAnsi"/>
        </w:rPr>
      </w:pPr>
      <w:r w:rsidRPr="007E4886">
        <w:rPr>
          <w:rStyle w:val="FootnoteReference"/>
          <w:rFonts w:cstheme="minorHAnsi"/>
        </w:rPr>
        <w:footnoteRef/>
      </w:r>
      <w:r w:rsidRPr="007E4886">
        <w:rPr>
          <w:rFonts w:cstheme="minorHAnsi"/>
        </w:rPr>
        <w:t xml:space="preserve"> </w:t>
      </w:r>
      <w:r w:rsidRPr="007E4886">
        <w:rPr>
          <w:rFonts w:cstheme="minorHAnsi"/>
        </w:rPr>
        <w:t>Įstatymo 35 straipsnio 4 dalies nuostata „Pirkimo dokumentai turi būti tikslūs, aiškūs, be dviprasmybių, kad tiekėjai galėtų pateikti pasiūlymus, o perkančioji organizacija – nupirkti tai, ko reikia“.</w:t>
      </w:r>
    </w:p>
  </w:footnote>
  <w:footnote w:id="5">
    <w:p w14:paraId="5EFD5C37" w14:textId="77777777" w:rsidR="00296405" w:rsidRPr="00914700" w:rsidRDefault="00296405" w:rsidP="00296405">
      <w:pPr>
        <w:pStyle w:val="FootnoteText"/>
        <w:rPr>
          <w:rFonts w:cstheme="minorHAnsi"/>
        </w:rPr>
      </w:pPr>
      <w:r w:rsidRPr="00914700">
        <w:rPr>
          <w:rStyle w:val="FootnoteReference"/>
          <w:rFonts w:cstheme="minorHAnsi"/>
        </w:rPr>
        <w:footnoteRef/>
      </w:r>
      <w:r w:rsidRPr="00914700">
        <w:rPr>
          <w:rFonts w:cstheme="minorHAnsi"/>
        </w:rPr>
        <w:t xml:space="preserve"> </w:t>
      </w:r>
      <w:r w:rsidRPr="00914700">
        <w:rPr>
          <w:rFonts w:cstheme="minorHAnsi"/>
        </w:rPr>
        <w:t>Įstatymo 29 straipsnio 3 dalis „</w:t>
      </w:r>
      <w:r w:rsidRPr="007A6426">
        <w:rPr>
          <w:rFonts w:cstheme="minorHAnsi"/>
          <w:i/>
          <w:iCs/>
        </w:rPr>
        <w:t>Perkančioji organizacija privalo nutraukti pradėtas pirkimo ar projekto konkurso procedūras, jeigu buvo pažeisti šio įstatymo 17 straipsnio 1 dalyje nustatyti principai ir atitinkamos padėties negalima ištaisyti</w:t>
      </w:r>
      <w:r w:rsidRPr="00914700">
        <w:rPr>
          <w:rFonts w:cstheme="minorHAnsi"/>
        </w:rPr>
        <w:t>“.</w:t>
      </w:r>
    </w:p>
  </w:footnote>
  <w:footnote w:id="6">
    <w:p w14:paraId="38C7931B" w14:textId="77777777" w:rsidR="00296405" w:rsidRPr="00914700" w:rsidRDefault="00296405" w:rsidP="00296405">
      <w:pPr>
        <w:pStyle w:val="FootnoteText"/>
        <w:rPr>
          <w:rFonts w:cstheme="minorHAnsi"/>
        </w:rPr>
      </w:pPr>
      <w:r w:rsidRPr="00914700">
        <w:rPr>
          <w:rStyle w:val="FootnoteReference"/>
          <w:rFonts w:cstheme="minorHAnsi"/>
        </w:rPr>
        <w:footnoteRef/>
      </w:r>
      <w:r w:rsidRPr="00914700">
        <w:rPr>
          <w:rFonts w:cstheme="minorHAnsi"/>
        </w:rPr>
        <w:t xml:space="preserve"> </w:t>
      </w:r>
      <w:r w:rsidRPr="00914700">
        <w:rPr>
          <w:rFonts w:cstheme="minorHAnsi"/>
        </w:rPr>
        <w:t>Įstatymo 29 straipsnio 4 dalis „</w:t>
      </w:r>
      <w:r w:rsidRPr="007A6426">
        <w:rPr>
          <w:rFonts w:cstheme="minorHAnsi"/>
          <w:i/>
          <w:iCs/>
        </w:rPr>
        <w:t>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914700">
        <w:rPr>
          <w:rFonts w:cstheme="minorHAns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23665"/>
    <w:multiLevelType w:val="multilevel"/>
    <w:tmpl w:val="2F3469CE"/>
    <w:lvl w:ilvl="0">
      <w:start w:val="1"/>
      <w:numFmt w:val="decimal"/>
      <w:lvlText w:val="%1."/>
      <w:lvlJc w:val="left"/>
      <w:pPr>
        <w:ind w:left="720" w:hanging="360"/>
      </w:pPr>
      <w:rPr>
        <w:rFonts w:hint="default"/>
        <w:b/>
        <w:bCs/>
      </w:rPr>
    </w:lvl>
    <w:lvl w:ilvl="1">
      <w:start w:val="1"/>
      <w:numFmt w:val="decimal"/>
      <w:isLgl/>
      <w:lvlText w:val="%1.%2."/>
      <w:lvlJc w:val="left"/>
      <w:pPr>
        <w:ind w:left="1069" w:hanging="360"/>
      </w:pPr>
      <w:rPr>
        <w:rFonts w:hint="default"/>
        <w:b w:val="0"/>
        <w:bCs/>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16cid:durableId="1231572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405"/>
    <w:rsid w:val="00296405"/>
    <w:rsid w:val="005F6BBB"/>
    <w:rsid w:val="00D64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367E9"/>
  <w15:chartTrackingRefBased/>
  <w15:docId w15:val="{69C9E2CF-0FC6-4C93-A0BB-CF622AAAF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405"/>
    <w:rPr>
      <w:kern w:val="0"/>
      <w:lang w:val="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ąrašo pastraipa.Bullet,Lentele,Bullet,List Paragraph22,Medium Grid 1 - Accent 21,Lente"/>
    <w:basedOn w:val="Normal"/>
    <w:uiPriority w:val="34"/>
    <w:qFormat/>
    <w:rsid w:val="00296405"/>
    <w:pPr>
      <w:ind w:left="720"/>
      <w:contextualSpacing/>
    </w:pPr>
  </w:style>
  <w:style w:type="character" w:styleId="Hyperlink">
    <w:name w:val="Hyperlink"/>
    <w:basedOn w:val="DefaultParagraphFont"/>
    <w:uiPriority w:val="99"/>
    <w:unhideWhenUsed/>
    <w:rsid w:val="00296405"/>
    <w:rPr>
      <w:color w:val="0563C1" w:themeColor="hyperlink"/>
      <w:u w:val="single"/>
    </w:rPr>
  </w:style>
  <w:style w:type="paragraph" w:styleId="FootnoteText">
    <w:name w:val="footnote text"/>
    <w:aliases w:val=" Diagrama1,Diagrama1,ColumnText,Išnaša,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296405"/>
    <w:pPr>
      <w:spacing w:after="0" w:line="240" w:lineRule="auto"/>
    </w:pPr>
    <w:rPr>
      <w:sz w:val="20"/>
      <w:szCs w:val="20"/>
    </w:rPr>
  </w:style>
  <w:style w:type="character" w:customStyle="1" w:styleId="FootnoteTextChar">
    <w:name w:val="Footnote Text Char"/>
    <w:aliases w:val=" Diagrama1 Char,Diagrama1 Char,ColumnText Char,Išnaša Char,Footnote Text Char Char Char,Footnote Text Char2 Char,Footnote Text Char1 Char Char Char,Footnote Text Char Char Char Char Char,Footnote Text Char1 Char Char Char Char Char"/>
    <w:basedOn w:val="DefaultParagraphFont"/>
    <w:link w:val="FootnoteText"/>
    <w:uiPriority w:val="99"/>
    <w:qFormat/>
    <w:rsid w:val="00296405"/>
    <w:rPr>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296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t/legalAct/674ebaf05d7111e79198ffdb108a3753/a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4915</Words>
  <Characters>2802</Characters>
  <Application>Microsoft Office Word</Application>
  <DocSecurity>0</DocSecurity>
  <Lines>23</Lines>
  <Paragraphs>15</Paragraphs>
  <ScaleCrop>false</ScaleCrop>
  <Company>VPT</Company>
  <LinksUpToDate>false</LinksUpToDate>
  <CharactersWithSpaces>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Spudulytė</dc:creator>
  <cp:keywords/>
  <dc:description/>
  <cp:lastModifiedBy>Eglė Spudulytė</cp:lastModifiedBy>
  <cp:revision>1</cp:revision>
  <dcterms:created xsi:type="dcterms:W3CDTF">2024-03-13T06:37:00Z</dcterms:created>
  <dcterms:modified xsi:type="dcterms:W3CDTF">2024-03-13T06:38:00Z</dcterms:modified>
</cp:coreProperties>
</file>