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9619E" w14:textId="77777777" w:rsidR="00281485" w:rsidRPr="00E15313" w:rsidRDefault="00281485" w:rsidP="0051386D">
      <w:pPr>
        <w:spacing w:line="276" w:lineRule="auto"/>
        <w:rPr>
          <w:rFonts w:cstheme="minorHAnsi"/>
          <w:sz w:val="24"/>
          <w:szCs w:val="24"/>
          <w:lang w:val="lt-LT"/>
        </w:rPr>
      </w:pPr>
      <w:r w:rsidRPr="00E15313">
        <w:rPr>
          <w:rFonts w:cstheme="minorHAns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6232CA9B" w14:textId="4AF14358" w:rsidR="00281485" w:rsidRPr="00E15313" w:rsidRDefault="00281485" w:rsidP="0051386D">
      <w:pPr>
        <w:spacing w:line="276" w:lineRule="auto"/>
        <w:rPr>
          <w:rFonts w:cstheme="minorHAnsi"/>
          <w:sz w:val="24"/>
          <w:szCs w:val="24"/>
          <w:lang w:val="lt-LT"/>
        </w:rPr>
      </w:pPr>
      <w:r w:rsidRPr="00E15313">
        <w:rPr>
          <w:rFonts w:cstheme="minorHAnsi"/>
          <w:sz w:val="24"/>
          <w:szCs w:val="24"/>
          <w:lang w:val="lt-LT"/>
        </w:rPr>
        <w:t xml:space="preserve">Vadovaujantis Tarnybai Įstatyme nustatyta pažeidimų prevencijos funkcija, šiuo metu atliekama </w:t>
      </w:r>
      <w:r w:rsidRPr="00E15313">
        <w:rPr>
          <w:rFonts w:cstheme="minorHAnsi"/>
          <w:b/>
          <w:bCs/>
          <w:sz w:val="24"/>
          <w:szCs w:val="24"/>
          <w:lang w:val="lt-LT"/>
        </w:rPr>
        <w:t xml:space="preserve">Kaišiadorių rajono savivaldybės administracijos </w:t>
      </w:r>
      <w:r w:rsidRPr="00E15313">
        <w:rPr>
          <w:rFonts w:cstheme="minorHAnsi"/>
          <w:sz w:val="24"/>
          <w:szCs w:val="24"/>
          <w:lang w:val="lt-LT"/>
        </w:rPr>
        <w:t>(toliau – Perkančioji organizacija) vykdomo pirkimo Nr.</w:t>
      </w:r>
      <w:r w:rsidRPr="00E15313">
        <w:rPr>
          <w:rFonts w:cstheme="minorHAnsi"/>
          <w:b/>
          <w:bCs/>
          <w:sz w:val="24"/>
          <w:szCs w:val="24"/>
          <w:lang w:val="lt-LT"/>
        </w:rPr>
        <w:t xml:space="preserve"> 708410 „</w:t>
      </w:r>
      <w:r w:rsidR="00677296" w:rsidRPr="00E15313">
        <w:rPr>
          <w:rFonts w:eastAsia="Times New Roman" w:cstheme="minorHAnsi"/>
          <w:b/>
          <w:bCs/>
          <w:color w:val="333333"/>
          <w:kern w:val="0"/>
          <w:sz w:val="24"/>
          <w:szCs w:val="24"/>
          <w14:ligatures w14:val="none"/>
        </w:rPr>
        <w:t>Sodų gatvės dalies Dovainonių k., Rumšiškių sen., Kaišiadorių raj., kapitalinio remonto rangos darbai</w:t>
      </w:r>
      <w:r w:rsidRPr="00E15313">
        <w:rPr>
          <w:rFonts w:cstheme="minorHAnsi"/>
          <w:b/>
          <w:bCs/>
          <w:sz w:val="24"/>
          <w:szCs w:val="24"/>
          <w:lang w:val="lt-LT"/>
        </w:rPr>
        <w:t>“</w:t>
      </w:r>
      <w:r w:rsidRPr="00E15313">
        <w:rPr>
          <w:rFonts w:cstheme="minorHAnsi"/>
          <w:sz w:val="24"/>
          <w:szCs w:val="24"/>
          <w:lang w:val="lt-LT"/>
        </w:rPr>
        <w:t xml:space="preserve"> (toliau – Pirkimas) dokumentų atitikties Įstatymui ir su jo įgyvendinimu susijusiems teisės aktams peržiūra (peržiūra prevenciniais tikslais atliekama tam tikra apimtimi). </w:t>
      </w:r>
    </w:p>
    <w:p w14:paraId="51937ED7" w14:textId="77777777" w:rsidR="00281485" w:rsidRPr="00E15313" w:rsidRDefault="00281485" w:rsidP="0051386D">
      <w:pPr>
        <w:spacing w:line="276" w:lineRule="auto"/>
        <w:rPr>
          <w:rFonts w:cstheme="minorHAnsi"/>
          <w:sz w:val="24"/>
          <w:szCs w:val="24"/>
          <w:lang w:val="lt-LT"/>
        </w:rPr>
      </w:pPr>
      <w:r w:rsidRPr="00E15313">
        <w:rPr>
          <w:rFonts w:cstheme="minorHAnsi"/>
          <w:sz w:val="24"/>
          <w:szCs w:val="24"/>
          <w:lang w:val="lt-LT"/>
        </w:rPr>
        <w:t>Tarnyba, prevencine tvarka peržiūrėjusi Pirkimų dokumentus, teikia pastabas ir rekomendacijas (toliau – Rekomendacija) dėl Pirkimo dokumentų nuostatų.</w:t>
      </w:r>
    </w:p>
    <w:p w14:paraId="389EB36C" w14:textId="4B8D01C6" w:rsidR="00281485" w:rsidRPr="00E15313" w:rsidRDefault="00281485" w:rsidP="0051386D">
      <w:pPr>
        <w:numPr>
          <w:ilvl w:val="0"/>
          <w:numId w:val="1"/>
        </w:numPr>
        <w:spacing w:line="276" w:lineRule="auto"/>
        <w:contextualSpacing/>
        <w:rPr>
          <w:rFonts w:cstheme="minorHAnsi"/>
          <w:b/>
          <w:bCs/>
          <w:sz w:val="24"/>
          <w:szCs w:val="24"/>
        </w:rPr>
      </w:pPr>
      <w:r w:rsidRPr="00E15313">
        <w:rPr>
          <w:rFonts w:cstheme="minorHAnsi"/>
          <w:b/>
          <w:bCs/>
          <w:sz w:val="24"/>
          <w:szCs w:val="24"/>
        </w:rPr>
        <w:t>Dėl kvalifikacijos reikalavim</w:t>
      </w:r>
      <w:r w:rsidR="00331EBF" w:rsidRPr="00E15313">
        <w:rPr>
          <w:rFonts w:cstheme="minorHAnsi"/>
          <w:b/>
          <w:bCs/>
          <w:sz w:val="24"/>
          <w:szCs w:val="24"/>
        </w:rPr>
        <w:t>ų</w:t>
      </w:r>
    </w:p>
    <w:p w14:paraId="142B881B" w14:textId="77777777" w:rsidR="00C846AE" w:rsidRPr="00281485" w:rsidRDefault="00C846AE" w:rsidP="0051386D">
      <w:pPr>
        <w:spacing w:line="276" w:lineRule="auto"/>
        <w:ind w:left="720"/>
        <w:contextualSpacing/>
        <w:rPr>
          <w:rFonts w:ascii="Times New Roman" w:hAnsi="Times New Roman" w:cs="Times New Roman"/>
          <w:b/>
          <w:bCs/>
          <w:sz w:val="24"/>
          <w:szCs w:val="24"/>
        </w:rPr>
      </w:pPr>
    </w:p>
    <w:p w14:paraId="672E26CF" w14:textId="78C2062A" w:rsidR="00E27A40" w:rsidRPr="00707666" w:rsidRDefault="00C846AE" w:rsidP="0051386D">
      <w:pPr>
        <w:spacing w:after="0" w:line="276" w:lineRule="auto"/>
        <w:rPr>
          <w:rFonts w:cstheme="minorHAnsi"/>
          <w:sz w:val="24"/>
          <w:szCs w:val="24"/>
        </w:rPr>
      </w:pPr>
      <w:r>
        <w:rPr>
          <w:rFonts w:ascii="Times New Roman" w:hAnsi="Times New Roman" w:cs="Times New Roman"/>
          <w:sz w:val="24"/>
          <w:szCs w:val="24"/>
        </w:rPr>
        <w:t xml:space="preserve">    </w:t>
      </w:r>
      <w:r w:rsidR="00694AA9">
        <w:rPr>
          <w:rFonts w:ascii="Times New Roman" w:hAnsi="Times New Roman" w:cs="Times New Roman"/>
          <w:sz w:val="24"/>
          <w:szCs w:val="24"/>
        </w:rPr>
        <w:t xml:space="preserve">    </w:t>
      </w:r>
      <w:r>
        <w:rPr>
          <w:rFonts w:ascii="Times New Roman" w:hAnsi="Times New Roman" w:cs="Times New Roman"/>
          <w:sz w:val="24"/>
          <w:szCs w:val="24"/>
        </w:rPr>
        <w:t xml:space="preserve"> </w:t>
      </w:r>
      <w:r w:rsidR="006C2D5B" w:rsidRPr="00D25976">
        <w:rPr>
          <w:rFonts w:cstheme="minorHAnsi"/>
          <w:b/>
          <w:bCs/>
          <w:sz w:val="24"/>
          <w:szCs w:val="24"/>
        </w:rPr>
        <w:t>1.1.</w:t>
      </w:r>
      <w:r w:rsidR="006C2D5B" w:rsidRPr="006C2D5B">
        <w:rPr>
          <w:rFonts w:ascii="Times New Roman" w:hAnsi="Times New Roman" w:cs="Times New Roman"/>
          <w:sz w:val="24"/>
          <w:szCs w:val="24"/>
        </w:rPr>
        <w:t xml:space="preserve"> </w:t>
      </w:r>
      <w:r w:rsidR="006C2D5B" w:rsidRPr="00E15313">
        <w:rPr>
          <w:rFonts w:cstheme="minorHAnsi"/>
          <w:sz w:val="24"/>
          <w:szCs w:val="24"/>
        </w:rPr>
        <w:t xml:space="preserve">Įstatymo 47 straipsnio 7 dalyje įtvirtinta, kad Tiekėjo kvalifikacijos reikalavimai nustatomi pagal Viešųjų pirkimų tarnybos patvirtintą tiekėjo kvalifikacijos reikalavimų nustatymo metodiką (toliau – </w:t>
      </w:r>
      <w:r w:rsidR="00694AA9">
        <w:rPr>
          <w:rFonts w:cstheme="minorHAnsi"/>
          <w:sz w:val="24"/>
          <w:szCs w:val="24"/>
        </w:rPr>
        <w:t>M</w:t>
      </w:r>
      <w:r w:rsidR="006C2D5B" w:rsidRPr="00E15313">
        <w:rPr>
          <w:rFonts w:cstheme="minorHAnsi"/>
          <w:sz w:val="24"/>
          <w:szCs w:val="24"/>
        </w:rPr>
        <w:t xml:space="preserve">etodika ). </w:t>
      </w:r>
      <w:r w:rsidR="00284C1D" w:rsidRPr="00D8552F">
        <w:rPr>
          <w:rFonts w:eastAsia="Times New Roman" w:cstheme="minorHAnsi"/>
          <w:kern w:val="0"/>
          <w:sz w:val="24"/>
          <w:szCs w:val="24"/>
          <w:lang w:val="lt"/>
          <w14:ligatures w14:val="none"/>
        </w:rPr>
        <w:t xml:space="preserve">Tarnyba </w:t>
      </w:r>
      <w:r w:rsidR="0061236E" w:rsidRPr="00D8552F">
        <w:rPr>
          <w:rFonts w:eastAsia="Times New Roman" w:cstheme="minorHAnsi"/>
          <w:kern w:val="0"/>
          <w:sz w:val="24"/>
          <w:szCs w:val="24"/>
          <w:lang w:val="lt"/>
          <w14:ligatures w14:val="none"/>
        </w:rPr>
        <w:t>atkreipia dėmesį, jog</w:t>
      </w:r>
      <w:r w:rsidR="00E27A40" w:rsidRPr="00D8552F">
        <w:rPr>
          <w:rFonts w:eastAsia="Times New Roman" w:cstheme="minorHAnsi"/>
          <w:kern w:val="0"/>
          <w:sz w:val="24"/>
          <w:szCs w:val="24"/>
          <w:lang w:val="lt"/>
          <w14:ligatures w14:val="none"/>
        </w:rPr>
        <w:t xml:space="preserve"> Metodikos 16 punkte nustatyta, kad „&lt;...&gt; </w:t>
      </w:r>
      <w:r w:rsidR="00E27A40" w:rsidRPr="00D8552F">
        <w:rPr>
          <w:rFonts w:eastAsia="Times New Roman" w:cstheme="minorHAnsi"/>
          <w:color w:val="000000" w:themeColor="text1"/>
          <w:kern w:val="0"/>
          <w:sz w:val="24"/>
          <w:szCs w:val="24"/>
          <w:lang w:val="lt"/>
          <w14:ligatures w14:val="none"/>
        </w:rPr>
        <w:t xml:space="preserve">Apibrėžiant reikalavimą verte, kiekiu, apimtimi (plotas, ilgis, kiekis ir kt.), reikalaujama patirties reikšmė paprastai turi būti </w:t>
      </w:r>
      <w:r w:rsidR="00E27A40" w:rsidRPr="00D8552F">
        <w:rPr>
          <w:rFonts w:eastAsia="Times New Roman" w:cstheme="minorHAnsi"/>
          <w:b/>
          <w:bCs/>
          <w:color w:val="000000" w:themeColor="text1"/>
          <w:kern w:val="0"/>
          <w:sz w:val="24"/>
          <w:szCs w:val="24"/>
          <w:lang w:val="lt"/>
          <w14:ligatures w14:val="none"/>
        </w:rPr>
        <w:t>ne daugiau kaip 0,7 dydžio</w:t>
      </w:r>
      <w:r w:rsidR="00E27A40" w:rsidRPr="00D8552F">
        <w:rPr>
          <w:rFonts w:eastAsia="Times New Roman" w:cstheme="minorHAnsi"/>
          <w:color w:val="000000" w:themeColor="text1"/>
          <w:kern w:val="0"/>
          <w:sz w:val="24"/>
          <w:szCs w:val="24"/>
          <w:lang w:val="lt"/>
          <w14:ligatures w14:val="none"/>
        </w:rPr>
        <w:t>, lyginant su numatoma atitinkamų prekių, paslaugų ar darbų verte, kiekiu, apimtimi.“</w:t>
      </w:r>
    </w:p>
    <w:p w14:paraId="764B9813" w14:textId="7DB850D5" w:rsidR="00222BEE" w:rsidRPr="0051386D" w:rsidRDefault="00D8552F" w:rsidP="0051386D">
      <w:pPr>
        <w:spacing w:after="0" w:line="276" w:lineRule="auto"/>
        <w:rPr>
          <w:rFonts w:eastAsia="Times New Roman" w:cstheme="minorHAnsi"/>
          <w:color w:val="000000" w:themeColor="text1"/>
          <w:kern w:val="0"/>
          <w:sz w:val="24"/>
          <w:szCs w:val="24"/>
          <w:lang w:val="lt"/>
          <w14:ligatures w14:val="none"/>
        </w:rPr>
      </w:pPr>
      <w:r w:rsidRPr="00D8552F">
        <w:rPr>
          <w:rFonts w:eastAsia="Times New Roman" w:cstheme="minorHAnsi"/>
          <w:color w:val="000000" w:themeColor="text1"/>
          <w:kern w:val="0"/>
          <w:sz w:val="24"/>
          <w:szCs w:val="24"/>
          <w:lang w:val="lt"/>
          <w14:ligatures w14:val="none"/>
        </w:rPr>
        <w:t xml:space="preserve">         </w:t>
      </w:r>
      <w:r w:rsidR="00E27A40" w:rsidRPr="00D8552F">
        <w:rPr>
          <w:rFonts w:eastAsia="Times New Roman" w:cstheme="minorHAnsi"/>
          <w:color w:val="000000" w:themeColor="text1"/>
          <w:kern w:val="0"/>
          <w:sz w:val="24"/>
          <w:szCs w:val="24"/>
          <w:lang w:val="lt"/>
          <w14:ligatures w14:val="none"/>
        </w:rPr>
        <w:t xml:space="preserve">Pirkimo dokumentų </w:t>
      </w:r>
      <w:r w:rsidR="008951F1" w:rsidRPr="00D8552F">
        <w:rPr>
          <w:rFonts w:eastAsia="Times New Roman" w:cstheme="minorHAnsi"/>
          <w:color w:val="000000" w:themeColor="text1"/>
          <w:kern w:val="0"/>
          <w:sz w:val="24"/>
          <w:szCs w:val="24"/>
          <w:lang w:val="lt"/>
          <w14:ligatures w14:val="none"/>
        </w:rPr>
        <w:t xml:space="preserve">36 punkto 2 </w:t>
      </w:r>
      <w:r w:rsidR="00E27A40" w:rsidRPr="00D8552F">
        <w:rPr>
          <w:rFonts w:eastAsia="Times New Roman" w:cstheme="minorHAnsi"/>
          <w:color w:val="000000" w:themeColor="text1"/>
          <w:kern w:val="0"/>
          <w:sz w:val="24"/>
          <w:szCs w:val="24"/>
          <w:lang w:val="lt"/>
          <w14:ligatures w14:val="none"/>
        </w:rPr>
        <w:t>lentelės „</w:t>
      </w:r>
      <w:r w:rsidR="00C20394" w:rsidRPr="00D8552F">
        <w:rPr>
          <w:rFonts w:cstheme="minorHAnsi"/>
          <w:sz w:val="24"/>
          <w:szCs w:val="24"/>
        </w:rPr>
        <w:t>Tiekėjų kvalifikacijos reikalavimai</w:t>
      </w:r>
      <w:r w:rsidR="00E27A40" w:rsidRPr="00D8552F">
        <w:rPr>
          <w:rFonts w:eastAsia="Times New Roman" w:cstheme="minorHAnsi"/>
          <w:color w:val="000000" w:themeColor="text1"/>
          <w:kern w:val="0"/>
          <w:sz w:val="24"/>
          <w:szCs w:val="24"/>
          <w:lang w:val="lt"/>
          <w14:ligatures w14:val="none"/>
        </w:rPr>
        <w:t xml:space="preserve">“ </w:t>
      </w:r>
      <w:r w:rsidR="00C20394" w:rsidRPr="00D8552F">
        <w:rPr>
          <w:rFonts w:eastAsia="Times New Roman" w:cstheme="minorHAnsi"/>
          <w:color w:val="000000" w:themeColor="text1"/>
          <w:kern w:val="0"/>
          <w:sz w:val="24"/>
          <w:szCs w:val="24"/>
          <w:lang w:val="lt"/>
          <w14:ligatures w14:val="none"/>
        </w:rPr>
        <w:t>36.1</w:t>
      </w:r>
      <w:r w:rsidR="00E27A40" w:rsidRPr="00D8552F">
        <w:rPr>
          <w:rFonts w:eastAsia="Times New Roman" w:cstheme="minorHAnsi"/>
          <w:color w:val="000000" w:themeColor="text1"/>
          <w:kern w:val="0"/>
          <w:sz w:val="24"/>
          <w:szCs w:val="24"/>
          <w:lang w:val="lt"/>
          <w14:ligatures w14:val="none"/>
        </w:rPr>
        <w:t xml:space="preserve"> </w:t>
      </w:r>
      <w:r w:rsidR="00C20394" w:rsidRPr="00D8552F">
        <w:rPr>
          <w:rFonts w:eastAsia="Times New Roman" w:cstheme="minorHAnsi"/>
          <w:color w:val="000000" w:themeColor="text1"/>
          <w:kern w:val="0"/>
          <w:sz w:val="24"/>
          <w:szCs w:val="24"/>
          <w:lang w:val="lt"/>
          <w14:ligatures w14:val="none"/>
        </w:rPr>
        <w:t>papunktyje</w:t>
      </w:r>
      <w:r w:rsidR="00E27A40" w:rsidRPr="00D8552F">
        <w:rPr>
          <w:rFonts w:eastAsia="Times New Roman" w:cstheme="minorHAnsi"/>
          <w:color w:val="000000" w:themeColor="text1"/>
          <w:kern w:val="0"/>
          <w:sz w:val="24"/>
          <w:szCs w:val="24"/>
          <w:lang w:val="lt"/>
          <w14:ligatures w14:val="none"/>
        </w:rPr>
        <w:t xml:space="preserve"> nustatyta, kad </w:t>
      </w:r>
      <w:r w:rsidR="00E27A40" w:rsidRPr="00D8552F">
        <w:rPr>
          <w:rFonts w:eastAsia="Times New Roman" w:cstheme="minorHAnsi"/>
          <w:i/>
          <w:iCs/>
          <w:color w:val="000000" w:themeColor="text1"/>
          <w:kern w:val="0"/>
          <w:sz w:val="24"/>
          <w:szCs w:val="24"/>
          <w:lang w:val="lt"/>
          <w14:ligatures w14:val="none"/>
        </w:rPr>
        <w:t>„</w:t>
      </w:r>
      <w:r w:rsidR="00E657BA" w:rsidRPr="00D8552F">
        <w:rPr>
          <w:rFonts w:eastAsia="Times New Roman" w:cstheme="minorHAnsi"/>
          <w:sz w:val="24"/>
          <w:szCs w:val="24"/>
        </w:rPr>
        <w:t>Tiekėjas per paskutinius 5 metus iki pasiūlymo pateikimo termino pabaigos yra atlikęs bent vieną, paprastojo remonto ar kapitalinio remonto, ar rekonstravimo ar</w:t>
      </w:r>
      <w:r w:rsidR="00E657BA" w:rsidRPr="00D8552F">
        <w:rPr>
          <w:rFonts w:cstheme="minorHAnsi"/>
          <w:sz w:val="24"/>
          <w:szCs w:val="24"/>
        </w:rPr>
        <w:t xml:space="preserve"> naujos statybos</w:t>
      </w:r>
      <w:r w:rsidR="00E657BA" w:rsidRPr="00D8552F">
        <w:rPr>
          <w:rFonts w:eastAsia="Times New Roman" w:cstheme="minorHAnsi"/>
          <w:sz w:val="24"/>
          <w:szCs w:val="24"/>
        </w:rPr>
        <w:t xml:space="preserve"> darbų </w:t>
      </w:r>
      <w:r w:rsidR="00E657BA" w:rsidRPr="00D8552F">
        <w:rPr>
          <w:rFonts w:cstheme="minorHAnsi"/>
          <w:sz w:val="24"/>
          <w:szCs w:val="24"/>
        </w:rPr>
        <w:t>(statinių grupė: susisiekimo komunikacijos; pogrupis: keliai ir/ar gatvės)</w:t>
      </w:r>
      <w:r w:rsidR="00E657BA" w:rsidRPr="00D8552F">
        <w:rPr>
          <w:rFonts w:eastAsia="Times New Roman" w:cstheme="minorHAnsi"/>
          <w:sz w:val="24"/>
          <w:szCs w:val="24"/>
        </w:rPr>
        <w:t xml:space="preserve">, sutartį kurios vertė </w:t>
      </w:r>
      <w:r w:rsidR="00E657BA" w:rsidRPr="009665A4">
        <w:rPr>
          <w:rFonts w:eastAsia="Times New Roman" w:cstheme="minorHAnsi"/>
          <w:b/>
          <w:bCs/>
          <w:sz w:val="24"/>
          <w:szCs w:val="24"/>
        </w:rPr>
        <w:t>ne mažesnė nei 180 000 Eur be PVM</w:t>
      </w:r>
      <w:r w:rsidR="00E657BA" w:rsidRPr="00D8552F">
        <w:rPr>
          <w:rFonts w:eastAsia="Times New Roman" w:cstheme="minorHAnsi"/>
          <w:sz w:val="24"/>
          <w:szCs w:val="24"/>
        </w:rPr>
        <w:t xml:space="preserve"> ir darbų atlikimas ir galutiniai rezultatai buvo tinkami</w:t>
      </w:r>
      <w:r w:rsidR="00E27A40" w:rsidRPr="00D8552F">
        <w:rPr>
          <w:rFonts w:eastAsia="Times New Roman" w:cstheme="minorHAnsi"/>
          <w:kern w:val="0"/>
          <w:sz w:val="24"/>
          <w:szCs w:val="24"/>
          <w:lang w:val="lt"/>
          <w14:ligatures w14:val="none"/>
        </w:rPr>
        <w:t xml:space="preserve">.“ </w:t>
      </w:r>
      <w:r w:rsidR="00E27A40" w:rsidRPr="00D8552F">
        <w:rPr>
          <w:rFonts w:eastAsia="Times New Roman" w:cstheme="minorHAnsi"/>
          <w:color w:val="000000" w:themeColor="text1"/>
          <w:kern w:val="0"/>
          <w:sz w:val="24"/>
          <w:szCs w:val="24"/>
          <w:lang w:val="lt"/>
          <w14:ligatures w14:val="none"/>
        </w:rPr>
        <w:t xml:space="preserve">Nustatyta, kad šiuo atveju planuojama Pirkimo vertė </w:t>
      </w:r>
      <w:r w:rsidR="00E27A40" w:rsidRPr="009665A4">
        <w:rPr>
          <w:rFonts w:eastAsia="Times New Roman" w:cstheme="minorHAnsi"/>
          <w:b/>
          <w:bCs/>
          <w:color w:val="000000" w:themeColor="text1"/>
          <w:kern w:val="0"/>
          <w:sz w:val="24"/>
          <w:szCs w:val="24"/>
          <w:lang w:val="lt"/>
          <w14:ligatures w14:val="none"/>
        </w:rPr>
        <w:t xml:space="preserve">yra </w:t>
      </w:r>
      <w:r w:rsidR="00C91311" w:rsidRPr="009665A4">
        <w:rPr>
          <w:rFonts w:eastAsia="Times New Roman" w:cstheme="minorHAnsi"/>
          <w:b/>
          <w:bCs/>
          <w:color w:val="000000" w:themeColor="text1"/>
          <w:kern w:val="0"/>
          <w:sz w:val="24"/>
          <w:szCs w:val="24"/>
          <w:lang w:val="lt"/>
          <w14:ligatures w14:val="none"/>
        </w:rPr>
        <w:t>222 589,96</w:t>
      </w:r>
      <w:r w:rsidR="00E27A40" w:rsidRPr="009665A4">
        <w:rPr>
          <w:rFonts w:eastAsia="Times New Roman" w:cstheme="minorHAnsi"/>
          <w:b/>
          <w:bCs/>
          <w:color w:val="000000" w:themeColor="text1"/>
          <w:kern w:val="0"/>
          <w:sz w:val="24"/>
          <w:szCs w:val="24"/>
          <w:lang w:val="lt"/>
          <w14:ligatures w14:val="none"/>
        </w:rPr>
        <w:t xml:space="preserve"> Eur be PVM</w:t>
      </w:r>
      <w:r w:rsidR="00E27A40" w:rsidRPr="00D8552F">
        <w:rPr>
          <w:rFonts w:eastAsia="Times New Roman" w:cstheme="minorHAnsi"/>
          <w:color w:val="000000" w:themeColor="text1"/>
          <w:kern w:val="0"/>
          <w:sz w:val="24"/>
          <w:szCs w:val="24"/>
          <w:lang w:val="lt"/>
          <w14:ligatures w14:val="none"/>
        </w:rPr>
        <w:t xml:space="preserve">, todėl kvalifikacijos reikalavime nustatyta tiekėjo atliktų darbų vertė – </w:t>
      </w:r>
      <w:r w:rsidR="00C91311" w:rsidRPr="00D8552F">
        <w:rPr>
          <w:rFonts w:eastAsia="Times New Roman" w:cstheme="minorHAnsi"/>
          <w:color w:val="000000" w:themeColor="text1"/>
          <w:kern w:val="0"/>
          <w:sz w:val="24"/>
          <w:szCs w:val="24"/>
          <w:lang w:val="lt"/>
          <w14:ligatures w14:val="none"/>
        </w:rPr>
        <w:t>180 000</w:t>
      </w:r>
      <w:r w:rsidR="00E27A40" w:rsidRPr="00D8552F">
        <w:rPr>
          <w:rFonts w:eastAsia="Times New Roman" w:cstheme="minorHAnsi"/>
          <w:color w:val="000000" w:themeColor="text1"/>
          <w:kern w:val="0"/>
          <w:sz w:val="24"/>
          <w:szCs w:val="24"/>
          <w:lang w:val="lt"/>
          <w14:ligatures w14:val="none"/>
        </w:rPr>
        <w:t xml:space="preserve">,00 Eur be PVM viršija Metodikos 16 punkte nustatytą maksimalų 0,7 koeficientą. Atkreiptinas dėmesys, kad Perkančioji organizacija visais atvejais tiek rengdama Pirkimo dokumentus, tiek vykdydama Pirkimo procedūras privalo vadovautis Įstatymu ir poįstatyminiais teisės aktais. </w:t>
      </w:r>
    </w:p>
    <w:p w14:paraId="2D5CFE92" w14:textId="453A1CF5" w:rsidR="007002F8" w:rsidRPr="00FE1FE3" w:rsidRDefault="00CF576E" w:rsidP="0051386D">
      <w:pPr>
        <w:spacing w:after="0" w:line="276" w:lineRule="auto"/>
        <w:contextualSpacing/>
        <w:rPr>
          <w:rFonts w:eastAsia="Times New Roman" w:cstheme="minorHAnsi"/>
          <w:color w:val="000000" w:themeColor="text1"/>
          <w:kern w:val="0"/>
          <w:sz w:val="24"/>
          <w:szCs w:val="24"/>
          <w:lang w:val="lt-LT"/>
          <w14:ligatures w14:val="none"/>
        </w:rPr>
      </w:pPr>
      <w:r w:rsidRPr="00D25976">
        <w:rPr>
          <w:rFonts w:ascii="Times New Roman" w:eastAsia="Times New Roman" w:hAnsi="Times New Roman" w:cs="Times New Roman"/>
          <w:b/>
          <w:bCs/>
          <w:kern w:val="0"/>
          <w:sz w:val="24"/>
          <w:szCs w:val="24"/>
          <w:lang w:val="lt-LT"/>
          <w14:ligatures w14:val="none"/>
        </w:rPr>
        <w:t xml:space="preserve">          </w:t>
      </w:r>
      <w:r w:rsidRPr="00D25976">
        <w:rPr>
          <w:rFonts w:eastAsia="Times New Roman" w:cstheme="minorHAnsi"/>
          <w:b/>
          <w:bCs/>
          <w:kern w:val="0"/>
          <w:sz w:val="24"/>
          <w:szCs w:val="24"/>
          <w:lang w:val="lt-LT"/>
          <w14:ligatures w14:val="none"/>
        </w:rPr>
        <w:t>1.</w:t>
      </w:r>
      <w:r w:rsidR="00707666" w:rsidRPr="00D25976">
        <w:rPr>
          <w:rFonts w:eastAsia="Times New Roman" w:cstheme="minorHAnsi"/>
          <w:b/>
          <w:bCs/>
          <w:kern w:val="0"/>
          <w:sz w:val="24"/>
          <w:szCs w:val="24"/>
          <w:lang w:val="lt-LT"/>
          <w14:ligatures w14:val="none"/>
        </w:rPr>
        <w:t>2</w:t>
      </w:r>
      <w:r w:rsidRPr="00D25976">
        <w:rPr>
          <w:rFonts w:eastAsia="Times New Roman" w:cstheme="minorHAnsi"/>
          <w:b/>
          <w:bCs/>
          <w:kern w:val="0"/>
          <w:sz w:val="24"/>
          <w:szCs w:val="24"/>
          <w:lang w:val="lt-LT"/>
          <w14:ligatures w14:val="none"/>
        </w:rPr>
        <w:t>.</w:t>
      </w:r>
      <w:r w:rsidRPr="00FE1FE3">
        <w:rPr>
          <w:rFonts w:eastAsia="Times New Roman" w:cstheme="minorHAnsi"/>
          <w:kern w:val="0"/>
          <w:sz w:val="24"/>
          <w:szCs w:val="24"/>
          <w:lang w:val="lt-LT"/>
          <w14:ligatures w14:val="none"/>
        </w:rPr>
        <w:t xml:space="preserve"> </w:t>
      </w:r>
      <w:r w:rsidR="008871C6" w:rsidRPr="00FE1FE3">
        <w:rPr>
          <w:rFonts w:eastAsia="Times New Roman" w:cstheme="minorHAnsi"/>
          <w:kern w:val="0"/>
          <w:sz w:val="24"/>
          <w:szCs w:val="24"/>
          <w:lang w:val="lt-LT"/>
          <w14:ligatures w14:val="none"/>
        </w:rPr>
        <w:t xml:space="preserve">Pirkimo dokumentų 36 punkto 2 lentelės </w:t>
      </w:r>
      <w:r w:rsidR="008871C6" w:rsidRPr="00FE1FE3">
        <w:rPr>
          <w:rFonts w:eastAsia="Times New Roman" w:cstheme="minorHAnsi"/>
          <w:color w:val="000000" w:themeColor="text1"/>
          <w:kern w:val="0"/>
          <w:sz w:val="24"/>
          <w:szCs w:val="24"/>
          <w:lang w:val="lt"/>
          <w14:ligatures w14:val="none"/>
        </w:rPr>
        <w:t>„</w:t>
      </w:r>
      <w:r w:rsidR="008871C6" w:rsidRPr="00FE1FE3">
        <w:rPr>
          <w:rFonts w:cstheme="minorHAnsi"/>
          <w:sz w:val="24"/>
          <w:szCs w:val="24"/>
        </w:rPr>
        <w:t>Tiekėjų kvalifikacijos reikalavimai</w:t>
      </w:r>
      <w:r w:rsidR="008871C6" w:rsidRPr="00FE1FE3">
        <w:rPr>
          <w:rFonts w:eastAsia="Times New Roman" w:cstheme="minorHAnsi"/>
          <w:color w:val="000000" w:themeColor="text1"/>
          <w:kern w:val="0"/>
          <w:sz w:val="24"/>
          <w:szCs w:val="24"/>
          <w:lang w:val="lt"/>
          <w14:ligatures w14:val="none"/>
        </w:rPr>
        <w:t>“ 36.</w:t>
      </w:r>
      <w:r w:rsidR="008A6DBA" w:rsidRPr="00FE1FE3">
        <w:rPr>
          <w:rFonts w:eastAsia="Times New Roman" w:cstheme="minorHAnsi"/>
          <w:color w:val="000000" w:themeColor="text1"/>
          <w:kern w:val="0"/>
          <w:sz w:val="24"/>
          <w:szCs w:val="24"/>
          <w:lang w:val="lt"/>
          <w14:ligatures w14:val="none"/>
        </w:rPr>
        <w:t>2</w:t>
      </w:r>
      <w:r w:rsidR="008871C6" w:rsidRPr="00FE1FE3">
        <w:rPr>
          <w:rFonts w:eastAsia="Times New Roman" w:cstheme="minorHAnsi"/>
          <w:color w:val="000000" w:themeColor="text1"/>
          <w:kern w:val="0"/>
          <w:sz w:val="24"/>
          <w:szCs w:val="24"/>
          <w:lang w:val="lt"/>
          <w14:ligatures w14:val="none"/>
        </w:rPr>
        <w:t xml:space="preserve"> papunktyje </w:t>
      </w:r>
      <w:r w:rsidR="00650860">
        <w:rPr>
          <w:rFonts w:eastAsia="Times New Roman" w:cstheme="minorHAnsi"/>
          <w:color w:val="000000" w:themeColor="text1"/>
          <w:kern w:val="0"/>
          <w:sz w:val="24"/>
          <w:szCs w:val="24"/>
          <w:lang w:val="lt"/>
          <w14:ligatures w14:val="none"/>
        </w:rPr>
        <w:t xml:space="preserve">prie </w:t>
      </w:r>
      <w:r w:rsidR="007002F8" w:rsidRPr="00FE1FE3">
        <w:rPr>
          <w:rFonts w:eastAsia="Times New Roman" w:cstheme="minorHAnsi"/>
          <w:kern w:val="0"/>
          <w:sz w:val="24"/>
          <w:szCs w:val="24"/>
          <w:lang w:val="lt-LT"/>
          <w14:ligatures w14:val="none"/>
        </w:rPr>
        <w:t>kvalifikacijos reikalavim</w:t>
      </w:r>
      <w:r w:rsidR="00650860">
        <w:rPr>
          <w:rFonts w:eastAsia="Times New Roman" w:cstheme="minorHAnsi"/>
          <w:kern w:val="0"/>
          <w:sz w:val="24"/>
          <w:szCs w:val="24"/>
          <w:lang w:val="lt-LT"/>
          <w14:ligatures w14:val="none"/>
        </w:rPr>
        <w:t xml:space="preserve">us </w:t>
      </w:r>
      <w:r w:rsidR="007002F8" w:rsidRPr="00FE1FE3">
        <w:rPr>
          <w:rFonts w:eastAsia="Times New Roman" w:cstheme="minorHAnsi"/>
          <w:kern w:val="0"/>
          <w:sz w:val="24"/>
          <w:szCs w:val="24"/>
          <w:lang w:val="lt-LT"/>
          <w14:ligatures w14:val="none"/>
        </w:rPr>
        <w:t>p</w:t>
      </w:r>
      <w:r w:rsidR="0081030D" w:rsidRPr="00FE1FE3">
        <w:rPr>
          <w:rFonts w:eastAsia="Times New Roman" w:cstheme="minorHAnsi"/>
          <w:kern w:val="0"/>
          <w:sz w:val="24"/>
          <w:szCs w:val="24"/>
          <w:lang w:val="lt-LT"/>
          <w14:ligatures w14:val="none"/>
        </w:rPr>
        <w:t>atvirtinanči</w:t>
      </w:r>
      <w:r w:rsidR="00650860">
        <w:rPr>
          <w:rFonts w:eastAsia="Times New Roman" w:cstheme="minorHAnsi"/>
          <w:kern w:val="0"/>
          <w:sz w:val="24"/>
          <w:szCs w:val="24"/>
          <w:lang w:val="lt-LT"/>
          <w14:ligatures w14:val="none"/>
        </w:rPr>
        <w:t>ų</w:t>
      </w:r>
      <w:r w:rsidR="007002F8" w:rsidRPr="00FE1FE3">
        <w:rPr>
          <w:rFonts w:eastAsia="Times New Roman" w:cstheme="minorHAnsi"/>
          <w:kern w:val="0"/>
          <w:sz w:val="24"/>
          <w:szCs w:val="24"/>
          <w:lang w:val="lt-LT"/>
          <w14:ligatures w14:val="none"/>
        </w:rPr>
        <w:t xml:space="preserve"> dokument</w:t>
      </w:r>
      <w:r w:rsidR="00650860">
        <w:rPr>
          <w:rFonts w:eastAsia="Times New Roman" w:cstheme="minorHAnsi"/>
          <w:kern w:val="0"/>
          <w:sz w:val="24"/>
          <w:szCs w:val="24"/>
          <w:lang w:val="lt-LT"/>
          <w14:ligatures w14:val="none"/>
        </w:rPr>
        <w:t xml:space="preserve">ų </w:t>
      </w:r>
      <w:r w:rsidR="007002F8" w:rsidRPr="00FE1FE3">
        <w:rPr>
          <w:rFonts w:eastAsia="Times New Roman" w:cstheme="minorHAnsi"/>
          <w:kern w:val="0"/>
          <w:sz w:val="24"/>
          <w:szCs w:val="24"/>
          <w:lang w:val="lt-LT"/>
          <w14:ligatures w14:val="none"/>
        </w:rPr>
        <w:t xml:space="preserve"> nurodyta</w:t>
      </w:r>
      <w:r w:rsidR="00650860">
        <w:rPr>
          <w:rFonts w:eastAsia="Times New Roman" w:cstheme="minorHAnsi"/>
          <w:kern w:val="0"/>
          <w:sz w:val="24"/>
          <w:szCs w:val="24"/>
          <w:lang w:val="lt-LT"/>
          <w14:ligatures w14:val="none"/>
        </w:rPr>
        <w:t xml:space="preserve"> kokie dokumentai turi būti pateikiami</w:t>
      </w:r>
      <w:r w:rsidR="007002F8" w:rsidRPr="00FE1FE3">
        <w:rPr>
          <w:rFonts w:eastAsia="Times New Roman" w:cstheme="minorHAnsi"/>
          <w:kern w:val="0"/>
          <w:sz w:val="24"/>
          <w:szCs w:val="24"/>
          <w:lang w:val="lt-LT"/>
          <w14:ligatures w14:val="none"/>
        </w:rPr>
        <w:t xml:space="preserve"> „</w:t>
      </w:r>
      <w:r w:rsidR="008A6DBA" w:rsidRPr="00FE1FE3">
        <w:rPr>
          <w:rFonts w:cstheme="minorHAnsi"/>
          <w:sz w:val="24"/>
          <w:szCs w:val="24"/>
          <w:bdr w:val="none" w:sz="0" w:space="0" w:color="auto" w:frame="1"/>
        </w:rPr>
        <w:t xml:space="preserve">Lietuvos Respublikos ir trečiųjų šalių piliečiams ir kitiems fiziniams asmenims </w:t>
      </w:r>
      <w:r w:rsidR="00DA62DA" w:rsidRPr="00FE1FE3">
        <w:rPr>
          <w:rFonts w:cstheme="minorHAnsi"/>
          <w:sz w:val="24"/>
          <w:szCs w:val="24"/>
          <w:bdr w:val="none" w:sz="0" w:space="0" w:color="auto" w:frame="1"/>
        </w:rPr>
        <w:t>&lt;…&gt;</w:t>
      </w:r>
      <w:r w:rsidR="008A6DBA" w:rsidRPr="00FE1FE3">
        <w:rPr>
          <w:rFonts w:cstheme="minorHAnsi"/>
          <w:sz w:val="24"/>
          <w:szCs w:val="24"/>
          <w:bdr w:val="none" w:sz="0" w:space="0" w:color="auto" w:frame="1"/>
        </w:rPr>
        <w:t xml:space="preserve"> teisės aktuose numatytų institucijų išduoti kvalifikacijos atestatai </w:t>
      </w:r>
      <w:r w:rsidR="008A6DBA" w:rsidRPr="00B46048">
        <w:rPr>
          <w:rFonts w:cstheme="minorHAnsi"/>
          <w:sz w:val="24"/>
          <w:szCs w:val="24"/>
          <w:bdr w:val="none" w:sz="0" w:space="0" w:color="auto" w:frame="1"/>
        </w:rPr>
        <w:t>ar</w:t>
      </w:r>
      <w:r w:rsidR="000F2F89" w:rsidRPr="00B46048">
        <w:rPr>
          <w:rFonts w:cstheme="minorHAnsi"/>
          <w:sz w:val="24"/>
          <w:szCs w:val="24"/>
          <w:bdr w:val="none" w:sz="0" w:space="0" w:color="auto" w:frame="1"/>
        </w:rPr>
        <w:t xml:space="preserve"> </w:t>
      </w:r>
      <w:r w:rsidR="008A6DBA" w:rsidRPr="00B46048">
        <w:rPr>
          <w:rFonts w:cstheme="minorHAnsi"/>
          <w:sz w:val="24"/>
          <w:szCs w:val="24"/>
          <w:bdr w:val="none" w:sz="0" w:space="0" w:color="auto" w:frame="1"/>
        </w:rPr>
        <w:t>užsienio šalies specialistams išduoti dokumentai, patvirtinantys turimą kvalifikaciją kilmės šalyje</w:t>
      </w:r>
      <w:r w:rsidR="007002F8" w:rsidRPr="00FE1FE3">
        <w:rPr>
          <w:rFonts w:eastAsia="Times New Roman" w:cstheme="minorHAnsi"/>
          <w:color w:val="000000" w:themeColor="text1"/>
          <w:kern w:val="0"/>
          <w:sz w:val="24"/>
          <w:szCs w:val="24"/>
          <w:lang w:val="lt-LT"/>
          <w14:ligatures w14:val="none"/>
        </w:rPr>
        <w:t>“.</w:t>
      </w:r>
    </w:p>
    <w:p w14:paraId="29CFCFC9" w14:textId="7A18492D" w:rsidR="007E1D56" w:rsidRPr="007E1D56" w:rsidRDefault="00CF576E" w:rsidP="0051386D">
      <w:pPr>
        <w:spacing w:after="0" w:line="276" w:lineRule="auto"/>
        <w:rPr>
          <w:rFonts w:cstheme="minorHAnsi"/>
          <w:color w:val="000000"/>
          <w:sz w:val="24"/>
          <w:szCs w:val="24"/>
        </w:rPr>
      </w:pPr>
      <w:r w:rsidRPr="007E1D56">
        <w:rPr>
          <w:rFonts w:eastAsia="Times New Roman" w:cstheme="minorHAnsi"/>
          <w:color w:val="000000" w:themeColor="text1"/>
          <w:kern w:val="0"/>
          <w:sz w:val="24"/>
          <w:szCs w:val="24"/>
          <w:lang w:val="lt-LT"/>
          <w14:ligatures w14:val="none"/>
        </w:rPr>
        <w:t xml:space="preserve">         </w:t>
      </w:r>
      <w:r w:rsidR="00B46048" w:rsidRPr="007E1D56">
        <w:rPr>
          <w:rFonts w:eastAsia="Times New Roman" w:cstheme="minorHAnsi"/>
          <w:color w:val="000000" w:themeColor="text1"/>
          <w:sz w:val="24"/>
          <w:szCs w:val="24"/>
        </w:rPr>
        <w:t>Metodikos 21 punkte nu</w:t>
      </w:r>
      <w:r w:rsidR="00650860">
        <w:rPr>
          <w:rFonts w:eastAsia="Times New Roman" w:cstheme="minorHAnsi"/>
          <w:color w:val="000000" w:themeColor="text1"/>
          <w:sz w:val="24"/>
          <w:szCs w:val="24"/>
        </w:rPr>
        <w:t xml:space="preserve">rodyti </w:t>
      </w:r>
      <w:r w:rsidR="002029C4" w:rsidRPr="007E1D56">
        <w:rPr>
          <w:rFonts w:eastAsia="Times New Roman" w:cstheme="minorHAnsi"/>
          <w:color w:val="000000" w:themeColor="text1"/>
          <w:sz w:val="24"/>
          <w:szCs w:val="24"/>
        </w:rPr>
        <w:t xml:space="preserve"> dokumentai</w:t>
      </w:r>
      <w:r w:rsidR="00650860">
        <w:rPr>
          <w:rFonts w:eastAsia="Times New Roman" w:cstheme="minorHAnsi"/>
          <w:color w:val="000000" w:themeColor="text1"/>
          <w:sz w:val="24"/>
          <w:szCs w:val="24"/>
        </w:rPr>
        <w:t>, kurie pagrindžia nustatytą reikalavimą</w:t>
      </w:r>
      <w:r w:rsidR="002029C4" w:rsidRPr="007E1D56">
        <w:rPr>
          <w:rFonts w:eastAsia="Times New Roman" w:cstheme="minorHAnsi"/>
          <w:color w:val="000000" w:themeColor="text1"/>
          <w:sz w:val="24"/>
          <w:szCs w:val="24"/>
        </w:rPr>
        <w:t xml:space="preserve"> “</w:t>
      </w:r>
      <w:r w:rsidR="00650860">
        <w:rPr>
          <w:rFonts w:eastAsia="Times New Roman" w:cstheme="minorHAnsi"/>
          <w:color w:val="000000" w:themeColor="text1"/>
          <w:sz w:val="24"/>
          <w:szCs w:val="24"/>
        </w:rPr>
        <w:t xml:space="preserve"> &lt;…&gt; </w:t>
      </w:r>
      <w:r w:rsidR="002029C4" w:rsidRPr="007E1D56">
        <w:rPr>
          <w:rFonts w:cstheme="minorHAnsi"/>
          <w:color w:val="000000"/>
          <w:sz w:val="24"/>
          <w:szCs w:val="24"/>
        </w:rPr>
        <w:t xml:space="preserve">jų kopijos arba nuorodos į nacionalines duomenų bazes bet kurioje valstybėje narėje, prie kurių </w:t>
      </w:r>
      <w:r w:rsidR="002029C4" w:rsidRPr="007E1D56">
        <w:rPr>
          <w:rFonts w:cstheme="minorHAnsi"/>
          <w:color w:val="000000"/>
          <w:sz w:val="24"/>
          <w:szCs w:val="24"/>
        </w:rPr>
        <w:lastRenderedPageBreak/>
        <w:t>pirkimo vykdytojas turės galimybę tiesiogiai ir neatlygintinai prisijungusi ir susipažinti su reikalaujamais dokumentais ir (ar) informacija</w:t>
      </w:r>
      <w:r w:rsidR="007E1D56" w:rsidRPr="007E1D56">
        <w:rPr>
          <w:rFonts w:cstheme="minorHAnsi"/>
          <w:color w:val="000000"/>
          <w:sz w:val="24"/>
          <w:szCs w:val="24"/>
        </w:rPr>
        <w:t>”</w:t>
      </w:r>
      <w:r w:rsidR="00650860">
        <w:rPr>
          <w:rFonts w:cstheme="minorHAnsi"/>
          <w:color w:val="000000"/>
          <w:sz w:val="24"/>
          <w:szCs w:val="24"/>
        </w:rPr>
        <w:t>. Atsižvelgiant į nurodytą</w:t>
      </w:r>
      <w:r w:rsidR="007E1D56" w:rsidRPr="007E1D56">
        <w:rPr>
          <w:rFonts w:cstheme="minorHAnsi"/>
          <w:color w:val="000000"/>
          <w:sz w:val="24"/>
          <w:szCs w:val="24"/>
        </w:rPr>
        <w:t>,  Tarnyba rekomenduoja atitinkamai papildyti šio reikalavimo atitiktį patvirtinančių dokumentų informaciją.</w:t>
      </w:r>
    </w:p>
    <w:p w14:paraId="745AE83B" w14:textId="77777777" w:rsidR="007E1D56" w:rsidRPr="007E1D56" w:rsidRDefault="007E1D56" w:rsidP="0051386D">
      <w:pPr>
        <w:spacing w:after="0" w:line="276" w:lineRule="auto"/>
        <w:rPr>
          <w:color w:val="000000"/>
        </w:rPr>
      </w:pPr>
    </w:p>
    <w:p w14:paraId="407BC25E" w14:textId="53A70644" w:rsidR="00E45541" w:rsidRPr="00331EBF" w:rsidRDefault="00E45541" w:rsidP="0051386D">
      <w:pPr>
        <w:pStyle w:val="ListParagraph"/>
        <w:numPr>
          <w:ilvl w:val="0"/>
          <w:numId w:val="1"/>
        </w:numPr>
        <w:spacing w:line="276" w:lineRule="auto"/>
        <w:rPr>
          <w:rFonts w:cstheme="minorHAnsi"/>
          <w:b/>
          <w:bCs/>
          <w:kern w:val="0"/>
          <w:sz w:val="24"/>
          <w:szCs w:val="24"/>
          <w:lang w:val="lt-LT"/>
          <w14:ligatures w14:val="none"/>
        </w:rPr>
      </w:pPr>
      <w:r w:rsidRPr="00331EBF">
        <w:rPr>
          <w:rFonts w:cstheme="minorHAnsi"/>
          <w:b/>
          <w:bCs/>
          <w:kern w:val="0"/>
          <w:sz w:val="24"/>
          <w:szCs w:val="24"/>
          <w:lang w:val="lt-LT"/>
          <w14:ligatures w14:val="none"/>
        </w:rPr>
        <w:t>Dėl pašalinimo pagrindų</w:t>
      </w:r>
    </w:p>
    <w:p w14:paraId="485A3CA1" w14:textId="0874E07B" w:rsidR="00671FA5" w:rsidRPr="00331EBF" w:rsidRDefault="00E45541" w:rsidP="0051386D">
      <w:pPr>
        <w:spacing w:before="240" w:after="0" w:line="276" w:lineRule="auto"/>
        <w:rPr>
          <w:rFonts w:eastAsia="Times New Roman" w:cstheme="minorHAnsi"/>
          <w:kern w:val="0"/>
          <w:sz w:val="24"/>
          <w:szCs w:val="24"/>
          <w:lang w:val="lt"/>
          <w14:ligatures w14:val="none"/>
        </w:rPr>
      </w:pPr>
      <w:r w:rsidRPr="00D25976">
        <w:rPr>
          <w:rFonts w:cstheme="minorHAnsi"/>
          <w:b/>
          <w:bCs/>
          <w:kern w:val="0"/>
          <w:sz w:val="24"/>
          <w:szCs w:val="24"/>
          <w:lang w:val="lt-LT"/>
          <w14:ligatures w14:val="none"/>
        </w:rPr>
        <w:t xml:space="preserve">       </w:t>
      </w:r>
      <w:r w:rsidR="00331EBF" w:rsidRPr="00D25976">
        <w:rPr>
          <w:rFonts w:cstheme="minorHAnsi"/>
          <w:b/>
          <w:bCs/>
          <w:kern w:val="0"/>
          <w:sz w:val="24"/>
          <w:szCs w:val="24"/>
          <w:lang w:val="lt-LT"/>
          <w14:ligatures w14:val="none"/>
        </w:rPr>
        <w:t>2.1.</w:t>
      </w:r>
      <w:r w:rsidR="00331EBF">
        <w:rPr>
          <w:rFonts w:cstheme="minorHAnsi"/>
          <w:kern w:val="0"/>
          <w:sz w:val="24"/>
          <w:szCs w:val="24"/>
          <w:lang w:val="lt-LT"/>
          <w14:ligatures w14:val="none"/>
        </w:rPr>
        <w:t xml:space="preserve"> </w:t>
      </w:r>
      <w:r w:rsidRPr="00331EBF">
        <w:rPr>
          <w:rFonts w:cstheme="minorHAnsi"/>
          <w:kern w:val="0"/>
          <w:sz w:val="24"/>
          <w:szCs w:val="24"/>
          <w:lang w:val="lt-LT"/>
          <w14:ligatures w14:val="none"/>
        </w:rPr>
        <w:t xml:space="preserve">Nuo </w:t>
      </w:r>
      <w:r w:rsidRPr="00331EBF">
        <w:rPr>
          <w:rFonts w:cstheme="minorHAnsi"/>
          <w:kern w:val="0"/>
          <w:sz w:val="24"/>
          <w:szCs w:val="24"/>
          <w:shd w:val="clear" w:color="auto" w:fill="FFFFFF"/>
          <w:lang w:val="lt-LT"/>
          <w14:ligatures w14:val="none"/>
        </w:rPr>
        <w:t>2024 m. sausio 1 d. įsigalioj</w:t>
      </w:r>
      <w:r w:rsidR="00650860">
        <w:rPr>
          <w:rFonts w:cstheme="minorHAnsi"/>
          <w:kern w:val="0"/>
          <w:sz w:val="24"/>
          <w:szCs w:val="24"/>
          <w:shd w:val="clear" w:color="auto" w:fill="FFFFFF"/>
          <w:lang w:val="lt-LT"/>
          <w14:ligatures w14:val="none"/>
        </w:rPr>
        <w:t>o</w:t>
      </w:r>
      <w:r w:rsidRPr="00331EBF">
        <w:rPr>
          <w:rFonts w:cstheme="minorHAnsi"/>
          <w:kern w:val="0"/>
          <w:sz w:val="24"/>
          <w:szCs w:val="24"/>
          <w:shd w:val="clear" w:color="auto" w:fill="FFFFFF"/>
          <w:lang w:val="lt-LT"/>
          <w14:ligatures w14:val="none"/>
        </w:rPr>
        <w:t xml:space="preserve"> Įstatymo 25 straipsnio 1 dalies nuostata</w:t>
      </w:r>
      <w:r w:rsidRPr="00331EBF">
        <w:rPr>
          <w:rFonts w:cstheme="minorHAnsi"/>
          <w:i/>
          <w:iCs/>
          <w:kern w:val="0"/>
          <w:sz w:val="24"/>
          <w:szCs w:val="24"/>
          <w:shd w:val="clear" w:color="auto" w:fill="FFFFFF"/>
          <w:lang w:val="lt-LT"/>
          <w14:ligatures w14:val="none"/>
        </w:rPr>
        <w:t xml:space="preserve">, </w:t>
      </w:r>
      <w:r w:rsidRPr="00331EBF">
        <w:rPr>
          <w:rFonts w:cstheme="minorHAnsi"/>
          <w:kern w:val="0"/>
          <w:sz w:val="24"/>
          <w:szCs w:val="24"/>
          <w:shd w:val="clear" w:color="auto" w:fill="FFFFFF"/>
          <w:lang w:val="lt-LT"/>
          <w14:ligatures w14:val="none"/>
        </w:rPr>
        <w:t>kad</w:t>
      </w:r>
      <w:r w:rsidRPr="00331EBF">
        <w:rPr>
          <w:rFonts w:cstheme="minorHAnsi"/>
          <w:i/>
          <w:iCs/>
          <w:kern w:val="0"/>
          <w:sz w:val="24"/>
          <w:szCs w:val="24"/>
          <w:shd w:val="clear" w:color="auto" w:fill="FFFFFF"/>
          <w:lang w:val="lt-LT"/>
          <w14:ligatures w14:val="none"/>
        </w:rPr>
        <w:t> </w:t>
      </w:r>
      <w:r w:rsidRPr="00331EBF">
        <w:rPr>
          <w:rFonts w:cstheme="minorHAnsi"/>
          <w:kern w:val="0"/>
          <w:sz w:val="24"/>
          <w:szCs w:val="24"/>
          <w:bdr w:val="none" w:sz="0" w:space="0" w:color="auto" w:frame="1"/>
          <w:shd w:val="clear" w:color="auto" w:fill="FFFFFF"/>
          <w:lang w:val="lt-LT"/>
          <w14:ligatures w14:val="none"/>
        </w:rPr>
        <w:t xml:space="preserve">atliekant supaprastintus pirkimus,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r w:rsidRPr="00331EBF">
        <w:rPr>
          <w:rFonts w:eastAsia="Times New Roman" w:cstheme="minorHAnsi"/>
          <w:kern w:val="0"/>
          <w:sz w:val="24"/>
          <w:szCs w:val="24"/>
          <w:lang w:val="lt"/>
          <w14:ligatures w14:val="none"/>
        </w:rPr>
        <w:t xml:space="preserve">Atsižvelgiant į tai, turi būti patikslinta ir tinkamai suformuluota Tiekėjo pašalinimo pagrindų lentelės </w:t>
      </w:r>
      <w:r w:rsidR="00DC7DFF" w:rsidRPr="00331EBF">
        <w:rPr>
          <w:rFonts w:eastAsia="Times New Roman" w:cstheme="minorHAnsi"/>
          <w:kern w:val="0"/>
          <w:sz w:val="24"/>
          <w:szCs w:val="24"/>
          <w:lang w:val="lt"/>
          <w14:ligatures w14:val="none"/>
        </w:rPr>
        <w:t>1, 2</w:t>
      </w:r>
      <w:r w:rsidR="007E1DDE" w:rsidRPr="00331EBF">
        <w:rPr>
          <w:rFonts w:eastAsia="Times New Roman" w:cstheme="minorHAnsi"/>
          <w:kern w:val="0"/>
          <w:sz w:val="24"/>
          <w:szCs w:val="24"/>
          <w:lang w:val="lt"/>
          <w14:ligatures w14:val="none"/>
        </w:rPr>
        <w:t xml:space="preserve"> ir</w:t>
      </w:r>
      <w:r w:rsidR="00DC7DFF" w:rsidRPr="00331EBF">
        <w:rPr>
          <w:rFonts w:eastAsia="Times New Roman" w:cstheme="minorHAnsi"/>
          <w:kern w:val="0"/>
          <w:sz w:val="24"/>
          <w:szCs w:val="24"/>
          <w:lang w:val="lt"/>
          <w14:ligatures w14:val="none"/>
        </w:rPr>
        <w:t xml:space="preserve"> </w:t>
      </w:r>
      <w:r w:rsidR="0050054B" w:rsidRPr="00331EBF">
        <w:rPr>
          <w:rFonts w:eastAsia="Times New Roman" w:cstheme="minorHAnsi"/>
          <w:kern w:val="0"/>
          <w:sz w:val="24"/>
          <w:szCs w:val="24"/>
          <w:lang w:val="lt"/>
          <w14:ligatures w14:val="none"/>
        </w:rPr>
        <w:t xml:space="preserve">13 </w:t>
      </w:r>
      <w:r w:rsidR="00623564" w:rsidRPr="00331EBF">
        <w:rPr>
          <w:rFonts w:eastAsia="Times New Roman" w:cstheme="minorHAnsi"/>
          <w:kern w:val="0"/>
          <w:sz w:val="24"/>
          <w:szCs w:val="24"/>
          <w:lang w:val="lt"/>
          <w14:ligatures w14:val="none"/>
        </w:rPr>
        <w:t xml:space="preserve">punktų </w:t>
      </w:r>
      <w:r w:rsidRPr="00331EBF">
        <w:rPr>
          <w:rFonts w:cstheme="minorHAnsi"/>
          <w:kern w:val="0"/>
          <w:sz w:val="24"/>
          <w:szCs w:val="24"/>
          <w:bdr w:val="none" w:sz="0" w:space="0" w:color="auto" w:frame="1"/>
          <w:shd w:val="clear" w:color="auto" w:fill="FFFFFF"/>
          <w:lang w:val="lt-LT"/>
          <w14:ligatures w14:val="none"/>
        </w:rPr>
        <w:t xml:space="preserve">„Pašalinimo pagrindų nebuvimą įrodantys dokumentai“ skilties </w:t>
      </w:r>
      <w:r w:rsidRPr="00331EBF">
        <w:rPr>
          <w:rFonts w:eastAsia="Times New Roman" w:cstheme="minorHAnsi"/>
          <w:kern w:val="0"/>
          <w:sz w:val="24"/>
          <w:szCs w:val="24"/>
          <w:lang w:val="lt"/>
          <w14:ligatures w14:val="none"/>
        </w:rPr>
        <w:t>sąlyga</w:t>
      </w:r>
      <w:r w:rsidR="000D4FBE" w:rsidRPr="00331EBF">
        <w:rPr>
          <w:rFonts w:eastAsia="Times New Roman" w:cstheme="minorHAnsi"/>
          <w:kern w:val="0"/>
          <w:sz w:val="24"/>
          <w:szCs w:val="24"/>
          <w:lang w:val="lt"/>
          <w14:ligatures w14:val="none"/>
        </w:rPr>
        <w:t xml:space="preserve"> ir </w:t>
      </w:r>
      <w:r w:rsidR="003019D4" w:rsidRPr="00331EBF">
        <w:rPr>
          <w:rFonts w:eastAsia="Times New Roman" w:cstheme="minorHAnsi"/>
          <w:kern w:val="0"/>
          <w:sz w:val="24"/>
          <w:szCs w:val="24"/>
          <w:lang w:val="lt"/>
          <w14:ligatures w14:val="none"/>
        </w:rPr>
        <w:t>Pirkimo sąlygų 32 punkt</w:t>
      </w:r>
      <w:r w:rsidR="009816BE" w:rsidRPr="00331EBF">
        <w:rPr>
          <w:rFonts w:eastAsia="Times New Roman" w:cstheme="minorHAnsi"/>
          <w:kern w:val="0"/>
          <w:sz w:val="24"/>
          <w:szCs w:val="24"/>
          <w:lang w:val="lt"/>
          <w14:ligatures w14:val="none"/>
        </w:rPr>
        <w:t>as</w:t>
      </w:r>
      <w:r w:rsidRPr="00331EBF">
        <w:rPr>
          <w:rFonts w:eastAsia="Times New Roman" w:cstheme="minorHAnsi"/>
          <w:kern w:val="0"/>
          <w:sz w:val="24"/>
          <w:szCs w:val="24"/>
          <w:lang w:val="lt"/>
          <w14:ligatures w14:val="none"/>
        </w:rPr>
        <w:t xml:space="preserve">. </w:t>
      </w:r>
    </w:p>
    <w:p w14:paraId="2F0375CB" w14:textId="6CA23574" w:rsidR="00E45541" w:rsidRPr="00823B5A" w:rsidRDefault="00E45541" w:rsidP="0051386D">
      <w:pPr>
        <w:spacing w:line="276" w:lineRule="auto"/>
        <w:rPr>
          <w:rFonts w:eastAsia="Times New Roman" w:cstheme="minorHAnsi"/>
          <w:kern w:val="0"/>
          <w:sz w:val="24"/>
          <w:szCs w:val="24"/>
          <w:lang w:val="lt"/>
          <w14:ligatures w14:val="none"/>
        </w:rPr>
      </w:pPr>
      <w:r w:rsidRPr="00823B5A">
        <w:rPr>
          <w:rFonts w:cstheme="minorHAnsi"/>
          <w:kern w:val="0"/>
          <w:sz w:val="24"/>
          <w:szCs w:val="24"/>
          <w:lang w:val="lt-LT"/>
          <w14:ligatures w14:val="none"/>
        </w:rPr>
        <w:t xml:space="preserve">       </w:t>
      </w:r>
      <w:r w:rsidR="00331EBF" w:rsidRPr="00D25976">
        <w:rPr>
          <w:rFonts w:cstheme="minorHAnsi"/>
          <w:b/>
          <w:bCs/>
          <w:kern w:val="0"/>
          <w:sz w:val="24"/>
          <w:szCs w:val="24"/>
          <w:lang w:val="lt-LT"/>
          <w14:ligatures w14:val="none"/>
        </w:rPr>
        <w:t>2</w:t>
      </w:r>
      <w:r w:rsidRPr="00D25976">
        <w:rPr>
          <w:rFonts w:cstheme="minorHAnsi"/>
          <w:b/>
          <w:bCs/>
          <w:kern w:val="0"/>
          <w:sz w:val="24"/>
          <w:szCs w:val="24"/>
          <w:lang w:val="lt-LT"/>
          <w14:ligatures w14:val="none"/>
        </w:rPr>
        <w:t>.2.</w:t>
      </w:r>
      <w:r w:rsidRPr="00823B5A">
        <w:rPr>
          <w:rFonts w:cstheme="minorHAnsi"/>
          <w:kern w:val="0"/>
          <w:sz w:val="24"/>
          <w:szCs w:val="24"/>
          <w:lang w:val="lt-LT"/>
          <w14:ligatures w14:val="none"/>
        </w:rPr>
        <w:t xml:space="preserve"> Taip pat pažymėtina, kad Įstatymo 46 straipsnio 1 ir 3 dalies pašalinimo pagrindai taikomi tiekėjui, „kuris yra juridinis asmuo, kita organizacija ar </w:t>
      </w:r>
      <w:r w:rsidRPr="00823B5A">
        <w:rPr>
          <w:rFonts w:cstheme="minorHAnsi"/>
          <w:b/>
          <w:bCs/>
          <w:kern w:val="0"/>
          <w:sz w:val="24"/>
          <w:szCs w:val="24"/>
          <w:lang w:val="lt-LT"/>
          <w14:ligatures w14:val="none"/>
        </w:rPr>
        <w:t>jos struktūrinis padalinys</w:t>
      </w:r>
      <w:r w:rsidRPr="00823B5A">
        <w:rPr>
          <w:rFonts w:cstheme="minorHAnsi"/>
          <w:kern w:val="0"/>
          <w:sz w:val="24"/>
          <w:szCs w:val="24"/>
          <w:lang w:val="lt-LT"/>
          <w14:ligatures w14:val="none"/>
        </w:rPr>
        <w:t>&lt;...&gt;“. Tarnyba rekomenduoja peržiūrėti ir atitinkamai patikslinti tiekėjų pašalinimo pagrindus.</w:t>
      </w:r>
    </w:p>
    <w:p w14:paraId="32CAB773" w14:textId="5F47A546" w:rsidR="00E45541" w:rsidRDefault="00E45541" w:rsidP="0051386D">
      <w:pPr>
        <w:spacing w:after="0" w:line="276" w:lineRule="auto"/>
        <w:contextualSpacing/>
        <w:rPr>
          <w:rFonts w:cstheme="minorHAnsi"/>
          <w:kern w:val="0"/>
          <w:sz w:val="24"/>
          <w:szCs w:val="24"/>
          <w:lang w:val="lt-LT"/>
          <w14:ligatures w14:val="none"/>
        </w:rPr>
      </w:pPr>
      <w:r w:rsidRPr="00823B5A">
        <w:rPr>
          <w:rFonts w:cstheme="minorHAnsi"/>
          <w:kern w:val="0"/>
          <w:sz w:val="24"/>
          <w:szCs w:val="24"/>
          <w:lang w:val="lt-LT"/>
          <w14:ligatures w14:val="none"/>
        </w:rPr>
        <w:t xml:space="preserve">          </w:t>
      </w:r>
      <w:r w:rsidRPr="00823B5A">
        <w:rPr>
          <w:rFonts w:cstheme="minorHAnsi"/>
          <w:kern w:val="0"/>
          <w:sz w:val="24"/>
          <w:szCs w:val="24"/>
          <w:lang w:val="lt-LT" w:eastAsia="lt-LT"/>
          <w14:ligatures w14:val="none"/>
        </w:rPr>
        <w:t xml:space="preserve">Atkreiptinas dėmesys, kad siekiant padėti tinkamai suformuluoti pašalinimo pagrindų reikalavimus, Tarnyba yra parengusi ir paskelbusi atnaujintą pavyzdinę pašalinimo </w:t>
      </w:r>
      <w:r w:rsidRPr="00E45541">
        <w:rPr>
          <w:rFonts w:cstheme="minorHAnsi"/>
          <w:kern w:val="0"/>
          <w:sz w:val="24"/>
          <w:szCs w:val="24"/>
          <w:lang w:val="lt-LT" w:eastAsia="lt-LT"/>
          <w14:ligatures w14:val="none"/>
        </w:rPr>
        <w:t xml:space="preserve">pagrindų lentelę (žr. 2024 m. sausio 2 d. informacinį pranešimą </w:t>
      </w:r>
      <w:hyperlink r:id="rId8" w:history="1">
        <w:r w:rsidRPr="00E45541">
          <w:rPr>
            <w:rFonts w:cstheme="minorHAnsi"/>
            <w:color w:val="0563C1" w:themeColor="hyperlink"/>
            <w:kern w:val="0"/>
            <w:sz w:val="24"/>
            <w:szCs w:val="24"/>
            <w:u w:val="single"/>
            <w:lang w:val="lt-LT" w:eastAsia="lt-LT"/>
            <w14:ligatures w14:val="none"/>
          </w:rPr>
          <w:t>https://vpt.lrv.lt/lt/metodine-pagalba/pavyzdiniai-dokumentai-3/pasalinimo-pagrindu-lentele/</w:t>
        </w:r>
      </w:hyperlink>
      <w:r w:rsidRPr="00E45541">
        <w:rPr>
          <w:rFonts w:cstheme="minorHAnsi"/>
          <w:kern w:val="0"/>
          <w:sz w:val="24"/>
          <w:szCs w:val="24"/>
          <w:lang w:val="lt-LT" w:eastAsia="lt-LT"/>
          <w14:ligatures w14:val="none"/>
        </w:rPr>
        <w:t xml:space="preserve"> ). Atsižvelgiant į tai</w:t>
      </w:r>
      <w:r w:rsidR="00650860">
        <w:rPr>
          <w:rFonts w:cstheme="minorHAnsi"/>
          <w:kern w:val="0"/>
          <w:sz w:val="24"/>
          <w:szCs w:val="24"/>
          <w:lang w:val="lt-LT" w:eastAsia="lt-LT"/>
          <w14:ligatures w14:val="none"/>
        </w:rPr>
        <w:t>,</w:t>
      </w:r>
      <w:r w:rsidRPr="00E45541">
        <w:rPr>
          <w:rFonts w:cstheme="minorHAnsi"/>
          <w:kern w:val="0"/>
          <w:sz w:val="24"/>
          <w:szCs w:val="24"/>
          <w:lang w:val="lt-LT" w:eastAsia="lt-LT"/>
          <w14:ligatures w14:val="none"/>
        </w:rPr>
        <w:t xml:space="preserve"> Tarnyba rekomenduoja peržiūrėti ir patikslinti tiekėjo pašalinimo pagrindus.</w:t>
      </w:r>
      <w:r w:rsidRPr="00E45541">
        <w:rPr>
          <w:rFonts w:cstheme="minorHAnsi"/>
          <w:kern w:val="0"/>
          <w:sz w:val="24"/>
          <w:szCs w:val="24"/>
          <w:lang w:val="lt-LT"/>
          <w14:ligatures w14:val="none"/>
        </w:rPr>
        <w:t xml:space="preserve"> </w:t>
      </w:r>
    </w:p>
    <w:p w14:paraId="07CF3FE3" w14:textId="113669B2" w:rsidR="00C01CD6" w:rsidRPr="00C54C71" w:rsidRDefault="00B17F42" w:rsidP="0051386D">
      <w:pPr>
        <w:spacing w:after="0" w:line="276" w:lineRule="auto"/>
        <w:ind w:firstLine="567"/>
        <w:rPr>
          <w:rFonts w:eastAsia="Calibri" w:cstheme="minorHAnsi"/>
          <w:sz w:val="24"/>
          <w:szCs w:val="24"/>
        </w:rPr>
      </w:pPr>
      <w:r w:rsidRPr="00D25976">
        <w:rPr>
          <w:rFonts w:eastAsia="Times New Roman" w:cstheme="minorHAnsi"/>
          <w:b/>
          <w:bCs/>
          <w:sz w:val="24"/>
          <w:szCs w:val="24"/>
          <w:lang w:val="lt"/>
        </w:rPr>
        <w:t>2.3.</w:t>
      </w:r>
      <w:r w:rsidR="00C54C71" w:rsidRPr="00C54C71">
        <w:rPr>
          <w:rFonts w:eastAsia="Times New Roman" w:cstheme="minorHAnsi"/>
          <w:sz w:val="24"/>
          <w:szCs w:val="24"/>
          <w:lang w:val="lt"/>
        </w:rPr>
        <w:t xml:space="preserve"> </w:t>
      </w:r>
      <w:r w:rsidRPr="00C54C71">
        <w:rPr>
          <w:rFonts w:eastAsia="Times New Roman" w:cstheme="minorHAnsi"/>
          <w:sz w:val="24"/>
          <w:szCs w:val="24"/>
          <w:lang w:val="lt"/>
        </w:rPr>
        <w:t xml:space="preserve"> </w:t>
      </w:r>
      <w:r w:rsidR="00C01CD6" w:rsidRPr="00C54C71">
        <w:rPr>
          <w:rFonts w:eastAsia="Times New Roman" w:cstheme="minorHAnsi"/>
          <w:sz w:val="24"/>
          <w:szCs w:val="24"/>
          <w:lang w:val="lt"/>
        </w:rPr>
        <w:t>Įstatymo 35 straipsnio 4 dalyje nurodyta, kad „&lt;...&gt; Pirkimo dokumentai turi būti tikslūs, aiškūs, be dviprasmybių, kad tiekėjai galėtų pateikti pasiūlymus, o perkančioji organizacija – nupirkti tai, ko reikia“.</w:t>
      </w:r>
      <w:r w:rsidR="00C01CD6" w:rsidRPr="00C54C71">
        <w:rPr>
          <w:rFonts w:eastAsia="Times New Roman" w:cstheme="minorHAnsi"/>
          <w:i/>
          <w:iCs/>
          <w:sz w:val="24"/>
          <w:szCs w:val="24"/>
          <w:lang w:val="lt"/>
        </w:rPr>
        <w:t xml:space="preserve"> </w:t>
      </w:r>
      <w:r w:rsidR="00C01CD6" w:rsidRPr="00C54C71">
        <w:rPr>
          <w:rFonts w:eastAsia="Calibri" w:cstheme="minorHAnsi"/>
          <w:sz w:val="24"/>
          <w:szCs w:val="24"/>
        </w:rPr>
        <w:t xml:space="preserve">Nagrinėjamu atveju Pirkimo sąlygų </w:t>
      </w:r>
      <w:r w:rsidR="00DD4956" w:rsidRPr="00C54C71">
        <w:rPr>
          <w:rFonts w:eastAsia="Calibri" w:cstheme="minorHAnsi"/>
          <w:sz w:val="24"/>
          <w:szCs w:val="24"/>
        </w:rPr>
        <w:t>28 punkto</w:t>
      </w:r>
      <w:r w:rsidR="00C01CD6" w:rsidRPr="00C54C71">
        <w:rPr>
          <w:rFonts w:eastAsia="Calibri" w:cstheme="minorHAnsi"/>
          <w:sz w:val="24"/>
          <w:szCs w:val="24"/>
        </w:rPr>
        <w:t xml:space="preserve">  </w:t>
      </w:r>
      <w:r w:rsidR="00E961E7" w:rsidRPr="00C54C71">
        <w:rPr>
          <w:rFonts w:eastAsia="Calibri" w:cstheme="minorHAnsi"/>
          <w:sz w:val="24"/>
          <w:szCs w:val="24"/>
        </w:rPr>
        <w:t xml:space="preserve">1 </w:t>
      </w:r>
      <w:r w:rsidR="00C01CD6" w:rsidRPr="00C54C71">
        <w:rPr>
          <w:rFonts w:eastAsia="Calibri" w:cstheme="minorHAnsi"/>
          <w:sz w:val="24"/>
          <w:szCs w:val="24"/>
        </w:rPr>
        <w:t>lentelėje</w:t>
      </w:r>
      <w:r w:rsidR="009D6C28" w:rsidRPr="00C54C71">
        <w:rPr>
          <w:rFonts w:eastAsia="Calibri" w:cstheme="minorHAnsi"/>
          <w:sz w:val="24"/>
          <w:szCs w:val="24"/>
        </w:rPr>
        <w:t xml:space="preserve"> „Tiekėjų pašalinimo pagrindai“ </w:t>
      </w:r>
      <w:r w:rsidR="00C01CD6" w:rsidRPr="00C54C71">
        <w:rPr>
          <w:rFonts w:eastAsia="Calibri" w:cstheme="minorHAnsi"/>
          <w:sz w:val="24"/>
          <w:szCs w:val="24"/>
        </w:rPr>
        <w:t xml:space="preserve"> nustatyti tiekėjų pašalinimo pagrindai, tačiau prieš  12, 13 ir 14 punktus nurodyta, kad žemiau nustatyti „</w:t>
      </w:r>
      <w:r w:rsidR="00C01CD6" w:rsidRPr="00C54C71">
        <w:rPr>
          <w:rFonts w:eastAsia="Calibri" w:cstheme="minorHAnsi"/>
          <w:b/>
          <w:bCs/>
          <w:sz w:val="24"/>
          <w:szCs w:val="24"/>
        </w:rPr>
        <w:t xml:space="preserve">Neprivalomi pašalinimo pagrindai </w:t>
      </w:r>
      <w:r w:rsidR="00C01CD6" w:rsidRPr="00C54C71">
        <w:rPr>
          <w:rFonts w:eastAsia="Calibri" w:cstheme="minorHAnsi"/>
          <w:sz w:val="24"/>
          <w:szCs w:val="24"/>
        </w:rPr>
        <w:t xml:space="preserve">pagal VPĮ 46 straipsnio 6 dalies nuostatas“. </w:t>
      </w:r>
    </w:p>
    <w:p w14:paraId="6FA72613" w14:textId="03AFF3E2" w:rsidR="00281485" w:rsidRPr="005C39E2" w:rsidRDefault="00C01CD6" w:rsidP="005C39E2">
      <w:pPr>
        <w:spacing w:line="276" w:lineRule="auto"/>
        <w:ind w:firstLine="567"/>
        <w:rPr>
          <w:rFonts w:cstheme="minorHAnsi"/>
          <w:sz w:val="24"/>
          <w:szCs w:val="24"/>
        </w:rPr>
      </w:pPr>
      <w:r w:rsidRPr="00C54C71">
        <w:rPr>
          <w:rFonts w:eastAsia="Times New Roman" w:cstheme="minorHAnsi"/>
          <w:sz w:val="24"/>
          <w:szCs w:val="24"/>
          <w:lang w:val="lt"/>
        </w:rPr>
        <w:t>Tarnyba atkreipia dėmesį, kad šiuo atveju nėra aišku ar tiekėjas kartu su pasiūlymu teikdamas EBVPD formą privalo  užpildyti ir pateikti informaciją apie visus Tiekėjų pašalinimo pagrindus,  ar tik apie privalomus. Tarnyba rekomenduoja patikslinti Pirkimo sąlygas, aiškiai nurodant, kurie pašalinimo pagrindai  šiuo konkrečiu atveju yra privalomi.</w:t>
      </w:r>
    </w:p>
    <w:p w14:paraId="7A6C8ED3" w14:textId="2F3C00A5" w:rsidR="00281485" w:rsidRPr="00A97D74" w:rsidRDefault="00281485" w:rsidP="0051386D">
      <w:pPr>
        <w:numPr>
          <w:ilvl w:val="0"/>
          <w:numId w:val="1"/>
        </w:numPr>
        <w:spacing w:after="0" w:line="276" w:lineRule="auto"/>
        <w:contextualSpacing/>
        <w:rPr>
          <w:rFonts w:cstheme="minorHAnsi"/>
          <w:b/>
          <w:bCs/>
          <w:sz w:val="24"/>
          <w:szCs w:val="24"/>
        </w:rPr>
      </w:pPr>
      <w:r w:rsidRPr="00A97D74">
        <w:rPr>
          <w:rFonts w:cstheme="minorHAnsi"/>
          <w:b/>
          <w:bCs/>
          <w:sz w:val="24"/>
          <w:szCs w:val="24"/>
        </w:rPr>
        <w:t xml:space="preserve">Dėl Sutarties </w:t>
      </w:r>
      <w:r w:rsidR="00650860">
        <w:rPr>
          <w:rFonts w:cstheme="minorHAnsi"/>
          <w:b/>
          <w:bCs/>
          <w:sz w:val="24"/>
          <w:szCs w:val="24"/>
        </w:rPr>
        <w:t xml:space="preserve">galiojimo </w:t>
      </w:r>
      <w:r w:rsidRPr="00A97D74">
        <w:rPr>
          <w:rFonts w:cstheme="minorHAnsi"/>
          <w:b/>
          <w:bCs/>
          <w:sz w:val="24"/>
          <w:szCs w:val="24"/>
        </w:rPr>
        <w:t>termino nustatymo</w:t>
      </w:r>
    </w:p>
    <w:p w14:paraId="31B03275" w14:textId="77777777" w:rsidR="00281485" w:rsidRPr="00A97D74" w:rsidRDefault="00281485" w:rsidP="0051386D">
      <w:pPr>
        <w:spacing w:after="0" w:line="276" w:lineRule="auto"/>
        <w:rPr>
          <w:rFonts w:cstheme="minorHAnsi"/>
          <w:b/>
          <w:bCs/>
          <w:sz w:val="24"/>
          <w:szCs w:val="24"/>
        </w:rPr>
      </w:pPr>
    </w:p>
    <w:p w14:paraId="4F8C8B71" w14:textId="5555BC2E" w:rsidR="00281485" w:rsidRPr="00A97D74" w:rsidRDefault="00281485" w:rsidP="0051386D">
      <w:pPr>
        <w:tabs>
          <w:tab w:val="left" w:pos="993"/>
        </w:tabs>
        <w:spacing w:after="0" w:line="276" w:lineRule="auto"/>
        <w:ind w:firstLine="709"/>
        <w:rPr>
          <w:rFonts w:eastAsia="Calibri" w:cstheme="minorHAnsi"/>
          <w:kern w:val="0"/>
          <w:sz w:val="24"/>
          <w:szCs w:val="24"/>
          <w:lang w:val="lt-LT"/>
          <w14:ligatures w14:val="none"/>
        </w:rPr>
      </w:pPr>
      <w:r w:rsidRPr="00D25976">
        <w:rPr>
          <w:rFonts w:eastAsia="Calibri" w:cstheme="minorHAnsi"/>
          <w:b/>
          <w:bCs/>
          <w:kern w:val="0"/>
          <w:sz w:val="24"/>
          <w:szCs w:val="24"/>
          <w:lang w:val="lt-LT"/>
          <w14:ligatures w14:val="none"/>
        </w:rPr>
        <w:t>3.1.</w:t>
      </w:r>
      <w:r w:rsidRPr="00A97D74">
        <w:rPr>
          <w:rFonts w:eastAsia="Calibri" w:cstheme="minorHAnsi"/>
          <w:kern w:val="0"/>
          <w:sz w:val="24"/>
          <w:szCs w:val="24"/>
          <w:lang w:val="lt-LT"/>
          <w14:ligatures w14:val="none"/>
        </w:rPr>
        <w:t xml:space="preserve"> </w:t>
      </w:r>
      <w:bookmarkStart w:id="0" w:name="_Hlk153196750"/>
      <w:r w:rsidRPr="00A97D74">
        <w:rPr>
          <w:rFonts w:eastAsia="Calibri" w:cstheme="minorHAnsi"/>
          <w:kern w:val="0"/>
          <w:sz w:val="24"/>
          <w:szCs w:val="24"/>
          <w:lang w:val="lt-LT"/>
          <w14:ligatures w14:val="none"/>
        </w:rPr>
        <w:t>Skelbimo apie pirkimą II.2.7 punkte nustatytas Sutarties įvykdymo terminas</w:t>
      </w:r>
      <w:r w:rsidR="00DF1734" w:rsidRPr="00A97D74">
        <w:rPr>
          <w:rFonts w:eastAsia="Calibri" w:cstheme="minorHAnsi"/>
          <w:kern w:val="0"/>
          <w:sz w:val="24"/>
          <w:szCs w:val="24"/>
          <w:lang w:val="lt-LT"/>
          <w14:ligatures w14:val="none"/>
        </w:rPr>
        <w:t xml:space="preserve"> mėnesiais</w:t>
      </w:r>
      <w:r w:rsidR="00543F1B" w:rsidRPr="00A97D74">
        <w:rPr>
          <w:rFonts w:eastAsia="Calibri" w:cstheme="minorHAnsi"/>
          <w:kern w:val="0"/>
          <w:sz w:val="24"/>
          <w:szCs w:val="24"/>
          <w:lang w:val="lt-LT"/>
          <w14:ligatures w14:val="none"/>
        </w:rPr>
        <w:t>, t. y. 11 mėnesių, be pratęsimo galimybės</w:t>
      </w:r>
      <w:r w:rsidR="003A1F9C" w:rsidRPr="00A97D74">
        <w:rPr>
          <w:rFonts w:eastAsia="Calibri" w:cstheme="minorHAnsi"/>
          <w:kern w:val="0"/>
          <w:sz w:val="24"/>
          <w:szCs w:val="24"/>
          <w:lang w:val="lt-LT"/>
          <w14:ligatures w14:val="none"/>
        </w:rPr>
        <w:t>.</w:t>
      </w:r>
      <w:r w:rsidRPr="00A97D74">
        <w:rPr>
          <w:rFonts w:eastAsia="Calibri" w:cstheme="minorHAnsi"/>
          <w:kern w:val="0"/>
          <w:sz w:val="24"/>
          <w:szCs w:val="24"/>
          <w:lang w:val="lt-LT"/>
          <w14:ligatures w14:val="none"/>
        </w:rPr>
        <w:t xml:space="preserve"> </w:t>
      </w:r>
      <w:r w:rsidR="00DE520F" w:rsidRPr="00A97D74">
        <w:rPr>
          <w:rFonts w:eastAsia="Calibri" w:cstheme="minorHAnsi"/>
          <w:kern w:val="0"/>
          <w:sz w:val="24"/>
          <w:szCs w:val="24"/>
          <w:lang w:val="lt-LT"/>
          <w14:ligatures w14:val="none"/>
        </w:rPr>
        <w:t xml:space="preserve">Sutarties projekto </w:t>
      </w:r>
      <w:r w:rsidR="003C533D" w:rsidRPr="00A97D74">
        <w:rPr>
          <w:rFonts w:eastAsia="Calibri" w:cstheme="minorHAnsi"/>
          <w:kern w:val="0"/>
          <w:sz w:val="24"/>
          <w:szCs w:val="24"/>
          <w:lang w:val="lt-LT"/>
          <w14:ligatures w14:val="none"/>
        </w:rPr>
        <w:t>Specialiosios dalies 5.1 papunktyje nustatytas darbų atliki</w:t>
      </w:r>
      <w:r w:rsidR="00260DDF" w:rsidRPr="00A97D74">
        <w:rPr>
          <w:rFonts w:eastAsia="Calibri" w:cstheme="minorHAnsi"/>
          <w:kern w:val="0"/>
          <w:sz w:val="24"/>
          <w:szCs w:val="24"/>
          <w:lang w:val="lt-LT"/>
          <w14:ligatures w14:val="none"/>
        </w:rPr>
        <w:t xml:space="preserve">mo terminas, </w:t>
      </w:r>
      <w:r w:rsidRPr="00A97D74">
        <w:rPr>
          <w:rFonts w:eastAsia="Calibri" w:cstheme="minorHAnsi"/>
          <w:kern w:val="0"/>
          <w:sz w:val="24"/>
          <w:szCs w:val="24"/>
          <w:lang w:val="lt-LT"/>
          <w14:ligatures w14:val="none"/>
        </w:rPr>
        <w:t xml:space="preserve">kuris apibrėžtas konkrečia data – </w:t>
      </w:r>
      <w:r w:rsidR="00260DDF" w:rsidRPr="00A97D74">
        <w:rPr>
          <w:rFonts w:eastAsia="Calibri" w:cstheme="minorHAnsi"/>
          <w:kern w:val="0"/>
          <w:sz w:val="24"/>
          <w:szCs w:val="24"/>
          <w:lang w:val="lt-LT"/>
          <w14:ligatures w14:val="none"/>
        </w:rPr>
        <w:t xml:space="preserve">iki </w:t>
      </w:r>
      <w:r w:rsidRPr="00A97D74">
        <w:rPr>
          <w:rFonts w:eastAsia="Calibri" w:cstheme="minorHAnsi"/>
          <w:kern w:val="0"/>
          <w:sz w:val="24"/>
          <w:szCs w:val="24"/>
          <w:lang w:val="lt-LT"/>
          <w14:ligatures w14:val="none"/>
        </w:rPr>
        <w:t xml:space="preserve">2024 m. gruodžio </w:t>
      </w:r>
      <w:r w:rsidR="00260DDF" w:rsidRPr="00A97D74">
        <w:rPr>
          <w:rFonts w:eastAsia="Calibri" w:cstheme="minorHAnsi"/>
          <w:kern w:val="0"/>
          <w:sz w:val="24"/>
          <w:szCs w:val="24"/>
          <w:lang w:val="lt-LT"/>
          <w14:ligatures w14:val="none"/>
        </w:rPr>
        <w:t>2</w:t>
      </w:r>
      <w:r w:rsidRPr="00A97D74">
        <w:rPr>
          <w:rFonts w:eastAsia="Calibri" w:cstheme="minorHAnsi"/>
          <w:kern w:val="0"/>
          <w:sz w:val="24"/>
          <w:szCs w:val="24"/>
          <w:lang w:val="lt-LT"/>
          <w14:ligatures w14:val="none"/>
        </w:rPr>
        <w:t xml:space="preserve"> d.,  pratęsimo galimybė nenumatyta.  </w:t>
      </w:r>
      <w:bookmarkEnd w:id="0"/>
    </w:p>
    <w:p w14:paraId="5DCE5F31" w14:textId="77777777" w:rsidR="00281485" w:rsidRPr="00A97D74" w:rsidRDefault="00281485" w:rsidP="0051386D">
      <w:pPr>
        <w:spacing w:after="0" w:line="276" w:lineRule="auto"/>
        <w:ind w:firstLine="567"/>
        <w:rPr>
          <w:rFonts w:cstheme="minorHAnsi"/>
          <w:kern w:val="0"/>
          <w:sz w:val="24"/>
          <w:szCs w:val="24"/>
          <w:lang w:val="lt-LT"/>
          <w14:ligatures w14:val="none"/>
        </w:rPr>
      </w:pPr>
      <w:r w:rsidRPr="00A97D74">
        <w:rPr>
          <w:rFonts w:cstheme="minorHAnsi"/>
          <w:kern w:val="0"/>
          <w:sz w:val="24"/>
          <w:szCs w:val="24"/>
          <w:lang w:val="lt-LT"/>
          <w14:ligatures w14:val="none"/>
        </w:rPr>
        <w:lastRenderedPageBreak/>
        <w:t xml:space="preserve">Pažymime, kad pirkimo dokumentuose (atitinkamai ir sutartyje) nustatant sutarties galiojimo, prekių pristatymo, paslaugų suteikimo ar darbų atlikimo terminą rekomenduojama jo neapibrėžti konkrečia data, kadangi tais atvejais, kuomet užsitęsia pirkimo procedūros ir sutartis sudaroma vėliau nei buvo planuota, sutartiniai įsipareigojimai turės būti įvykdyti iki sutartyje nustatytos konkrečios datos, o ne per tokį laikotarpį, kuris buvo apskaičiuotas prieš pradedant pirkimą. Atsižvelgiant į tai, rekomenduotina ateityje vykdant pirkimus darbų atlikimo terminus apibrėžti tam tikru laikotarpiu – dienomis, mėnesiais, pavyzdžiui, per X dienų/mėnesių nuo darbų pradžios ar nuo sutarties įsigaliojimo datos, ar pan. </w:t>
      </w:r>
    </w:p>
    <w:p w14:paraId="108F5F99" w14:textId="641FC6E7" w:rsidR="00281485" w:rsidRPr="0098429C" w:rsidRDefault="00281485" w:rsidP="0051386D">
      <w:pPr>
        <w:spacing w:after="0" w:line="276" w:lineRule="auto"/>
        <w:rPr>
          <w:rFonts w:cstheme="minorHAnsi"/>
          <w:sz w:val="24"/>
          <w:szCs w:val="24"/>
          <w:lang w:val="lt-LT"/>
        </w:rPr>
      </w:pPr>
      <w:r w:rsidRPr="00A97D74">
        <w:rPr>
          <w:rFonts w:cstheme="minorHAnsi"/>
          <w:sz w:val="24"/>
          <w:szCs w:val="24"/>
        </w:rPr>
        <w:t xml:space="preserve">          </w:t>
      </w:r>
    </w:p>
    <w:p w14:paraId="24DAA627" w14:textId="0AF16928" w:rsidR="00BF2DDD" w:rsidRPr="0070311D" w:rsidRDefault="00281485" w:rsidP="0051386D">
      <w:pPr>
        <w:pStyle w:val="ListParagraph"/>
        <w:numPr>
          <w:ilvl w:val="0"/>
          <w:numId w:val="1"/>
        </w:numPr>
        <w:tabs>
          <w:tab w:val="left" w:pos="993"/>
        </w:tabs>
        <w:spacing w:after="0" w:line="276" w:lineRule="auto"/>
        <w:rPr>
          <w:rFonts w:eastAsia="Calibri" w:cstheme="minorHAnsi"/>
          <w:b/>
          <w:bCs/>
          <w:kern w:val="0"/>
          <w:sz w:val="24"/>
          <w:szCs w:val="24"/>
          <w:lang w:val="lt"/>
          <w14:ligatures w14:val="none"/>
        </w:rPr>
      </w:pPr>
      <w:r w:rsidRPr="0070311D">
        <w:rPr>
          <w:rFonts w:eastAsia="Calibri" w:cstheme="minorHAnsi"/>
          <w:b/>
          <w:kern w:val="0"/>
          <w:sz w:val="24"/>
          <w:szCs w:val="24"/>
          <w:lang w:val="lt"/>
          <w14:ligatures w14:val="none"/>
        </w:rPr>
        <w:t xml:space="preserve">Dėl </w:t>
      </w:r>
      <w:r w:rsidR="00BF2DDD" w:rsidRPr="0070311D">
        <w:rPr>
          <w:rFonts w:eastAsia="Calibri" w:cstheme="minorHAnsi"/>
          <w:b/>
          <w:bCs/>
          <w:kern w:val="0"/>
          <w:sz w:val="24"/>
          <w:szCs w:val="24"/>
          <w:lang w:val="lt"/>
          <w14:ligatures w14:val="none"/>
        </w:rPr>
        <w:t>Sutarties projekto nuostatų</w:t>
      </w:r>
    </w:p>
    <w:p w14:paraId="67533AFC" w14:textId="7324FDD5" w:rsidR="00281485" w:rsidRPr="0070311D" w:rsidRDefault="00281485" w:rsidP="0051386D">
      <w:pPr>
        <w:tabs>
          <w:tab w:val="left" w:pos="993"/>
        </w:tabs>
        <w:spacing w:after="0" w:line="276" w:lineRule="auto"/>
        <w:contextualSpacing/>
        <w:rPr>
          <w:rFonts w:eastAsia="Calibri" w:cstheme="minorHAnsi"/>
          <w:b/>
          <w:kern w:val="0"/>
          <w:sz w:val="24"/>
          <w:szCs w:val="24"/>
          <w:lang w:val="lt"/>
          <w14:ligatures w14:val="none"/>
        </w:rPr>
      </w:pPr>
    </w:p>
    <w:p w14:paraId="7C546FCE" w14:textId="1FE01C56" w:rsidR="00516BF0" w:rsidRPr="0070311D" w:rsidRDefault="00A97D74" w:rsidP="0051386D">
      <w:pPr>
        <w:tabs>
          <w:tab w:val="left" w:pos="993"/>
        </w:tabs>
        <w:spacing w:after="0" w:line="276" w:lineRule="auto"/>
        <w:ind w:firstLine="709"/>
        <w:rPr>
          <w:rFonts w:eastAsia="Calibri" w:cstheme="minorHAnsi"/>
          <w:sz w:val="24"/>
          <w:szCs w:val="24"/>
        </w:rPr>
      </w:pPr>
      <w:r w:rsidRPr="00D25976">
        <w:rPr>
          <w:rFonts w:eastAsia="Calibri" w:cstheme="minorHAnsi"/>
          <w:b/>
          <w:bCs/>
          <w:kern w:val="0"/>
          <w:sz w:val="24"/>
          <w:szCs w:val="24"/>
          <w:lang w:val="lt"/>
          <w14:ligatures w14:val="none"/>
        </w:rPr>
        <w:t>4.1.</w:t>
      </w:r>
      <w:r w:rsidRPr="0070311D">
        <w:rPr>
          <w:rFonts w:eastAsia="Calibri" w:cstheme="minorHAnsi"/>
          <w:kern w:val="0"/>
          <w:sz w:val="24"/>
          <w:szCs w:val="24"/>
          <w:lang w:val="lt"/>
          <w14:ligatures w14:val="none"/>
        </w:rPr>
        <w:t xml:space="preserve"> </w:t>
      </w:r>
      <w:r w:rsidR="00BF2DDD" w:rsidRPr="0070311D">
        <w:rPr>
          <w:rFonts w:eastAsia="Calibri" w:cstheme="minorHAnsi"/>
          <w:kern w:val="0"/>
          <w:sz w:val="24"/>
          <w:szCs w:val="24"/>
          <w:lang w:val="lt"/>
          <w14:ligatures w14:val="none"/>
        </w:rPr>
        <w:t>Sutarties projekto</w:t>
      </w:r>
      <w:r w:rsidR="00E4063D" w:rsidRPr="0070311D">
        <w:rPr>
          <w:rFonts w:eastAsia="Calibri" w:cstheme="minorHAnsi"/>
          <w:kern w:val="0"/>
          <w:sz w:val="24"/>
          <w:szCs w:val="24"/>
          <w:lang w:val="lt"/>
          <w14:ligatures w14:val="none"/>
        </w:rPr>
        <w:t xml:space="preserve"> Spec</w:t>
      </w:r>
      <w:r w:rsidR="0039713B" w:rsidRPr="0070311D">
        <w:rPr>
          <w:rFonts w:eastAsia="Calibri" w:cstheme="minorHAnsi"/>
          <w:kern w:val="0"/>
          <w:sz w:val="24"/>
          <w:szCs w:val="24"/>
          <w:lang w:val="lt"/>
          <w14:ligatures w14:val="none"/>
        </w:rPr>
        <w:t>ialiosios dalies</w:t>
      </w:r>
      <w:r w:rsidR="00BF2DDD" w:rsidRPr="0070311D">
        <w:rPr>
          <w:rFonts w:eastAsia="Calibri" w:cstheme="minorHAnsi"/>
          <w:kern w:val="0"/>
          <w:sz w:val="24"/>
          <w:szCs w:val="24"/>
          <w:lang w:val="lt"/>
          <w14:ligatures w14:val="none"/>
        </w:rPr>
        <w:t xml:space="preserve"> </w:t>
      </w:r>
      <w:r w:rsidR="0039713B" w:rsidRPr="0070311D">
        <w:rPr>
          <w:rFonts w:eastAsia="Calibri" w:cstheme="minorHAnsi"/>
          <w:kern w:val="0"/>
          <w:sz w:val="24"/>
          <w:szCs w:val="24"/>
          <w:lang w:val="lt"/>
          <w14:ligatures w14:val="none"/>
        </w:rPr>
        <w:t>4</w:t>
      </w:r>
      <w:r w:rsidR="00BF2DDD" w:rsidRPr="0070311D">
        <w:rPr>
          <w:rFonts w:eastAsia="Calibri" w:cstheme="minorHAnsi"/>
          <w:kern w:val="0"/>
          <w:sz w:val="24"/>
          <w:szCs w:val="24"/>
          <w:lang w:val="lt"/>
          <w14:ligatures w14:val="none"/>
        </w:rPr>
        <w:t xml:space="preserve"> </w:t>
      </w:r>
      <w:r w:rsidR="0039713B" w:rsidRPr="0070311D">
        <w:rPr>
          <w:rFonts w:eastAsia="Calibri" w:cstheme="minorHAnsi"/>
          <w:kern w:val="0"/>
          <w:sz w:val="24"/>
          <w:szCs w:val="24"/>
          <w:lang w:val="lt"/>
          <w14:ligatures w14:val="none"/>
        </w:rPr>
        <w:t>punkte</w:t>
      </w:r>
      <w:r w:rsidR="00BF2DDD" w:rsidRPr="0070311D">
        <w:rPr>
          <w:rFonts w:eastAsia="Calibri" w:cstheme="minorHAnsi"/>
          <w:kern w:val="0"/>
          <w:sz w:val="24"/>
          <w:szCs w:val="24"/>
          <w:lang w:val="lt"/>
          <w14:ligatures w14:val="none"/>
        </w:rPr>
        <w:t xml:space="preserve"> nustatytas </w:t>
      </w:r>
      <w:r w:rsidR="00650860">
        <w:rPr>
          <w:rFonts w:eastAsia="Calibri" w:cstheme="minorHAnsi"/>
          <w:kern w:val="0"/>
          <w:sz w:val="24"/>
          <w:szCs w:val="24"/>
          <w:lang w:val="lt"/>
          <w14:ligatures w14:val="none"/>
        </w:rPr>
        <w:t xml:space="preserve">atsiskaitymo su tiekėju </w:t>
      </w:r>
      <w:r w:rsidR="00BF2DDD" w:rsidRPr="0070311D">
        <w:rPr>
          <w:rFonts w:eastAsia="Calibri" w:cstheme="minorHAnsi"/>
          <w:kern w:val="0"/>
          <w:sz w:val="24"/>
          <w:szCs w:val="24"/>
          <w:lang w:val="lt"/>
          <w14:ligatures w14:val="none"/>
        </w:rPr>
        <w:t xml:space="preserve">terminas </w:t>
      </w:r>
      <w:r w:rsidR="00650860">
        <w:rPr>
          <w:rFonts w:eastAsia="Calibri" w:cstheme="minorHAnsi"/>
          <w:kern w:val="0"/>
          <w:sz w:val="24"/>
          <w:szCs w:val="24"/>
          <w:lang w:val="lt"/>
          <w14:ligatures w14:val="none"/>
        </w:rPr>
        <w:t xml:space="preserve">– </w:t>
      </w:r>
      <w:r w:rsidR="00BF2DDD" w:rsidRPr="0070311D">
        <w:rPr>
          <w:rFonts w:eastAsia="Calibri" w:cstheme="minorHAnsi"/>
          <w:kern w:val="0"/>
          <w:sz w:val="24"/>
          <w:szCs w:val="24"/>
          <w:lang w:val="lt"/>
          <w14:ligatures w14:val="none"/>
        </w:rPr>
        <w:t xml:space="preserve">60 dienų. Pažymėtina, kad mokėjimo laikotarpiai (atsiskaitymo terminai) turi atitikti </w:t>
      </w:r>
      <w:hyperlink r:id="rId9">
        <w:r w:rsidR="00352EE7" w:rsidRPr="0070311D">
          <w:rPr>
            <w:rStyle w:val="Hyperlink"/>
            <w:rFonts w:eastAsia="Calibri" w:cstheme="minorHAnsi"/>
            <w:sz w:val="24"/>
            <w:szCs w:val="24"/>
            <w:lang w:val="lt"/>
          </w:rPr>
          <w:t>Lietuvos Respublikos mokėjimų, atliekamų pagal komercines sutartis, vėlavimo prevencijos įstatymo</w:t>
        </w:r>
      </w:hyperlink>
      <w:r w:rsidR="00BF2DDD" w:rsidRPr="0070311D">
        <w:rPr>
          <w:rFonts w:eastAsia="Calibri" w:cstheme="minorHAnsi"/>
          <w:kern w:val="0"/>
          <w:sz w:val="24"/>
          <w:szCs w:val="24"/>
          <w:lang w:val="lt"/>
          <w14:ligatures w14:val="none"/>
        </w:rPr>
        <w:t xml:space="preserve"> 5 straipsnyje nustatytus reikalavimus. </w:t>
      </w:r>
      <w:r w:rsidR="00516BF0" w:rsidRPr="0070311D">
        <w:rPr>
          <w:rFonts w:eastAsia="Calibri" w:cstheme="minorHAnsi"/>
          <w:sz w:val="24"/>
          <w:szCs w:val="24"/>
          <w:lang w:val="lt"/>
        </w:rPr>
        <w:t xml:space="preserve">Mokėjimai už perduotas prekes, suteiktas paslaugas ir atliktus darbus turi būti atlikti ne vėliau kaip per 30 kalendorinių dienų nuo dienos, kai prekių pirkėjas, paslaugų gavėjas ar darbų užsakovas gauna sąskaitą faktūrą arba lygiavertį dokumentą, išskyrus atvejus, kai dėl to sutartyje aiškiai susitariama kitaip, jeigu tai yra objektyviai pagrįsta, atsižvelgiant į konkretų sutarties pobūdį ar ypatumus. </w:t>
      </w:r>
    </w:p>
    <w:p w14:paraId="4E5231D0" w14:textId="77777777" w:rsidR="00516BF0" w:rsidRPr="0070311D" w:rsidRDefault="00516BF0" w:rsidP="0051386D">
      <w:pPr>
        <w:tabs>
          <w:tab w:val="left" w:pos="993"/>
        </w:tabs>
        <w:spacing w:after="0" w:line="276" w:lineRule="auto"/>
        <w:ind w:firstLine="709"/>
        <w:rPr>
          <w:rFonts w:eastAsia="Calibri" w:cstheme="minorHAnsi"/>
          <w:sz w:val="24"/>
          <w:szCs w:val="24"/>
        </w:rPr>
      </w:pPr>
      <w:r w:rsidRPr="0070311D">
        <w:rPr>
          <w:rFonts w:eastAsia="Calibri" w:cstheme="minorHAnsi"/>
          <w:sz w:val="24"/>
          <w:szCs w:val="24"/>
          <w:lang w:val="lt"/>
        </w:rPr>
        <w:t>Atsižvelgiant į tai kas išdėstyta, rekomenduotina įsivertinti nustatytą atsiskaitymo terminą ir jį patikslinti, arba Sutarties projekto nuostatas papildyti paaiškinimu, kodėl atsiskaitymo terminas šiuo atveju yra ilgesnis nei 30 kalendorinių dienų.</w:t>
      </w:r>
    </w:p>
    <w:p w14:paraId="5A168231" w14:textId="424DDBB1" w:rsidR="00281485" w:rsidRPr="00281485" w:rsidRDefault="00281485" w:rsidP="0051386D">
      <w:pPr>
        <w:tabs>
          <w:tab w:val="left" w:pos="993"/>
        </w:tabs>
        <w:spacing w:after="0" w:line="276" w:lineRule="auto"/>
        <w:ind w:firstLine="709"/>
        <w:rPr>
          <w:rFonts w:ascii="Times New Roman" w:hAnsi="Times New Roman" w:cs="Times New Roman"/>
          <w:color w:val="8EAADB" w:themeColor="accent1" w:themeTint="99"/>
          <w:sz w:val="24"/>
          <w:szCs w:val="24"/>
        </w:rPr>
      </w:pPr>
    </w:p>
    <w:p w14:paraId="2C8D8604" w14:textId="77777777" w:rsidR="00281485" w:rsidRPr="00484859" w:rsidRDefault="00281485" w:rsidP="0051386D">
      <w:pPr>
        <w:spacing w:line="276" w:lineRule="auto"/>
        <w:rPr>
          <w:rFonts w:cstheme="minorHAnsi"/>
          <w:bCs/>
          <w:sz w:val="24"/>
          <w:szCs w:val="24"/>
          <w:lang w:val="lt-LT"/>
        </w:rPr>
      </w:pPr>
      <w:r w:rsidRPr="00281485">
        <w:rPr>
          <w:rFonts w:ascii="Times New Roman" w:hAnsi="Times New Roman" w:cs="Times New Roman"/>
          <w:sz w:val="24"/>
          <w:szCs w:val="24"/>
        </w:rPr>
        <w:t xml:space="preserve">      </w:t>
      </w:r>
      <w:r w:rsidRPr="00484859">
        <w:rPr>
          <w:rFonts w:cstheme="minorHAnsi"/>
          <w:bCs/>
          <w:sz w:val="24"/>
          <w:szCs w:val="24"/>
          <w:lang w:val="lt"/>
        </w:rPr>
        <w:t xml:space="preserve">Atsižvelgiant į aukščiau išdėstytą, Tarnyba rekomenduoja peržiūrėti ir patikslinti Pirkimo dokumentų nuostatas pagal pateiktą Rekomendaciją. Primename, kad Perkančioji organizacija, patikslinusi Pirkimo dokumentus, turi visus pakeitimus paskelbti viešai CVP IS ir prireikus pratęsti pasiūlymų pateikimo terminą protingumo kriterijų atitinkančiam laikotarpiui, per kurį tiekėjai, rengdami pasiūlymus, galėtų atsižvelgti į patikslinimus. Pažymėtina, kad visais atvejais sprendimą dėl tolimesnio Pirkimo procedūrų vykdymo ar nutraukimo priima pati Perkančioji organizacija, vadovaudamasi </w:t>
      </w:r>
      <w:r w:rsidRPr="00484859">
        <w:rPr>
          <w:rFonts w:cstheme="minorHAnsi"/>
          <w:bCs/>
          <w:sz w:val="24"/>
          <w:szCs w:val="24"/>
          <w:lang w:val="lt-LT"/>
        </w:rPr>
        <w:t>Įstatymo 29 straipsnio 3</w:t>
      </w:r>
      <w:r w:rsidRPr="00484859">
        <w:rPr>
          <w:rFonts w:cstheme="minorHAnsi"/>
          <w:bCs/>
          <w:sz w:val="24"/>
          <w:szCs w:val="24"/>
          <w:vertAlign w:val="superscript"/>
          <w:lang w:val="lt-LT"/>
        </w:rPr>
        <w:footnoteReference w:id="1"/>
      </w:r>
      <w:r w:rsidRPr="00484859">
        <w:rPr>
          <w:rFonts w:cstheme="minorHAnsi"/>
          <w:bCs/>
          <w:sz w:val="24"/>
          <w:szCs w:val="24"/>
          <w:lang w:val="lt-LT"/>
        </w:rPr>
        <w:t xml:space="preserve"> ir 4</w:t>
      </w:r>
      <w:r w:rsidRPr="00484859">
        <w:rPr>
          <w:rFonts w:cstheme="minorHAnsi"/>
          <w:bCs/>
          <w:sz w:val="24"/>
          <w:szCs w:val="24"/>
          <w:vertAlign w:val="superscript"/>
          <w:lang w:val="lt-LT"/>
        </w:rPr>
        <w:footnoteReference w:id="2"/>
      </w:r>
      <w:r w:rsidRPr="00484859">
        <w:rPr>
          <w:rFonts w:cstheme="minorHAnsi"/>
          <w:bCs/>
          <w:sz w:val="24"/>
          <w:szCs w:val="24"/>
          <w:lang w:val="lt-LT"/>
        </w:rPr>
        <w:t xml:space="preserve"> dalių nuostatomis.</w:t>
      </w:r>
    </w:p>
    <w:p w14:paraId="5D83BE27" w14:textId="77777777" w:rsidR="00281485" w:rsidRPr="00281485" w:rsidRDefault="00281485" w:rsidP="0051386D">
      <w:pPr>
        <w:spacing w:line="276" w:lineRule="auto"/>
        <w:rPr>
          <w:rFonts w:ascii="Times New Roman" w:hAnsi="Times New Roman" w:cs="Times New Roman"/>
          <w:sz w:val="24"/>
          <w:szCs w:val="24"/>
        </w:rPr>
      </w:pPr>
    </w:p>
    <w:p w14:paraId="2222BD2E" w14:textId="77777777" w:rsidR="00281485" w:rsidRPr="00281485" w:rsidRDefault="00281485" w:rsidP="0051386D">
      <w:pPr>
        <w:spacing w:after="0" w:line="276" w:lineRule="auto"/>
        <w:rPr>
          <w:rFonts w:ascii="Times New Roman" w:hAnsi="Times New Roman" w:cs="Times New Roman"/>
          <w:sz w:val="24"/>
          <w:szCs w:val="24"/>
        </w:rPr>
      </w:pPr>
    </w:p>
    <w:p w14:paraId="29C04D7A" w14:textId="77777777" w:rsidR="00281485" w:rsidRPr="00281485" w:rsidRDefault="00281485" w:rsidP="00484859"/>
    <w:p w14:paraId="51690AE6" w14:textId="77777777" w:rsidR="00281485" w:rsidRPr="00281485" w:rsidRDefault="00281485" w:rsidP="00484859"/>
    <w:p w14:paraId="36514E59" w14:textId="77777777" w:rsidR="00C87E6C" w:rsidRDefault="00C87E6C" w:rsidP="00484859"/>
    <w:sectPr w:rsidR="00C87E6C" w:rsidSect="009E47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F2F3" w14:textId="77777777" w:rsidR="009E47DB" w:rsidRDefault="009E47DB" w:rsidP="00281485">
      <w:pPr>
        <w:spacing w:after="0" w:line="240" w:lineRule="auto"/>
      </w:pPr>
      <w:r>
        <w:separator/>
      </w:r>
    </w:p>
  </w:endnote>
  <w:endnote w:type="continuationSeparator" w:id="0">
    <w:p w14:paraId="211206C3" w14:textId="77777777" w:rsidR="009E47DB" w:rsidRDefault="009E47DB" w:rsidP="0028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214C3" w14:textId="77777777" w:rsidR="009E47DB" w:rsidRDefault="009E47DB" w:rsidP="00281485">
      <w:pPr>
        <w:spacing w:after="0" w:line="240" w:lineRule="auto"/>
      </w:pPr>
      <w:r>
        <w:separator/>
      </w:r>
    </w:p>
  </w:footnote>
  <w:footnote w:type="continuationSeparator" w:id="0">
    <w:p w14:paraId="2BE0D644" w14:textId="77777777" w:rsidR="009E47DB" w:rsidRDefault="009E47DB" w:rsidP="00281485">
      <w:pPr>
        <w:spacing w:after="0" w:line="240" w:lineRule="auto"/>
      </w:pPr>
      <w:r>
        <w:continuationSeparator/>
      </w:r>
    </w:p>
  </w:footnote>
  <w:footnote w:id="1">
    <w:p w14:paraId="0D8DCF67" w14:textId="77777777" w:rsidR="00281485" w:rsidRPr="009E438D" w:rsidRDefault="00281485" w:rsidP="00281485">
      <w:pPr>
        <w:pStyle w:val="FootnoteText"/>
        <w:jc w:val="both"/>
        <w:rPr>
          <w:rFonts w:cstheme="minorHAnsi"/>
        </w:rPr>
      </w:pPr>
      <w:r w:rsidRPr="004E2975">
        <w:rPr>
          <w:rStyle w:val="FootnoteReference"/>
          <w:rFonts w:ascii="Times New Roman" w:hAnsi="Times New Roman" w:cs="Times New Roman"/>
        </w:rPr>
        <w:footnoteRef/>
      </w:r>
      <w:r w:rsidRPr="004E2975">
        <w:rPr>
          <w:rFonts w:ascii="Times New Roman" w:hAnsi="Times New Roman" w:cs="Times New Roman"/>
        </w:rPr>
        <w:t xml:space="preserve"> </w:t>
      </w:r>
      <w:r w:rsidRPr="004E2975">
        <w:rPr>
          <w:rFonts w:ascii="Times New Roman" w:hAnsi="Times New Roman" w:cs="Times New Roman"/>
          <w:i/>
          <w:iCs/>
        </w:rPr>
        <w:t>„</w:t>
      </w:r>
      <w:r w:rsidRPr="009E438D">
        <w:rPr>
          <w:rFonts w:cstheme="minorHAnsi"/>
          <w:bCs/>
          <w:color w:val="000000"/>
        </w:rPr>
        <w:t>Perkančioji</w:t>
      </w:r>
      <w:r w:rsidRPr="009E438D">
        <w:rPr>
          <w:rFonts w:cstheme="minorHAnsi"/>
          <w:color w:val="000000"/>
        </w:rPr>
        <w:t xml:space="preserve"> organizacija privalo </w:t>
      </w:r>
      <w:r w:rsidRPr="009E438D">
        <w:rPr>
          <w:rFonts w:cstheme="minorHAnsi"/>
          <w:bCs/>
          <w:color w:val="000000"/>
        </w:rPr>
        <w:t>nutraukti pradėtas pirkimo ar projekto konkurso procedūras</w:t>
      </w:r>
      <w:r w:rsidRPr="009E438D">
        <w:rPr>
          <w:rFonts w:cstheme="minorHAnsi"/>
          <w:color w:val="000000"/>
        </w:rPr>
        <w:t>, jeigu buvo pažeisti šio įstatymo 17 straipsnio 1 dalyje nustatyti principai ir atitinkamos padėties negalima ištaisyti.“</w:t>
      </w:r>
    </w:p>
  </w:footnote>
  <w:footnote w:id="2">
    <w:p w14:paraId="145A6B2D" w14:textId="77777777" w:rsidR="00281485" w:rsidRPr="009E438D" w:rsidRDefault="00281485" w:rsidP="00281485">
      <w:pPr>
        <w:pStyle w:val="FootnoteText"/>
        <w:jc w:val="both"/>
        <w:rPr>
          <w:rFonts w:cstheme="minorHAnsi"/>
          <w:i/>
          <w:iCs/>
        </w:rPr>
      </w:pPr>
      <w:r w:rsidRPr="009E438D">
        <w:rPr>
          <w:rStyle w:val="FootnoteReference"/>
          <w:rFonts w:cstheme="minorHAnsi"/>
        </w:rPr>
        <w:footnoteRef/>
      </w:r>
      <w:r w:rsidRPr="009E438D">
        <w:rPr>
          <w:rFonts w:cstheme="minorHAnsi"/>
        </w:rPr>
        <w:t>„</w:t>
      </w:r>
      <w:r w:rsidRPr="009E438D">
        <w:rPr>
          <w:rFonts w:cstheme="minorHAnsi"/>
          <w:bCs/>
          <w:color w:val="000000"/>
        </w:rPr>
        <w:t xml:space="preserve">Perkančioji organizacija turi teisę savo iniciatyva nutraukti pradėtas pirkimo ar projekto konkurso procedūras, jeigu atsirado aplinkybių, kurių nebuvo galima numatyti, arba </w:t>
      </w:r>
      <w:r w:rsidRPr="009E438D">
        <w:rPr>
          <w:rFonts w:cstheme="minorHAnsi"/>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FD7BC6"/>
    <w:multiLevelType w:val="multilevel"/>
    <w:tmpl w:val="7542EAF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65BB3C"/>
    <w:multiLevelType w:val="hybridMultilevel"/>
    <w:tmpl w:val="0D68C8F6"/>
    <w:lvl w:ilvl="0" w:tplc="31B43FFE">
      <w:start w:val="1"/>
      <w:numFmt w:val="decimal"/>
      <w:lvlText w:val="%1."/>
      <w:lvlJc w:val="left"/>
      <w:pPr>
        <w:ind w:left="720" w:hanging="360"/>
      </w:pPr>
    </w:lvl>
    <w:lvl w:ilvl="1" w:tplc="63645FC2">
      <w:start w:val="1"/>
      <w:numFmt w:val="decimal"/>
      <w:lvlText w:val="%2."/>
      <w:lvlJc w:val="left"/>
      <w:pPr>
        <w:ind w:left="1440" w:hanging="360"/>
      </w:pPr>
    </w:lvl>
    <w:lvl w:ilvl="2" w:tplc="06FE9744">
      <w:start w:val="1"/>
      <w:numFmt w:val="lowerRoman"/>
      <w:lvlText w:val="%3."/>
      <w:lvlJc w:val="right"/>
      <w:pPr>
        <w:ind w:left="2160" w:hanging="180"/>
      </w:pPr>
    </w:lvl>
    <w:lvl w:ilvl="3" w:tplc="8F2C13BC">
      <w:start w:val="1"/>
      <w:numFmt w:val="decimal"/>
      <w:lvlText w:val="%4."/>
      <w:lvlJc w:val="left"/>
      <w:pPr>
        <w:ind w:left="2880" w:hanging="360"/>
      </w:pPr>
    </w:lvl>
    <w:lvl w:ilvl="4" w:tplc="64046D2A">
      <w:start w:val="1"/>
      <w:numFmt w:val="lowerLetter"/>
      <w:lvlText w:val="%5."/>
      <w:lvlJc w:val="left"/>
      <w:pPr>
        <w:ind w:left="3600" w:hanging="360"/>
      </w:pPr>
    </w:lvl>
    <w:lvl w:ilvl="5" w:tplc="8324795C">
      <w:start w:val="1"/>
      <w:numFmt w:val="lowerRoman"/>
      <w:lvlText w:val="%6."/>
      <w:lvlJc w:val="right"/>
      <w:pPr>
        <w:ind w:left="4320" w:hanging="180"/>
      </w:pPr>
    </w:lvl>
    <w:lvl w:ilvl="6" w:tplc="2196EB68">
      <w:start w:val="1"/>
      <w:numFmt w:val="decimal"/>
      <w:lvlText w:val="%7."/>
      <w:lvlJc w:val="left"/>
      <w:pPr>
        <w:ind w:left="5040" w:hanging="360"/>
      </w:pPr>
    </w:lvl>
    <w:lvl w:ilvl="7" w:tplc="7BEA5352">
      <w:start w:val="1"/>
      <w:numFmt w:val="lowerLetter"/>
      <w:lvlText w:val="%8."/>
      <w:lvlJc w:val="left"/>
      <w:pPr>
        <w:ind w:left="5760" w:hanging="360"/>
      </w:pPr>
    </w:lvl>
    <w:lvl w:ilvl="8" w:tplc="D64E268E">
      <w:start w:val="1"/>
      <w:numFmt w:val="lowerRoman"/>
      <w:lvlText w:val="%9."/>
      <w:lvlJc w:val="right"/>
      <w:pPr>
        <w:ind w:left="6480" w:hanging="180"/>
      </w:pPr>
    </w:lvl>
  </w:abstractNum>
  <w:abstractNum w:abstractNumId="3" w15:restartNumberingAfterBreak="0">
    <w:nsid w:val="53AD6243"/>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43396788">
    <w:abstractNumId w:val="1"/>
  </w:num>
  <w:num w:numId="2" w16cid:durableId="954404686">
    <w:abstractNumId w:val="3"/>
  </w:num>
  <w:num w:numId="3" w16cid:durableId="1339305868">
    <w:abstractNumId w:val="2"/>
  </w:num>
  <w:num w:numId="4" w16cid:durableId="330989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4A"/>
    <w:rsid w:val="00022A82"/>
    <w:rsid w:val="00040631"/>
    <w:rsid w:val="000B7894"/>
    <w:rsid w:val="000D4FBE"/>
    <w:rsid w:val="000F1698"/>
    <w:rsid w:val="000F2F89"/>
    <w:rsid w:val="000F6C72"/>
    <w:rsid w:val="00130BC8"/>
    <w:rsid w:val="001501AD"/>
    <w:rsid w:val="001A0FD3"/>
    <w:rsid w:val="001A1ACE"/>
    <w:rsid w:val="001B36B2"/>
    <w:rsid w:val="001B5016"/>
    <w:rsid w:val="001D308A"/>
    <w:rsid w:val="001E374F"/>
    <w:rsid w:val="002029C4"/>
    <w:rsid w:val="00222BEE"/>
    <w:rsid w:val="002578F5"/>
    <w:rsid w:val="00260DDF"/>
    <w:rsid w:val="00281485"/>
    <w:rsid w:val="00284C1D"/>
    <w:rsid w:val="003019D4"/>
    <w:rsid w:val="00331EBF"/>
    <w:rsid w:val="0034667B"/>
    <w:rsid w:val="00346720"/>
    <w:rsid w:val="00352EE7"/>
    <w:rsid w:val="00355B45"/>
    <w:rsid w:val="0036354A"/>
    <w:rsid w:val="003775B7"/>
    <w:rsid w:val="0039713B"/>
    <w:rsid w:val="003A1F9C"/>
    <w:rsid w:val="003C533D"/>
    <w:rsid w:val="00421736"/>
    <w:rsid w:val="004833D9"/>
    <w:rsid w:val="00484859"/>
    <w:rsid w:val="004B3ADF"/>
    <w:rsid w:val="004D49FA"/>
    <w:rsid w:val="004D7295"/>
    <w:rsid w:val="004F1588"/>
    <w:rsid w:val="0050054B"/>
    <w:rsid w:val="0051386D"/>
    <w:rsid w:val="00516BF0"/>
    <w:rsid w:val="00543F1B"/>
    <w:rsid w:val="00577090"/>
    <w:rsid w:val="005C39E2"/>
    <w:rsid w:val="0061236E"/>
    <w:rsid w:val="00623564"/>
    <w:rsid w:val="00624A60"/>
    <w:rsid w:val="00650860"/>
    <w:rsid w:val="00663B64"/>
    <w:rsid w:val="00671FA5"/>
    <w:rsid w:val="00677296"/>
    <w:rsid w:val="00694AA9"/>
    <w:rsid w:val="006C2D5B"/>
    <w:rsid w:val="006C7CDB"/>
    <w:rsid w:val="007002F8"/>
    <w:rsid w:val="0070311D"/>
    <w:rsid w:val="00707666"/>
    <w:rsid w:val="00734CDF"/>
    <w:rsid w:val="007769CA"/>
    <w:rsid w:val="00795457"/>
    <w:rsid w:val="007A647F"/>
    <w:rsid w:val="007C0FC7"/>
    <w:rsid w:val="007E1D56"/>
    <w:rsid w:val="007E1DDE"/>
    <w:rsid w:val="0081030D"/>
    <w:rsid w:val="00823B5A"/>
    <w:rsid w:val="00863355"/>
    <w:rsid w:val="00882442"/>
    <w:rsid w:val="008871C6"/>
    <w:rsid w:val="008951F1"/>
    <w:rsid w:val="008A18D2"/>
    <w:rsid w:val="008A6DBA"/>
    <w:rsid w:val="008B34FE"/>
    <w:rsid w:val="008B7763"/>
    <w:rsid w:val="0094458A"/>
    <w:rsid w:val="009665A4"/>
    <w:rsid w:val="009816BE"/>
    <w:rsid w:val="0098429C"/>
    <w:rsid w:val="00990536"/>
    <w:rsid w:val="009955FA"/>
    <w:rsid w:val="009D6C28"/>
    <w:rsid w:val="009E438D"/>
    <w:rsid w:val="009E47DB"/>
    <w:rsid w:val="00A31326"/>
    <w:rsid w:val="00A3198D"/>
    <w:rsid w:val="00A618A6"/>
    <w:rsid w:val="00A97D74"/>
    <w:rsid w:val="00B1023E"/>
    <w:rsid w:val="00B17F42"/>
    <w:rsid w:val="00B46048"/>
    <w:rsid w:val="00BA2E1E"/>
    <w:rsid w:val="00BF2DDD"/>
    <w:rsid w:val="00C01CD6"/>
    <w:rsid w:val="00C02CE8"/>
    <w:rsid w:val="00C14E39"/>
    <w:rsid w:val="00C20394"/>
    <w:rsid w:val="00C54C71"/>
    <w:rsid w:val="00C846AE"/>
    <w:rsid w:val="00C87E6C"/>
    <w:rsid w:val="00C91311"/>
    <w:rsid w:val="00CC7D25"/>
    <w:rsid w:val="00CF3FBB"/>
    <w:rsid w:val="00CF576E"/>
    <w:rsid w:val="00D1778F"/>
    <w:rsid w:val="00D25976"/>
    <w:rsid w:val="00D30D56"/>
    <w:rsid w:val="00D4132E"/>
    <w:rsid w:val="00D8552F"/>
    <w:rsid w:val="00DA62DA"/>
    <w:rsid w:val="00DC7DFF"/>
    <w:rsid w:val="00DD4956"/>
    <w:rsid w:val="00DE520F"/>
    <w:rsid w:val="00DE63E1"/>
    <w:rsid w:val="00DF1734"/>
    <w:rsid w:val="00E15313"/>
    <w:rsid w:val="00E27A40"/>
    <w:rsid w:val="00E4063D"/>
    <w:rsid w:val="00E45541"/>
    <w:rsid w:val="00E51A32"/>
    <w:rsid w:val="00E657BA"/>
    <w:rsid w:val="00E961E7"/>
    <w:rsid w:val="00ED1EB6"/>
    <w:rsid w:val="00ED7FD4"/>
    <w:rsid w:val="00F45B4F"/>
    <w:rsid w:val="00FE0CEF"/>
    <w:rsid w:val="00FE191D"/>
    <w:rsid w:val="00FE1FE3"/>
    <w:rsid w:val="00FE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53C9"/>
  <w15:chartTrackingRefBased/>
  <w15:docId w15:val="{CD54023D-128C-438E-A0B2-5829991B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485"/>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81485"/>
    <w:rPr>
      <w:vertAlign w:val="superscript"/>
    </w:rPr>
  </w:style>
  <w:style w:type="character" w:styleId="Hyperlink">
    <w:name w:val="Hyperlink"/>
    <w:basedOn w:val="DefaultParagraphFont"/>
    <w:uiPriority w:val="99"/>
    <w:unhideWhenUsed/>
    <w:rsid w:val="00352EE7"/>
    <w:rPr>
      <w:color w:val="0563C1" w:themeColor="hyperlink"/>
      <w:u w:val="single"/>
    </w:rPr>
  </w:style>
  <w:style w:type="character" w:styleId="CommentReference">
    <w:name w:val="annotation reference"/>
    <w:basedOn w:val="DefaultParagraphFont"/>
    <w:uiPriority w:val="99"/>
    <w:qFormat/>
    <w:rsid w:val="00E657BA"/>
    <w:rPr>
      <w:rFonts w:cs="Times New Roman"/>
      <w:sz w:val="16"/>
      <w:szCs w:val="16"/>
    </w:rPr>
  </w:style>
  <w:style w:type="paragraph" w:styleId="CommentText">
    <w:name w:val="annotation text"/>
    <w:aliases w:val="Diagrama,Diagrama Diagrama Char Char,Diagrama Diagrama Char,Diagrama Diagrama Diagrama Diagrama,Diagrama Diagrama Diagrama,Char3,Diagrama Diagrama Char Char Char,Komentaro tekstas Diagrama Diagrama,Char1, Diagrama Diagrama Diagrama"/>
    <w:basedOn w:val="Normal"/>
    <w:link w:val="CommentTextChar"/>
    <w:qFormat/>
    <w:rsid w:val="00E657BA"/>
    <w:pPr>
      <w:spacing w:after="0" w:line="240" w:lineRule="auto"/>
    </w:pPr>
    <w:rPr>
      <w:rFonts w:ascii="Times New Roman" w:eastAsia="SimSun" w:hAnsi="Times New Roman" w:cs="Times New Roman"/>
      <w:kern w:val="0"/>
      <w:sz w:val="20"/>
      <w:szCs w:val="20"/>
      <w:lang w:val="ru-RU"/>
      <w14:ligatures w14:val="none"/>
    </w:rPr>
  </w:style>
  <w:style w:type="character" w:customStyle="1" w:styleId="CommentTextChar">
    <w:name w:val="Comment Text Char"/>
    <w:aliases w:val="Diagrama Char,Diagrama Diagrama Char Char Char1,Diagrama Diagrama Char Char1,Diagrama Diagrama Diagrama Diagrama Char,Diagrama Diagrama Diagrama Char,Char3 Char,Diagrama Diagrama Char Char Char Char,Char1 Char"/>
    <w:basedOn w:val="DefaultParagraphFont"/>
    <w:link w:val="CommentText"/>
    <w:qFormat/>
    <w:rsid w:val="00E657BA"/>
    <w:rPr>
      <w:rFonts w:ascii="Times New Roman" w:eastAsia="SimSun" w:hAnsi="Times New Roman" w:cs="Times New Roman"/>
      <w:kern w:val="0"/>
      <w:sz w:val="20"/>
      <w:szCs w:val="20"/>
      <w:lang w:val="ru-RU"/>
      <w14:ligatures w14:val="none"/>
    </w:rPr>
  </w:style>
  <w:style w:type="paragraph" w:styleId="ListParagraph">
    <w:name w:val="List Paragraph"/>
    <w:basedOn w:val="Normal"/>
    <w:uiPriority w:val="34"/>
    <w:qFormat/>
    <w:rsid w:val="00C14E39"/>
    <w:pPr>
      <w:ind w:left="720"/>
      <w:contextualSpacing/>
    </w:pPr>
  </w:style>
  <w:style w:type="paragraph" w:styleId="Revision">
    <w:name w:val="Revision"/>
    <w:hidden/>
    <w:uiPriority w:val="99"/>
    <w:semiHidden/>
    <w:rsid w:val="00650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metodine-pagalba/pavyzdiniai-dokumentai-3/pasalinimo-pagrindu-lente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TAIS.22422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EEEF0-93D3-4274-8D46-84859F42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8</cp:revision>
  <dcterms:created xsi:type="dcterms:W3CDTF">2024-02-28T12:38:00Z</dcterms:created>
  <dcterms:modified xsi:type="dcterms:W3CDTF">2024-03-08T08:01:00Z</dcterms:modified>
</cp:coreProperties>
</file>