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397A" w14:textId="77777777" w:rsidR="006E176C" w:rsidRPr="00BD5ABB" w:rsidRDefault="006E176C" w:rsidP="006E176C">
      <w:pPr>
        <w:spacing w:after="0" w:line="276" w:lineRule="auto"/>
        <w:ind w:firstLine="709"/>
        <w:rPr>
          <w:rFonts w:cstheme="minorHAnsi"/>
          <w:sz w:val="24"/>
          <w:szCs w:val="24"/>
        </w:rPr>
      </w:pPr>
      <w:r w:rsidRPr="00BD5ABB">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B52FF19" w14:textId="77777777" w:rsidR="006E176C" w:rsidRPr="00BD5ABB" w:rsidRDefault="006E176C" w:rsidP="006E176C">
      <w:pPr>
        <w:spacing w:after="0" w:line="276" w:lineRule="auto"/>
        <w:ind w:firstLine="709"/>
        <w:rPr>
          <w:rFonts w:cstheme="minorHAnsi"/>
          <w:sz w:val="24"/>
          <w:szCs w:val="24"/>
        </w:rPr>
      </w:pPr>
      <w:r w:rsidRPr="00BD5ABB">
        <w:rPr>
          <w:rFonts w:eastAsia="Times New Roman" w:cstheme="minorHAnsi"/>
          <w:sz w:val="24"/>
          <w:szCs w:val="24"/>
          <w:lang w:val="lt"/>
        </w:rPr>
        <w:t xml:space="preserve">Vadovaujantis Tarnybai Įstatyme nustatyta pažeidimų prevencijos funkcija, šiuo metu atliekama </w:t>
      </w:r>
      <w:r w:rsidRPr="005B1BC8">
        <w:rPr>
          <w:rFonts w:eastAsia="Times New Roman" w:cstheme="minorHAnsi"/>
          <w:b/>
          <w:bCs/>
          <w:sz w:val="24"/>
          <w:szCs w:val="24"/>
          <w:lang w:val="lt"/>
        </w:rPr>
        <w:t>Infrastruktūros valdymo agentūros</w:t>
      </w:r>
      <w:r w:rsidRPr="00BD5ABB">
        <w:rPr>
          <w:rFonts w:cstheme="minorHAnsi"/>
          <w:b/>
          <w:bCs/>
          <w:spacing w:val="-2"/>
          <w:sz w:val="24"/>
          <w:szCs w:val="24"/>
        </w:rPr>
        <w:t xml:space="preserve"> </w:t>
      </w:r>
      <w:r w:rsidRPr="00BD5ABB">
        <w:rPr>
          <w:rFonts w:cstheme="minorHAnsi"/>
          <w:sz w:val="24"/>
          <w:szCs w:val="24"/>
          <w:lang w:eastAsia="lt-LT"/>
        </w:rPr>
        <w:t>(toliau – Perkančioji organizacija) vykdomo pirkimo Nr.</w:t>
      </w:r>
      <w:r w:rsidRPr="00BD5ABB">
        <w:rPr>
          <w:rFonts w:cstheme="minorHAnsi"/>
          <w:b/>
          <w:bCs/>
          <w:sz w:val="24"/>
          <w:szCs w:val="24"/>
          <w:lang w:eastAsia="lt-LT"/>
        </w:rPr>
        <w:t xml:space="preserve"> 711</w:t>
      </w:r>
      <w:r>
        <w:rPr>
          <w:rFonts w:cstheme="minorHAnsi"/>
          <w:b/>
          <w:bCs/>
          <w:sz w:val="24"/>
          <w:szCs w:val="24"/>
          <w:lang w:eastAsia="lt-LT"/>
        </w:rPr>
        <w:t>315</w:t>
      </w:r>
      <w:r w:rsidRPr="00BD5ABB">
        <w:rPr>
          <w:rFonts w:cstheme="minorHAnsi"/>
          <w:b/>
          <w:bCs/>
          <w:sz w:val="24"/>
          <w:szCs w:val="24"/>
          <w:lang w:eastAsia="lt-LT"/>
        </w:rPr>
        <w:t xml:space="preserve"> „</w:t>
      </w:r>
      <w:r>
        <w:rPr>
          <w:rFonts w:cstheme="minorHAnsi"/>
          <w:b/>
          <w:bCs/>
          <w:sz w:val="24"/>
          <w:szCs w:val="24"/>
          <w:lang w:eastAsia="lt-LT"/>
        </w:rPr>
        <w:t>Specialiosios paskirties pastato Lietuvos didžiojo kunigaikščio pėstininkų batalione, Tauragės r. sav., Tauragės sen., Laužo k. 1, statybos darbai</w:t>
      </w:r>
      <w:r w:rsidRPr="00BD5ABB">
        <w:rPr>
          <w:rFonts w:cstheme="minorHAnsi"/>
          <w:b/>
          <w:bCs/>
          <w:sz w:val="24"/>
          <w:szCs w:val="24"/>
          <w:lang w:eastAsia="lt-LT"/>
        </w:rPr>
        <w:t>“</w:t>
      </w:r>
      <w:r w:rsidRPr="00BD5ABB">
        <w:rPr>
          <w:rFonts w:cstheme="minorHAnsi"/>
          <w:sz w:val="24"/>
          <w:szCs w:val="24"/>
          <w:lang w:eastAsia="lt-LT"/>
        </w:rPr>
        <w:t xml:space="preserve"> (toliau – Pirkimas) </w:t>
      </w:r>
      <w:r w:rsidRPr="00BD5ABB">
        <w:rPr>
          <w:rFonts w:cstheme="minorHAnsi"/>
          <w:sz w:val="24"/>
          <w:szCs w:val="24"/>
        </w:rPr>
        <w:t>dokumentų atitikties Įstatymui ir jį įgyvendinantiems teisės aktams peržiūra (peržiūra prevenciniais tikslais atliekama tam tikra apimtimi).</w:t>
      </w:r>
    </w:p>
    <w:p w14:paraId="5A112CA2" w14:textId="77777777" w:rsidR="006E176C" w:rsidRDefault="006E176C" w:rsidP="006E176C">
      <w:pPr>
        <w:spacing w:after="0" w:line="276" w:lineRule="auto"/>
        <w:ind w:firstLine="709"/>
        <w:rPr>
          <w:rFonts w:cstheme="minorHAnsi"/>
          <w:sz w:val="24"/>
          <w:szCs w:val="24"/>
          <w:lang w:eastAsia="lt-LT"/>
        </w:rPr>
      </w:pPr>
      <w:r w:rsidRPr="00BD5ABB">
        <w:rPr>
          <w:rFonts w:cstheme="minorHAnsi"/>
          <w:sz w:val="24"/>
          <w:szCs w:val="24"/>
          <w:lang w:eastAsia="lt-LT"/>
        </w:rPr>
        <w:t>Tarnyba, prevencine tvarka peržiūrėjusi Pirkimo dokumentus ir atsižvelgdama į galiojantį teisinį reglamentavimą</w:t>
      </w:r>
      <w:r w:rsidRPr="00821441">
        <w:rPr>
          <w:rFonts w:cstheme="minorHAnsi"/>
          <w:sz w:val="24"/>
          <w:szCs w:val="24"/>
          <w:lang w:eastAsia="lt-LT"/>
        </w:rPr>
        <w:t xml:space="preserve">, teikia </w:t>
      </w:r>
      <w:r>
        <w:rPr>
          <w:rFonts w:cstheme="minorHAnsi"/>
          <w:sz w:val="24"/>
          <w:szCs w:val="24"/>
          <w:lang w:eastAsia="lt-LT"/>
        </w:rPr>
        <w:t xml:space="preserve">klausimus, </w:t>
      </w:r>
      <w:r w:rsidRPr="00821441">
        <w:rPr>
          <w:rFonts w:cstheme="minorHAnsi"/>
          <w:sz w:val="24"/>
          <w:szCs w:val="24"/>
          <w:lang w:eastAsia="lt-LT"/>
        </w:rPr>
        <w:t>pastabas ir rekomendacijas</w:t>
      </w:r>
      <w:r w:rsidRPr="00BD5ABB">
        <w:rPr>
          <w:rFonts w:cstheme="minorHAnsi"/>
          <w:sz w:val="24"/>
          <w:szCs w:val="24"/>
          <w:lang w:eastAsia="lt-LT"/>
        </w:rPr>
        <w:t xml:space="preserve"> (toliau – Rekomendacija) dėl Pirkimo dokumentų nuostatų.</w:t>
      </w:r>
    </w:p>
    <w:p w14:paraId="3791737A" w14:textId="77777777" w:rsidR="006E176C" w:rsidRDefault="006E176C" w:rsidP="006E176C">
      <w:pPr>
        <w:pStyle w:val="ListParagraph"/>
        <w:numPr>
          <w:ilvl w:val="0"/>
          <w:numId w:val="1"/>
        </w:numPr>
        <w:tabs>
          <w:tab w:val="left" w:pos="1134"/>
        </w:tabs>
        <w:spacing w:after="0" w:line="276" w:lineRule="auto"/>
        <w:ind w:left="0" w:firstLine="709"/>
        <w:rPr>
          <w:rFonts w:cstheme="minorHAnsi"/>
          <w:b/>
          <w:bCs/>
          <w:sz w:val="24"/>
          <w:szCs w:val="24"/>
          <w:lang w:eastAsia="lt-LT"/>
        </w:rPr>
      </w:pPr>
      <w:r w:rsidRPr="005B1BC8">
        <w:rPr>
          <w:rFonts w:cstheme="minorHAnsi"/>
          <w:b/>
          <w:bCs/>
          <w:sz w:val="24"/>
          <w:szCs w:val="24"/>
          <w:lang w:eastAsia="lt-LT"/>
        </w:rPr>
        <w:t>Dėl pašalinimo pagrindų</w:t>
      </w:r>
    </w:p>
    <w:p w14:paraId="6207DDD8" w14:textId="77777777" w:rsidR="006E176C" w:rsidRDefault="006E176C" w:rsidP="006E176C">
      <w:pPr>
        <w:pStyle w:val="ListParagraph"/>
        <w:numPr>
          <w:ilvl w:val="1"/>
          <w:numId w:val="2"/>
        </w:numPr>
        <w:tabs>
          <w:tab w:val="left" w:pos="1276"/>
        </w:tabs>
        <w:spacing w:after="0" w:line="276" w:lineRule="auto"/>
        <w:ind w:left="0" w:firstLine="709"/>
        <w:textAlignment w:val="baseline"/>
        <w:rPr>
          <w:rFonts w:eastAsia="Times New Roman" w:cstheme="minorHAnsi"/>
          <w:color w:val="000000"/>
          <w:sz w:val="24"/>
          <w:szCs w:val="24"/>
          <w:lang w:eastAsia="lt-LT"/>
        </w:rPr>
      </w:pPr>
      <w:r w:rsidRPr="00082D53">
        <w:rPr>
          <w:rFonts w:eastAsia="Times New Roman" w:cstheme="minorHAnsi"/>
          <w:color w:val="000000"/>
          <w:sz w:val="24"/>
          <w:szCs w:val="24"/>
          <w:lang w:eastAsia="lt-LT"/>
        </w:rPr>
        <w:t xml:space="preserve">Pirkimo sąlygų 4 priedo „Tiekėjų pašalinimo pagrindai, reikalaujami kvalifikacijos reikalavimai ir, jeigu taikytina, kokybės vadybos sistemos ir (arba) aplinkos apsaugos vadybos sistemos standartai“ </w:t>
      </w:r>
      <w:r>
        <w:rPr>
          <w:rFonts w:eastAsia="Times New Roman" w:cstheme="minorHAnsi"/>
          <w:color w:val="000000"/>
          <w:sz w:val="24"/>
          <w:szCs w:val="24"/>
          <w:lang w:eastAsia="lt-LT"/>
        </w:rPr>
        <w:t>P</w:t>
      </w:r>
      <w:r w:rsidRPr="00082D53">
        <w:rPr>
          <w:rFonts w:eastAsia="Times New Roman" w:cstheme="minorHAnsi"/>
          <w:color w:val="000000"/>
          <w:sz w:val="24"/>
          <w:szCs w:val="24"/>
          <w:lang w:eastAsia="lt-LT"/>
        </w:rPr>
        <w:t>ašalinimo pagrindų lentelės (toliau –</w:t>
      </w:r>
      <w:r>
        <w:rPr>
          <w:rFonts w:eastAsia="Times New Roman" w:cstheme="minorHAnsi"/>
          <w:color w:val="000000"/>
          <w:sz w:val="24"/>
          <w:szCs w:val="24"/>
          <w:lang w:eastAsia="lt-LT"/>
        </w:rPr>
        <w:t xml:space="preserve"> Pašalinimo pagrindai) 1 eilutės antrame stulpelyje „Tiekėjo pašalinimo pagrindai“ antroje pastraipoje, prasidedančioje žodžiais „Laikoma, kad tiekėjas arba jo atsakingas asmuo &lt;...&gt;“ nėra išvardinti visi punktai, t. y. nėra nurodyto 3 punkto</w:t>
      </w:r>
      <w:r>
        <w:rPr>
          <w:rStyle w:val="FootnoteReference"/>
          <w:rFonts w:eastAsia="Times New Roman" w:cstheme="minorHAnsi"/>
          <w:color w:val="000000"/>
          <w:sz w:val="24"/>
          <w:szCs w:val="24"/>
          <w:lang w:eastAsia="lt-LT"/>
        </w:rPr>
        <w:footnoteReference w:id="1"/>
      </w:r>
      <w:r>
        <w:rPr>
          <w:rFonts w:eastAsia="Times New Roman" w:cstheme="minorHAnsi"/>
          <w:color w:val="000000"/>
          <w:sz w:val="24"/>
          <w:szCs w:val="24"/>
          <w:lang w:eastAsia="lt-LT"/>
        </w:rPr>
        <w:t xml:space="preserve">. Atsižvelgiant į </w:t>
      </w:r>
      <w:r w:rsidRPr="005B1BC8">
        <w:rPr>
          <w:rFonts w:eastAsia="Times New Roman" w:cstheme="minorHAnsi"/>
          <w:sz w:val="24"/>
          <w:szCs w:val="24"/>
          <w:lang w:eastAsia="lt-LT"/>
        </w:rPr>
        <w:t>nurodytą</w:t>
      </w:r>
      <w:r>
        <w:rPr>
          <w:rFonts w:eastAsia="Times New Roman" w:cstheme="minorHAnsi"/>
          <w:sz w:val="24"/>
          <w:szCs w:val="24"/>
          <w:lang w:eastAsia="lt-LT"/>
        </w:rPr>
        <w:t>, Tarnyba rekomenduoja papildyto Pašalinimo pagrindų 1 eilutės antro stulpelio antrą pastraipą 3 punktu.</w:t>
      </w:r>
    </w:p>
    <w:p w14:paraId="62D68F18" w14:textId="77777777" w:rsidR="006E176C" w:rsidRPr="004109E1" w:rsidRDefault="006E176C" w:rsidP="006E176C">
      <w:pPr>
        <w:pStyle w:val="ListParagraph"/>
        <w:numPr>
          <w:ilvl w:val="1"/>
          <w:numId w:val="2"/>
        </w:numPr>
        <w:tabs>
          <w:tab w:val="left" w:pos="1276"/>
        </w:tabs>
        <w:spacing w:after="0" w:line="276" w:lineRule="auto"/>
        <w:ind w:left="0" w:firstLine="709"/>
        <w:textAlignment w:val="baseline"/>
        <w:rPr>
          <w:rFonts w:eastAsia="Times New Roman" w:cstheme="minorHAnsi"/>
          <w:sz w:val="24"/>
          <w:szCs w:val="24"/>
          <w:lang w:eastAsia="lt-LT"/>
        </w:rPr>
      </w:pPr>
      <w:r w:rsidRPr="004109E1">
        <w:rPr>
          <w:rFonts w:eastAsia="Times New Roman" w:cstheme="minorHAnsi"/>
          <w:color w:val="000000"/>
          <w:sz w:val="24"/>
          <w:szCs w:val="24"/>
          <w:lang w:eastAsia="lt-LT"/>
        </w:rPr>
        <w:t xml:space="preserve">Pažymėtina, kad EBVPD formoje nurodyti tiekėjų pašalinimo pagrindai turi sutapti su tiekėjų pašalinimo pagrindais, nurodytais </w:t>
      </w:r>
      <w:r>
        <w:rPr>
          <w:rFonts w:eastAsia="Times New Roman" w:cstheme="minorHAnsi"/>
          <w:color w:val="000000"/>
          <w:sz w:val="24"/>
          <w:szCs w:val="24"/>
          <w:lang w:eastAsia="lt-LT"/>
        </w:rPr>
        <w:t>Pašalinimo pagrindais</w:t>
      </w:r>
      <w:r w:rsidRPr="004109E1">
        <w:rPr>
          <w:rFonts w:eastAsia="Times New Roman" w:cstheme="minorHAnsi"/>
          <w:color w:val="000000"/>
          <w:sz w:val="24"/>
          <w:szCs w:val="24"/>
          <w:lang w:eastAsia="lt-LT"/>
        </w:rPr>
        <w:t xml:space="preserve">. Nagrinėjamu atveju EBVPD esanti informacija nesutampa, pavyzdžiui, </w:t>
      </w:r>
      <w:r>
        <w:rPr>
          <w:rFonts w:eastAsia="Times New Roman" w:cstheme="minorHAnsi"/>
          <w:color w:val="000000"/>
          <w:sz w:val="24"/>
          <w:szCs w:val="24"/>
          <w:lang w:eastAsia="lt-LT"/>
        </w:rPr>
        <w:t>Pašalinimo pagrinduose</w:t>
      </w:r>
      <w:r w:rsidRPr="004109E1">
        <w:rPr>
          <w:rFonts w:eastAsia="Times New Roman" w:cstheme="minorHAnsi"/>
          <w:color w:val="000000"/>
          <w:sz w:val="24"/>
          <w:szCs w:val="24"/>
          <w:lang w:eastAsia="lt-LT"/>
        </w:rPr>
        <w:t xml:space="preserve"> nėra nurodyti Įstatymo 46 straipsnio 6 dalies 1</w:t>
      </w:r>
      <w:r w:rsidRPr="002C6AE1">
        <w:rPr>
          <w:vertAlign w:val="superscript"/>
          <w:lang w:eastAsia="lt-LT"/>
        </w:rPr>
        <w:footnoteReference w:id="2"/>
      </w:r>
      <w:r>
        <w:rPr>
          <w:rFonts w:eastAsia="Times New Roman" w:cstheme="minorHAnsi"/>
          <w:color w:val="000000"/>
          <w:sz w:val="24"/>
          <w:szCs w:val="24"/>
          <w:lang w:eastAsia="lt-LT"/>
        </w:rPr>
        <w:t xml:space="preserve"> ir 2</w:t>
      </w:r>
      <w:r>
        <w:rPr>
          <w:rStyle w:val="FootnoteReference"/>
          <w:rFonts w:eastAsia="Times New Roman" w:cstheme="minorHAnsi"/>
          <w:color w:val="000000"/>
          <w:sz w:val="24"/>
          <w:szCs w:val="24"/>
          <w:lang w:eastAsia="lt-LT"/>
        </w:rPr>
        <w:footnoteReference w:id="3"/>
      </w:r>
      <w:r w:rsidRPr="004109E1">
        <w:rPr>
          <w:rFonts w:eastAsia="Times New Roman" w:cstheme="minorHAnsi"/>
          <w:color w:val="000000"/>
          <w:sz w:val="24"/>
          <w:szCs w:val="24"/>
          <w:lang w:eastAsia="lt-LT"/>
        </w:rPr>
        <w:t xml:space="preserve"> punkt</w:t>
      </w:r>
      <w:r>
        <w:rPr>
          <w:rFonts w:eastAsia="Times New Roman" w:cstheme="minorHAnsi"/>
          <w:color w:val="000000"/>
          <w:sz w:val="24"/>
          <w:szCs w:val="24"/>
          <w:lang w:eastAsia="lt-LT"/>
        </w:rPr>
        <w:t>ų</w:t>
      </w:r>
      <w:r w:rsidRPr="004109E1">
        <w:rPr>
          <w:rFonts w:eastAsia="Times New Roman" w:cstheme="minorHAnsi"/>
          <w:color w:val="000000"/>
          <w:sz w:val="24"/>
          <w:szCs w:val="24"/>
          <w:lang w:eastAsia="lt-LT"/>
        </w:rPr>
        <w:t xml:space="preserve"> reikalavim</w:t>
      </w:r>
      <w:r>
        <w:rPr>
          <w:rFonts w:eastAsia="Times New Roman" w:cstheme="minorHAnsi"/>
          <w:color w:val="000000"/>
          <w:sz w:val="24"/>
          <w:szCs w:val="24"/>
          <w:lang w:eastAsia="lt-LT"/>
        </w:rPr>
        <w:t>ų</w:t>
      </w:r>
      <w:r w:rsidRPr="004109E1">
        <w:rPr>
          <w:rFonts w:eastAsia="Times New Roman" w:cstheme="minorHAnsi"/>
          <w:color w:val="000000"/>
          <w:sz w:val="24"/>
          <w:szCs w:val="24"/>
          <w:lang w:eastAsia="lt-LT"/>
        </w:rPr>
        <w:t xml:space="preserve">, kurie yra </w:t>
      </w:r>
      <w:r>
        <w:rPr>
          <w:rFonts w:eastAsia="Times New Roman" w:cstheme="minorHAnsi"/>
          <w:color w:val="000000"/>
          <w:sz w:val="24"/>
          <w:szCs w:val="24"/>
          <w:lang w:eastAsia="lt-LT"/>
        </w:rPr>
        <w:t>EBVPD</w:t>
      </w:r>
      <w:r w:rsidRPr="004109E1">
        <w:rPr>
          <w:rFonts w:eastAsia="Times New Roman" w:cstheme="minorHAnsi"/>
          <w:color w:val="000000"/>
          <w:sz w:val="24"/>
          <w:szCs w:val="24"/>
          <w:lang w:eastAsia="lt-LT"/>
        </w:rPr>
        <w:t>.</w:t>
      </w:r>
    </w:p>
    <w:p w14:paraId="5C3C6D93" w14:textId="77777777" w:rsidR="006E176C" w:rsidRPr="005B1BC8" w:rsidRDefault="006E176C" w:rsidP="006E176C">
      <w:pPr>
        <w:spacing w:after="0" w:line="276" w:lineRule="auto"/>
        <w:ind w:firstLine="709"/>
        <w:textAlignment w:val="baseline"/>
        <w:rPr>
          <w:rFonts w:eastAsia="Times New Roman" w:cstheme="minorHAnsi"/>
          <w:sz w:val="24"/>
          <w:szCs w:val="24"/>
          <w:lang w:eastAsia="lt-LT"/>
        </w:rPr>
      </w:pPr>
      <w:r w:rsidRPr="005B1BC8">
        <w:rPr>
          <w:rFonts w:eastAsia="Times New Roman" w:cstheme="minorHAnsi"/>
          <w:sz w:val="24"/>
          <w:szCs w:val="24"/>
          <w:lang w:eastAsia="lt-LT"/>
        </w:rPr>
        <w:lastRenderedPageBreak/>
        <w:t>Atsižvelgiant į nurodytą ir vadovaujantis Įstatymo 35 straipsnio 4 dalies nuostata, kad „&lt;...&gt; Pirkimo dokumentai turi būti tikslūs, aiškūs, be dviprasmybių &lt;...&gt;“, Tarnyba rekomenduoja:</w:t>
      </w:r>
    </w:p>
    <w:p w14:paraId="154482C9" w14:textId="77777777" w:rsidR="006E176C" w:rsidRPr="005B1BC8" w:rsidRDefault="006E176C" w:rsidP="006E176C">
      <w:pPr>
        <w:spacing w:after="0" w:line="276" w:lineRule="auto"/>
        <w:ind w:firstLine="709"/>
        <w:textAlignment w:val="baseline"/>
        <w:rPr>
          <w:rFonts w:eastAsia="Times New Roman" w:cstheme="minorHAnsi"/>
          <w:sz w:val="24"/>
          <w:szCs w:val="24"/>
          <w:lang w:eastAsia="lt-LT"/>
        </w:rPr>
      </w:pPr>
      <w:r w:rsidRPr="005B1BC8">
        <w:rPr>
          <w:rFonts w:eastAsia="Times New Roman" w:cstheme="minorHAnsi"/>
          <w:sz w:val="24"/>
          <w:szCs w:val="24"/>
          <w:lang w:eastAsia="lt-LT"/>
        </w:rPr>
        <w:t xml:space="preserve">a) arba patikslinti (pakeisti) EBVPD formą taip, kad ji atitiktų Tiekėjų pašalinimo pagrindus, t. y. EBVPD formoje </w:t>
      </w:r>
      <w:r>
        <w:rPr>
          <w:rFonts w:eastAsia="Times New Roman" w:cstheme="minorHAnsi"/>
          <w:sz w:val="24"/>
          <w:szCs w:val="24"/>
          <w:lang w:eastAsia="lt-LT"/>
        </w:rPr>
        <w:t>atsisakyti</w:t>
      </w:r>
      <w:r w:rsidRPr="005B1BC8">
        <w:rPr>
          <w:rFonts w:eastAsia="Times New Roman" w:cstheme="minorHAnsi"/>
          <w:sz w:val="24"/>
          <w:szCs w:val="24"/>
          <w:lang w:eastAsia="lt-LT"/>
        </w:rPr>
        <w:t xml:space="preserve"> </w:t>
      </w:r>
      <w:r w:rsidRPr="005B1BC8">
        <w:rPr>
          <w:rFonts w:eastAsia="Times New Roman" w:cstheme="minorHAnsi"/>
          <w:color w:val="000000"/>
          <w:sz w:val="24"/>
          <w:szCs w:val="24"/>
          <w:lang w:eastAsia="lt-LT"/>
        </w:rPr>
        <w:t>Įstatymo 46 straipsnio 6 dalies 1</w:t>
      </w:r>
      <w:r>
        <w:rPr>
          <w:rFonts w:eastAsia="Times New Roman" w:cstheme="minorHAnsi"/>
          <w:color w:val="000000"/>
          <w:sz w:val="24"/>
          <w:szCs w:val="24"/>
          <w:lang w:eastAsia="lt-LT"/>
        </w:rPr>
        <w:t xml:space="preserve"> ir 2 </w:t>
      </w:r>
      <w:r w:rsidRPr="005B1BC8">
        <w:rPr>
          <w:rFonts w:eastAsia="Times New Roman" w:cstheme="minorHAnsi"/>
          <w:color w:val="000000"/>
          <w:sz w:val="24"/>
          <w:szCs w:val="24"/>
          <w:lang w:eastAsia="lt-LT"/>
        </w:rPr>
        <w:t>punkt</w:t>
      </w:r>
      <w:r>
        <w:rPr>
          <w:rFonts w:eastAsia="Times New Roman" w:cstheme="minorHAnsi"/>
          <w:color w:val="000000"/>
          <w:sz w:val="24"/>
          <w:szCs w:val="24"/>
          <w:lang w:eastAsia="lt-LT"/>
        </w:rPr>
        <w:t>ų</w:t>
      </w:r>
      <w:r w:rsidRPr="005B1BC8">
        <w:rPr>
          <w:rFonts w:eastAsia="Times New Roman" w:cstheme="minorHAnsi"/>
          <w:color w:val="000000"/>
          <w:sz w:val="24"/>
          <w:szCs w:val="24"/>
          <w:lang w:eastAsia="lt-LT"/>
        </w:rPr>
        <w:t xml:space="preserve"> reikalavim</w:t>
      </w:r>
      <w:r>
        <w:rPr>
          <w:rFonts w:eastAsia="Times New Roman" w:cstheme="minorHAnsi"/>
          <w:color w:val="000000"/>
          <w:sz w:val="24"/>
          <w:szCs w:val="24"/>
          <w:lang w:eastAsia="lt-LT"/>
        </w:rPr>
        <w:t>ų</w:t>
      </w:r>
      <w:r w:rsidRPr="005B1BC8">
        <w:rPr>
          <w:rFonts w:eastAsia="Times New Roman" w:cstheme="minorHAnsi"/>
          <w:color w:val="000000"/>
          <w:sz w:val="24"/>
          <w:szCs w:val="24"/>
          <w:lang w:eastAsia="lt-LT"/>
        </w:rPr>
        <w:t>;</w:t>
      </w:r>
    </w:p>
    <w:p w14:paraId="005A1F75" w14:textId="77777777" w:rsidR="006E176C" w:rsidRPr="002F6737" w:rsidRDefault="006E176C" w:rsidP="006E176C">
      <w:pPr>
        <w:spacing w:after="0" w:line="276" w:lineRule="auto"/>
        <w:ind w:firstLine="709"/>
        <w:textAlignment w:val="baseline"/>
        <w:rPr>
          <w:rFonts w:eastAsia="Times New Roman" w:cstheme="minorHAnsi"/>
          <w:color w:val="000000"/>
          <w:sz w:val="24"/>
          <w:szCs w:val="24"/>
          <w:lang w:eastAsia="lt-LT"/>
        </w:rPr>
      </w:pPr>
      <w:r w:rsidRPr="002F6737">
        <w:rPr>
          <w:rFonts w:eastAsia="Times New Roman" w:cstheme="minorHAnsi"/>
          <w:sz w:val="24"/>
          <w:szCs w:val="24"/>
          <w:lang w:eastAsia="lt-LT"/>
        </w:rPr>
        <w:t>b) arba patikslinti Pašalinimo pagrindus įrašant Įstatymo</w:t>
      </w:r>
      <w:r w:rsidRPr="002F6737">
        <w:rPr>
          <w:rFonts w:eastAsia="Times New Roman" w:cstheme="minorHAnsi"/>
          <w:color w:val="000000"/>
          <w:sz w:val="24"/>
          <w:szCs w:val="24"/>
          <w:lang w:eastAsia="lt-LT"/>
        </w:rPr>
        <w:t xml:space="preserve"> 46 straipsnio 6 dalies 1 ir 2 punktus.</w:t>
      </w:r>
    </w:p>
    <w:p w14:paraId="1C757517" w14:textId="77777777" w:rsidR="006E176C" w:rsidRPr="002F6737" w:rsidRDefault="006E176C" w:rsidP="006E176C">
      <w:pPr>
        <w:spacing w:after="0" w:line="276" w:lineRule="auto"/>
        <w:ind w:firstLine="709"/>
        <w:textAlignment w:val="baseline"/>
        <w:rPr>
          <w:rFonts w:eastAsia="Times New Roman" w:cstheme="minorHAnsi"/>
          <w:sz w:val="24"/>
          <w:szCs w:val="24"/>
          <w:lang w:eastAsia="lt-LT"/>
        </w:rPr>
      </w:pPr>
      <w:r w:rsidRPr="002F6737">
        <w:rPr>
          <w:rFonts w:eastAsia="Times New Roman" w:cstheme="minorHAnsi"/>
          <w:color w:val="000000"/>
          <w:sz w:val="24"/>
          <w:szCs w:val="24"/>
          <w:lang w:eastAsia="lt-LT"/>
        </w:rPr>
        <w:t>Tarnyba taip pat rekomenduoja ateityje rengiant pirkimų dokumentus atkreipti dėmesį į tai, kad pašalinimo pagrindai sutaptų su informacija, esančia EBVPD.</w:t>
      </w:r>
    </w:p>
    <w:p w14:paraId="6119C5ED" w14:textId="77777777" w:rsidR="006E176C" w:rsidRPr="005A1B09" w:rsidRDefault="006E176C" w:rsidP="006E176C">
      <w:pPr>
        <w:pStyle w:val="ListParagraph"/>
        <w:numPr>
          <w:ilvl w:val="0"/>
          <w:numId w:val="2"/>
        </w:numPr>
        <w:tabs>
          <w:tab w:val="left" w:pos="993"/>
        </w:tabs>
        <w:spacing w:after="0" w:line="276" w:lineRule="auto"/>
        <w:ind w:firstLine="289"/>
        <w:rPr>
          <w:rFonts w:cstheme="minorHAnsi"/>
          <w:b/>
          <w:bCs/>
          <w:sz w:val="24"/>
          <w:szCs w:val="24"/>
          <w:lang w:eastAsia="lt-LT"/>
        </w:rPr>
      </w:pPr>
      <w:r w:rsidRPr="005A1B09">
        <w:rPr>
          <w:rFonts w:cstheme="minorHAnsi"/>
          <w:b/>
          <w:bCs/>
          <w:sz w:val="24"/>
          <w:szCs w:val="24"/>
          <w:lang w:eastAsia="lt-LT"/>
        </w:rPr>
        <w:t>Dėl kvalifikacijos reikalavimų</w:t>
      </w:r>
    </w:p>
    <w:p w14:paraId="34CB03C5" w14:textId="77777777" w:rsidR="006E176C" w:rsidRDefault="006E176C" w:rsidP="006E176C">
      <w:pPr>
        <w:spacing w:after="0" w:line="276" w:lineRule="auto"/>
        <w:ind w:firstLine="709"/>
        <w:rPr>
          <w:rFonts w:cstheme="minorHAnsi"/>
          <w:b/>
          <w:bCs/>
          <w:caps/>
          <w:sz w:val="24"/>
          <w:szCs w:val="24"/>
        </w:rPr>
      </w:pPr>
      <w:r w:rsidRPr="002F6737">
        <w:rPr>
          <w:rFonts w:eastAsia="Times New Roman" w:cstheme="minorHAnsi"/>
          <w:color w:val="000000"/>
          <w:sz w:val="24"/>
          <w:szCs w:val="24"/>
          <w:lang w:eastAsia="lt-LT"/>
        </w:rPr>
        <w:t>Pirkimo sąlygų 4 priedo „Tiekėjų pašalinimo pagrindai, reikalaujami kvalifikacijos reikalavimai ir, jeigu taikytina, kokybės vadybos sistemos ir (arba) aplinkos apsaugos vadybos sistemos standartai“ Kvalifikacijos reikalavimų lentelės (toliau – Kvalifikacijos reikalavimai) 2 eilutės trečio stulpelio „Atitiktį pagrindžiantys dokumentai“ trečioje pastraipoje nurodyta, kad „</w:t>
      </w:r>
      <w:r w:rsidRPr="002F6737">
        <w:rPr>
          <w:rFonts w:cstheme="minorHAnsi"/>
          <w:sz w:val="24"/>
          <w:szCs w:val="24"/>
        </w:rPr>
        <w:t xml:space="preserve">Rangovų kvalifikacijos atitiktis viešojo pirkimo sąlygoms, atitinkančioms </w:t>
      </w:r>
      <w:r w:rsidRPr="002F6737">
        <w:rPr>
          <w:rFonts w:cstheme="minorHAnsi"/>
          <w:b/>
          <w:bCs/>
          <w:sz w:val="24"/>
          <w:szCs w:val="24"/>
        </w:rPr>
        <w:t>VPĮ 34 straipsnio</w:t>
      </w:r>
      <w:r w:rsidRPr="002F6737">
        <w:rPr>
          <w:rFonts w:cstheme="minorHAnsi"/>
          <w:sz w:val="24"/>
          <w:szCs w:val="24"/>
        </w:rPr>
        <w:t xml:space="preserve"> nuostatas, įrodinėtina teisę verstis atitinkama statybos veikla suteikiančiais dokumentais, kurie kompetentingų Lietuvos ar užsienio institucijų privalo būti išduoti iki perkančiosios organizacijos nustatyto galutinio pasiūlymų pateikimo termino;</w:t>
      </w:r>
      <w:r>
        <w:rPr>
          <w:rFonts w:cstheme="minorHAnsi"/>
          <w:sz w:val="24"/>
          <w:szCs w:val="24"/>
        </w:rPr>
        <w:t xml:space="preserve"> &lt;...&gt;“</w:t>
      </w:r>
      <w:r w:rsidRPr="002F6737">
        <w:rPr>
          <w:rFonts w:cstheme="minorHAnsi"/>
          <w:sz w:val="24"/>
          <w:szCs w:val="24"/>
        </w:rPr>
        <w:t>.</w:t>
      </w:r>
      <w:r>
        <w:rPr>
          <w:rFonts w:cstheme="minorHAnsi"/>
          <w:sz w:val="24"/>
          <w:szCs w:val="24"/>
        </w:rPr>
        <w:t xml:space="preserve"> Pažymėtina, jog Įstatymo 34 straipsnyje aptartos nuostatos, susijusios su skelbimo rengimu ir paskelbimu, t. y. jame nėra nuostatų, susijusių su kvalifikacija. Atsižvelgiant į tai, Tarnyba rekomenduoja tikslinti informaciją, esančią kvalifikacijos reikalavimo atitiktį pagrindžiančiuose dokumentuose.</w:t>
      </w:r>
    </w:p>
    <w:p w14:paraId="6B5C5AE8" w14:textId="77777777" w:rsidR="006E176C" w:rsidRPr="00D54B35" w:rsidRDefault="006E176C" w:rsidP="006E176C">
      <w:pPr>
        <w:pStyle w:val="ListParagraph"/>
        <w:numPr>
          <w:ilvl w:val="0"/>
          <w:numId w:val="2"/>
        </w:numPr>
        <w:tabs>
          <w:tab w:val="left" w:pos="993"/>
        </w:tabs>
        <w:spacing w:after="0" w:line="276" w:lineRule="auto"/>
        <w:ind w:left="0" w:firstLine="709"/>
        <w:rPr>
          <w:rFonts w:cstheme="minorHAnsi"/>
          <w:sz w:val="24"/>
          <w:szCs w:val="24"/>
        </w:rPr>
      </w:pPr>
      <w:r w:rsidRPr="005A1B09">
        <w:rPr>
          <w:rFonts w:cstheme="minorHAnsi"/>
          <w:b/>
          <w:bCs/>
          <w:sz w:val="24"/>
          <w:szCs w:val="24"/>
        </w:rPr>
        <w:t xml:space="preserve">Dėl aplinkos </w:t>
      </w:r>
      <w:r w:rsidRPr="00D54B35">
        <w:rPr>
          <w:rFonts w:cstheme="minorHAnsi"/>
          <w:b/>
          <w:bCs/>
          <w:sz w:val="24"/>
          <w:szCs w:val="24"/>
        </w:rPr>
        <w:t>apsaugos vadybos sistemos standartų</w:t>
      </w:r>
    </w:p>
    <w:p w14:paraId="511854EA" w14:textId="77777777" w:rsidR="006E176C" w:rsidRDefault="006E176C" w:rsidP="006E176C">
      <w:pPr>
        <w:pStyle w:val="FootnoteText"/>
        <w:numPr>
          <w:ilvl w:val="1"/>
          <w:numId w:val="2"/>
        </w:numPr>
        <w:tabs>
          <w:tab w:val="left" w:pos="1134"/>
        </w:tabs>
        <w:spacing w:line="276" w:lineRule="auto"/>
        <w:ind w:left="0" w:firstLine="709"/>
        <w:rPr>
          <w:rFonts w:cstheme="minorHAnsi"/>
          <w:sz w:val="24"/>
          <w:szCs w:val="24"/>
        </w:rPr>
      </w:pPr>
      <w:r w:rsidRPr="002F6737">
        <w:rPr>
          <w:rFonts w:eastAsia="Times New Roman" w:cstheme="minorHAnsi"/>
          <w:color w:val="000000"/>
          <w:sz w:val="24"/>
          <w:szCs w:val="24"/>
          <w:lang w:eastAsia="lt-LT"/>
        </w:rPr>
        <w:t xml:space="preserve">Pirkimo sąlygų 4 priedo „Tiekėjų pašalinimo pagrindai, reikalaujami kvalifikacijos reikalavimai ir, jeigu taikytina, kokybės vadybos sistemos ir (arba) aplinkos apsaugos vadybos sistemos standartai“ </w:t>
      </w:r>
      <w:r>
        <w:rPr>
          <w:rFonts w:eastAsia="Times New Roman" w:cstheme="minorHAnsi"/>
          <w:color w:val="000000"/>
          <w:sz w:val="24"/>
          <w:szCs w:val="24"/>
          <w:lang w:eastAsia="lt-LT"/>
        </w:rPr>
        <w:t>Vadybos sistemos standartų</w:t>
      </w:r>
      <w:r w:rsidRPr="002F6737">
        <w:rPr>
          <w:rFonts w:eastAsia="Times New Roman" w:cstheme="minorHAnsi"/>
          <w:color w:val="000000"/>
          <w:sz w:val="24"/>
          <w:szCs w:val="24"/>
          <w:lang w:eastAsia="lt-LT"/>
        </w:rPr>
        <w:t xml:space="preserve"> lentelės</w:t>
      </w:r>
      <w:r>
        <w:rPr>
          <w:rFonts w:eastAsia="Times New Roman" w:cstheme="minorHAnsi"/>
          <w:color w:val="000000"/>
          <w:sz w:val="24"/>
          <w:szCs w:val="24"/>
          <w:lang w:eastAsia="lt-LT"/>
        </w:rPr>
        <w:t xml:space="preserve"> trečiame stulpelyje „Atitiktį pagrindžiantys dokumentai“ nurodyta, kad „</w:t>
      </w:r>
      <w:r w:rsidRPr="005A1B09">
        <w:rPr>
          <w:rFonts w:cstheme="minorHAnsi"/>
          <w:sz w:val="24"/>
          <w:szCs w:val="24"/>
        </w:rPr>
        <w:t xml:space="preserve">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w:t>
      </w:r>
      <w:r w:rsidRPr="005A1B09">
        <w:rPr>
          <w:rFonts w:cstheme="minorHAnsi"/>
          <w:b/>
          <w:bCs/>
          <w:sz w:val="24"/>
          <w:szCs w:val="24"/>
        </w:rPr>
        <w:t>galės taikyti aplinkos apsaugos vadybos</w:t>
      </w:r>
      <w:r w:rsidRPr="005A1B09">
        <w:rPr>
          <w:rFonts w:cstheme="minorHAnsi"/>
          <w:sz w:val="24"/>
          <w:szCs w:val="24"/>
        </w:rPr>
        <w:t xml:space="preserve"> </w:t>
      </w:r>
      <w:r w:rsidRPr="005A1B09">
        <w:rPr>
          <w:rFonts w:cstheme="minorHAnsi"/>
          <w:b/>
          <w:bCs/>
          <w:sz w:val="24"/>
          <w:szCs w:val="24"/>
        </w:rPr>
        <w:t>priemones</w:t>
      </w:r>
      <w:r>
        <w:rPr>
          <w:rFonts w:cstheme="minorHAnsi"/>
          <w:sz w:val="24"/>
          <w:szCs w:val="24"/>
        </w:rPr>
        <w:t>“</w:t>
      </w:r>
      <w:r w:rsidRPr="005A1B09">
        <w:rPr>
          <w:rFonts w:cstheme="minorHAnsi"/>
          <w:sz w:val="24"/>
          <w:szCs w:val="24"/>
        </w:rPr>
        <w:t>.</w:t>
      </w:r>
      <w:r>
        <w:rPr>
          <w:rFonts w:cstheme="minorHAnsi"/>
          <w:sz w:val="24"/>
          <w:szCs w:val="24"/>
        </w:rPr>
        <w:t xml:space="preserve"> Atsižvelgiant į tai, kad šiuo atveju vykdomas tarptautinis pirkimas, Tarnyba rekomenduoja tikslinti šią nuostatą pagal Įstatymo 48 straipsnio 2</w:t>
      </w:r>
      <w:r>
        <w:rPr>
          <w:rStyle w:val="FootnoteReference"/>
          <w:rFonts w:cstheme="minorHAnsi"/>
          <w:sz w:val="24"/>
          <w:szCs w:val="24"/>
        </w:rPr>
        <w:footnoteReference w:id="4"/>
      </w:r>
      <w:r>
        <w:rPr>
          <w:rFonts w:cstheme="minorHAnsi"/>
          <w:sz w:val="24"/>
          <w:szCs w:val="24"/>
        </w:rPr>
        <w:t xml:space="preserve"> dalies reikalavimus.</w:t>
      </w:r>
    </w:p>
    <w:p w14:paraId="2D7E7EBC" w14:textId="77777777" w:rsidR="006E176C" w:rsidRPr="00CE1BBC" w:rsidRDefault="006E176C" w:rsidP="006E176C">
      <w:pPr>
        <w:pStyle w:val="ListParagraph"/>
        <w:numPr>
          <w:ilvl w:val="1"/>
          <w:numId w:val="2"/>
        </w:numPr>
        <w:tabs>
          <w:tab w:val="left" w:pos="1134"/>
        </w:tabs>
        <w:spacing w:after="0" w:line="276" w:lineRule="auto"/>
        <w:ind w:left="0" w:right="-20" w:firstLine="709"/>
        <w:rPr>
          <w:rFonts w:cstheme="minorHAnsi"/>
          <w:sz w:val="24"/>
          <w:szCs w:val="24"/>
        </w:rPr>
      </w:pPr>
      <w:r w:rsidRPr="00CE1BBC">
        <w:rPr>
          <w:rFonts w:eastAsia="Calibri" w:cstheme="minorHAnsi"/>
          <w:sz w:val="24"/>
          <w:szCs w:val="24"/>
          <w:lang w:val="lt"/>
        </w:rPr>
        <w:lastRenderedPageBreak/>
        <w:t xml:space="preserve">Pažymėtina, jog Perkančioji organizacija, siekdama </w:t>
      </w:r>
      <w:r>
        <w:rPr>
          <w:rFonts w:eastAsia="Calibri" w:cstheme="minorHAnsi"/>
          <w:sz w:val="24"/>
          <w:szCs w:val="24"/>
          <w:lang w:val="lt"/>
        </w:rPr>
        <w:t>P</w:t>
      </w:r>
      <w:r w:rsidRPr="00CE1BBC">
        <w:rPr>
          <w:rFonts w:eastAsia="Calibri" w:cstheme="minorHAnsi"/>
          <w:sz w:val="24"/>
          <w:szCs w:val="24"/>
          <w:lang w:val="lt"/>
        </w:rPr>
        <w:t xml:space="preserve">irkimą vykdyti kaip žaliąjį pirkimą, neturi nustatyti tik deklaratyvių reikalavimų, o </w:t>
      </w:r>
      <w:r>
        <w:rPr>
          <w:rFonts w:eastAsia="Calibri" w:cstheme="minorHAnsi"/>
          <w:sz w:val="24"/>
          <w:szCs w:val="24"/>
          <w:lang w:val="lt"/>
        </w:rPr>
        <w:t>P</w:t>
      </w:r>
      <w:r w:rsidRPr="00CE1BBC">
        <w:rPr>
          <w:rFonts w:eastAsia="Calibri" w:cstheme="minorHAnsi"/>
          <w:sz w:val="24"/>
          <w:szCs w:val="24"/>
          <w:lang w:val="lt"/>
        </w:rPr>
        <w:t xml:space="preserve">irkimo dokumentuose turi tiksliai ir aiškiai nustatyti žaliojo pirkimo sąlygas ir užtikrinti jų laikymosi priežiūrą bei kontrolę sutarties vykdymo metu. </w:t>
      </w:r>
      <w:r>
        <w:rPr>
          <w:rFonts w:eastAsia="Calibri" w:cstheme="minorHAnsi"/>
          <w:sz w:val="24"/>
          <w:szCs w:val="24"/>
          <w:lang w:val="lt"/>
        </w:rPr>
        <w:t xml:space="preserve">Tarnyba rekomenduoja </w:t>
      </w:r>
      <w:r w:rsidRPr="00CE1BBC">
        <w:rPr>
          <w:rFonts w:eastAsia="Calibri" w:cstheme="minorHAnsi"/>
          <w:sz w:val="24"/>
          <w:szCs w:val="24"/>
          <w:lang w:val="lt"/>
        </w:rPr>
        <w:t>Sutarties projekte numatyti kontrolės mechanizmą, kaip Perkančioji organizacija kontroliuos tiekėjo pareigą sutarties vykdymo metu taikyti aplinkos apsaugos vadybos sistemos reikalavimus ir koks bus sankcijų mechanizmas, jeigu tiekėjas šios pareigos nevykdys.</w:t>
      </w:r>
    </w:p>
    <w:p w14:paraId="68D0B116" w14:textId="77777777" w:rsidR="006E176C" w:rsidRDefault="006E176C" w:rsidP="006E176C">
      <w:pPr>
        <w:pStyle w:val="FootnoteText"/>
        <w:numPr>
          <w:ilvl w:val="0"/>
          <w:numId w:val="2"/>
        </w:numPr>
        <w:tabs>
          <w:tab w:val="left" w:pos="993"/>
        </w:tabs>
        <w:spacing w:line="276" w:lineRule="auto"/>
        <w:ind w:left="0" w:firstLine="709"/>
        <w:rPr>
          <w:b/>
          <w:bCs/>
          <w:sz w:val="24"/>
          <w:szCs w:val="24"/>
        </w:rPr>
      </w:pPr>
      <w:r w:rsidRPr="000913CF">
        <w:rPr>
          <w:b/>
          <w:bCs/>
          <w:sz w:val="24"/>
          <w:szCs w:val="24"/>
        </w:rPr>
        <w:t xml:space="preserve">Dėl </w:t>
      </w:r>
      <w:r>
        <w:rPr>
          <w:b/>
          <w:bCs/>
          <w:sz w:val="24"/>
          <w:szCs w:val="24"/>
        </w:rPr>
        <w:t>S</w:t>
      </w:r>
      <w:r w:rsidRPr="000913CF">
        <w:rPr>
          <w:b/>
          <w:bCs/>
          <w:sz w:val="24"/>
          <w:szCs w:val="24"/>
        </w:rPr>
        <w:t>utarties projekto nuostatų</w:t>
      </w:r>
    </w:p>
    <w:p w14:paraId="29267B13" w14:textId="77777777" w:rsidR="006E176C" w:rsidRDefault="006E176C" w:rsidP="006E176C">
      <w:pPr>
        <w:pStyle w:val="FootnoteText"/>
        <w:numPr>
          <w:ilvl w:val="1"/>
          <w:numId w:val="2"/>
        </w:numPr>
        <w:tabs>
          <w:tab w:val="left" w:pos="1276"/>
        </w:tabs>
        <w:spacing w:line="276" w:lineRule="auto"/>
        <w:ind w:left="0" w:firstLine="709"/>
        <w:rPr>
          <w:sz w:val="24"/>
          <w:szCs w:val="24"/>
        </w:rPr>
      </w:pPr>
      <w:r>
        <w:rPr>
          <w:sz w:val="24"/>
          <w:szCs w:val="24"/>
        </w:rPr>
        <w:t xml:space="preserve">Sutarties projekto </w:t>
      </w:r>
      <w:r w:rsidRPr="001A661F">
        <w:rPr>
          <w:rFonts w:cstheme="minorHAnsi"/>
          <w:sz w:val="24"/>
          <w:szCs w:val="24"/>
        </w:rPr>
        <w:t xml:space="preserve">(Pirkimo sąlygų 3 priedas) </w:t>
      </w:r>
      <w:r>
        <w:rPr>
          <w:sz w:val="24"/>
          <w:szCs w:val="24"/>
        </w:rPr>
        <w:t>Specialiosios dalies 5.15 punkte nurodyta, kad „</w:t>
      </w:r>
      <w:r w:rsidRPr="000913CF">
        <w:rPr>
          <w:bCs/>
          <w:sz w:val="24"/>
          <w:szCs w:val="24"/>
        </w:rPr>
        <w:t xml:space="preserve">Rangovas </w:t>
      </w:r>
      <w:r w:rsidRPr="00B40BB1">
        <w:rPr>
          <w:sz w:val="24"/>
          <w:szCs w:val="24"/>
        </w:rPr>
        <w:t xml:space="preserve">privalo </w:t>
      </w:r>
      <w:r>
        <w:rPr>
          <w:sz w:val="24"/>
          <w:szCs w:val="24"/>
        </w:rPr>
        <w:t xml:space="preserve">&lt;...&gt; </w:t>
      </w:r>
      <w:r w:rsidRPr="00B40BB1">
        <w:rPr>
          <w:sz w:val="24"/>
          <w:szCs w:val="24"/>
        </w:rPr>
        <w:t xml:space="preserve">pateikti informaciją apie pasirinktus konkrečius techninio projekto technines specifikacijas </w:t>
      </w:r>
      <w:r w:rsidRPr="000913CF">
        <w:rPr>
          <w:sz w:val="24"/>
          <w:szCs w:val="24"/>
        </w:rPr>
        <w:t xml:space="preserve">atitinkančius įrenginius bei užsakomus gaminamų statybinių konstrukcijų ir inžinerinių sistemų elementus (toliau – statybos produktų), būtinus </w:t>
      </w:r>
      <w:r w:rsidRPr="000913CF">
        <w:rPr>
          <w:b/>
          <w:bCs/>
          <w:sz w:val="24"/>
          <w:szCs w:val="24"/>
        </w:rPr>
        <w:t>darbo projekto parengimui</w:t>
      </w:r>
      <w:r w:rsidRPr="000913CF">
        <w:rPr>
          <w:sz w:val="24"/>
          <w:szCs w:val="24"/>
        </w:rPr>
        <w:t xml:space="preserve">. </w:t>
      </w:r>
      <w:r>
        <w:rPr>
          <w:sz w:val="24"/>
          <w:szCs w:val="24"/>
        </w:rPr>
        <w:t xml:space="preserve">&lt;...&gt; </w:t>
      </w:r>
      <w:r w:rsidRPr="000913CF">
        <w:rPr>
          <w:sz w:val="24"/>
          <w:szCs w:val="24"/>
        </w:rPr>
        <w:t xml:space="preserve">Minėti duomenys apie statybos produktus reikalingi savalaikiam </w:t>
      </w:r>
      <w:r w:rsidRPr="000913CF">
        <w:rPr>
          <w:b/>
          <w:bCs/>
          <w:sz w:val="24"/>
          <w:szCs w:val="24"/>
        </w:rPr>
        <w:t>statinio darbo projekto parengimui</w:t>
      </w:r>
      <w:r w:rsidRPr="000913CF">
        <w:rPr>
          <w:sz w:val="24"/>
          <w:szCs w:val="24"/>
        </w:rPr>
        <w:t>, statybos darbų pradėjimui bei užbaigimui.</w:t>
      </w:r>
      <w:r>
        <w:rPr>
          <w:sz w:val="24"/>
          <w:szCs w:val="24"/>
        </w:rPr>
        <w:t>&lt;...&gt;“. Tarnyba prašo paaiškinti, ar šiuo Pirkimu yra perkamos darbo projekto parengimo paslaugos? Jei taip, nurodykite, kur tai numatyta.</w:t>
      </w:r>
    </w:p>
    <w:p w14:paraId="444C58D3" w14:textId="77777777" w:rsidR="006E176C" w:rsidRPr="004F321E" w:rsidRDefault="006E176C" w:rsidP="006E176C">
      <w:pPr>
        <w:pStyle w:val="ListParagraph"/>
        <w:numPr>
          <w:ilvl w:val="1"/>
          <w:numId w:val="2"/>
        </w:numPr>
        <w:tabs>
          <w:tab w:val="left" w:pos="1276"/>
        </w:tabs>
        <w:ind w:left="0" w:firstLine="709"/>
        <w:rPr>
          <w:sz w:val="24"/>
          <w:szCs w:val="24"/>
        </w:rPr>
      </w:pPr>
      <w:r>
        <w:rPr>
          <w:sz w:val="24"/>
          <w:szCs w:val="24"/>
        </w:rPr>
        <w:t xml:space="preserve">Sutarties projekto Specialiosios dalies </w:t>
      </w:r>
      <w:r w:rsidRPr="004F321E">
        <w:rPr>
          <w:rFonts w:eastAsia="Calibri"/>
          <w:sz w:val="24"/>
          <w:szCs w:val="24"/>
        </w:rPr>
        <w:t>6.2.3</w:t>
      </w:r>
      <w:r>
        <w:rPr>
          <w:rStyle w:val="FootnoteReference"/>
          <w:rFonts w:eastAsia="Calibri"/>
          <w:sz w:val="24"/>
          <w:szCs w:val="24"/>
        </w:rPr>
        <w:footnoteReference w:id="5"/>
      </w:r>
      <w:r>
        <w:rPr>
          <w:rFonts w:eastAsia="Calibri"/>
          <w:sz w:val="24"/>
          <w:szCs w:val="24"/>
        </w:rPr>
        <w:t xml:space="preserve"> punkte pateiktos nuorodos į neegzistuojančius Sutarties projekto Specialiosios dalies 6.3.1 ir 6.3.2 punktus. Atsižvelgiant į tai, Tarnyba rekomenduoja tikslinti Sutarties projektą.</w:t>
      </w:r>
    </w:p>
    <w:p w14:paraId="3FF87716" w14:textId="77777777" w:rsidR="006E176C" w:rsidRPr="00521578" w:rsidRDefault="006E176C" w:rsidP="006E176C">
      <w:pPr>
        <w:pStyle w:val="ListParagraph"/>
        <w:numPr>
          <w:ilvl w:val="1"/>
          <w:numId w:val="2"/>
        </w:numPr>
        <w:tabs>
          <w:tab w:val="left" w:pos="1276"/>
        </w:tabs>
        <w:spacing w:after="0" w:line="276" w:lineRule="auto"/>
        <w:ind w:left="0" w:firstLine="709"/>
        <w:rPr>
          <w:bCs/>
          <w:sz w:val="24"/>
          <w:szCs w:val="24"/>
        </w:rPr>
      </w:pPr>
      <w:r>
        <w:rPr>
          <w:rFonts w:eastAsia="Calibri"/>
          <w:sz w:val="24"/>
          <w:szCs w:val="24"/>
        </w:rPr>
        <w:t>Darbų ir paslaugų atlikimo kalendorinio grafiko (Sutarties projekto 3 priedas)  trečios eilutės stulpelyje „</w:t>
      </w:r>
      <w:r w:rsidRPr="004F321E">
        <w:rPr>
          <w:bCs/>
          <w:sz w:val="24"/>
          <w:szCs w:val="24"/>
        </w:rPr>
        <w:t>Darbų/paslaugų vykdymo terminai*“</w:t>
      </w:r>
      <w:r>
        <w:rPr>
          <w:bCs/>
          <w:sz w:val="24"/>
          <w:szCs w:val="24"/>
        </w:rPr>
        <w:t xml:space="preserve"> </w:t>
      </w:r>
      <w:r w:rsidRPr="004F321E">
        <w:rPr>
          <w:bCs/>
          <w:sz w:val="24"/>
          <w:szCs w:val="24"/>
        </w:rPr>
        <w:t xml:space="preserve">nurodyta, kad </w:t>
      </w:r>
      <w:r>
        <w:rPr>
          <w:bCs/>
          <w:sz w:val="24"/>
          <w:szCs w:val="24"/>
        </w:rPr>
        <w:t>s</w:t>
      </w:r>
      <w:r w:rsidRPr="00B40BB1">
        <w:rPr>
          <w:sz w:val="24"/>
          <w:szCs w:val="24"/>
        </w:rPr>
        <w:t>tatinio pripažinimo užbaigtu statyti procedūro</w:t>
      </w:r>
      <w:r>
        <w:rPr>
          <w:sz w:val="24"/>
          <w:szCs w:val="24"/>
        </w:rPr>
        <w:t>m</w:t>
      </w:r>
      <w:r w:rsidRPr="00B40BB1">
        <w:rPr>
          <w:sz w:val="24"/>
          <w:szCs w:val="24"/>
        </w:rPr>
        <w:t>s ir inžinerinė</w:t>
      </w:r>
      <w:r>
        <w:rPr>
          <w:sz w:val="24"/>
          <w:szCs w:val="24"/>
        </w:rPr>
        <w:t>m</w:t>
      </w:r>
      <w:r w:rsidRPr="00B40BB1">
        <w:rPr>
          <w:sz w:val="24"/>
          <w:szCs w:val="24"/>
        </w:rPr>
        <w:t>s paslaugo</w:t>
      </w:r>
      <w:r>
        <w:rPr>
          <w:sz w:val="24"/>
          <w:szCs w:val="24"/>
        </w:rPr>
        <w:t>m</w:t>
      </w:r>
      <w:r w:rsidRPr="00B40BB1">
        <w:rPr>
          <w:sz w:val="24"/>
          <w:szCs w:val="24"/>
        </w:rPr>
        <w:t xml:space="preserve">s </w:t>
      </w:r>
      <w:r>
        <w:rPr>
          <w:bCs/>
          <w:sz w:val="24"/>
          <w:szCs w:val="24"/>
        </w:rPr>
        <w:t>„</w:t>
      </w:r>
      <w:r w:rsidRPr="004F321E">
        <w:rPr>
          <w:sz w:val="24"/>
          <w:szCs w:val="24"/>
        </w:rPr>
        <w:t xml:space="preserve">Skirtas </w:t>
      </w:r>
      <w:r w:rsidRPr="004F321E">
        <w:rPr>
          <w:b/>
          <w:bCs/>
          <w:sz w:val="24"/>
          <w:szCs w:val="24"/>
        </w:rPr>
        <w:t xml:space="preserve">2 (vieno) </w:t>
      </w:r>
      <w:r w:rsidRPr="004F321E">
        <w:rPr>
          <w:sz w:val="24"/>
          <w:szCs w:val="24"/>
        </w:rPr>
        <w:t>mėn. terminas pagal Sutarties specialiosios dalies 5.5 papunktį</w:t>
      </w:r>
      <w:r>
        <w:rPr>
          <w:sz w:val="24"/>
          <w:szCs w:val="24"/>
        </w:rPr>
        <w:t>“. Atsižvelgiant į nurodytą, Tarnyba rekomenduoja suvienodinti skaitine ir žodine išraiška kalendoriniame grafike nurodytą darbų atlikimo terminą.</w:t>
      </w:r>
    </w:p>
    <w:p w14:paraId="39FD5811" w14:textId="77777777" w:rsidR="006E176C" w:rsidRPr="00521578" w:rsidRDefault="006E176C" w:rsidP="006E176C">
      <w:pPr>
        <w:spacing w:after="0" w:line="276" w:lineRule="auto"/>
        <w:ind w:firstLine="709"/>
        <w:rPr>
          <w:rFonts w:cstheme="minorHAnsi"/>
          <w:sz w:val="24"/>
          <w:szCs w:val="24"/>
        </w:rPr>
      </w:pPr>
      <w:r w:rsidRPr="00521578">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26C1E916" w14:textId="47460531" w:rsidR="00D64E2E" w:rsidRDefault="006E176C" w:rsidP="006E176C">
      <w:pPr>
        <w:spacing w:after="0" w:line="276" w:lineRule="auto"/>
        <w:ind w:firstLine="709"/>
      </w:pPr>
      <w:r w:rsidRPr="00521578">
        <w:rPr>
          <w:sz w:val="24"/>
          <w:szCs w:val="24"/>
        </w:rPr>
        <w:lastRenderedPageBreak/>
        <w:t>Pažymėtina, kad visais atvejais sprendimą dėl tolimesnio Pirkimų procedūrų vykdymo ar nutraukimo priima pati Perkančioji organizacija, vadovaudamasi Įstatymo 29 straipsnio 3</w:t>
      </w:r>
      <w:r w:rsidRPr="00230F9F">
        <w:rPr>
          <w:rFonts w:cstheme="minorHAnsi"/>
          <w:vertAlign w:val="superscript"/>
        </w:rPr>
        <w:footnoteReference w:id="6"/>
      </w:r>
      <w:r w:rsidRPr="00521578">
        <w:rPr>
          <w:sz w:val="24"/>
          <w:szCs w:val="24"/>
        </w:rPr>
        <w:t xml:space="preserve"> ir 4</w:t>
      </w:r>
      <w:r w:rsidRPr="00230F9F">
        <w:rPr>
          <w:rFonts w:cstheme="minorHAnsi"/>
          <w:vertAlign w:val="superscript"/>
        </w:rPr>
        <w:footnoteReference w:id="7"/>
      </w:r>
      <w:r w:rsidRPr="00521578">
        <w:rPr>
          <w:sz w:val="24"/>
          <w:szCs w:val="24"/>
          <w:vertAlign w:val="superscript"/>
        </w:rPr>
        <w:t xml:space="preserve"> </w:t>
      </w:r>
      <w:r w:rsidRPr="00521578">
        <w:rPr>
          <w:sz w:val="24"/>
          <w:szCs w:val="24"/>
        </w:rPr>
        <w:t>dalių nuostatomis.</w:t>
      </w:r>
    </w:p>
    <w:sectPr w:rsidR="00D64E2E" w:rsidSect="006E17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87FC" w14:textId="77777777" w:rsidR="006E176C" w:rsidRDefault="006E176C" w:rsidP="006E176C">
      <w:pPr>
        <w:spacing w:after="0" w:line="240" w:lineRule="auto"/>
      </w:pPr>
      <w:r>
        <w:separator/>
      </w:r>
    </w:p>
  </w:endnote>
  <w:endnote w:type="continuationSeparator" w:id="0">
    <w:p w14:paraId="3147BA8D" w14:textId="77777777" w:rsidR="006E176C" w:rsidRDefault="006E176C" w:rsidP="006E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E74C" w14:textId="77777777" w:rsidR="006E176C" w:rsidRDefault="006E176C" w:rsidP="006E176C">
      <w:pPr>
        <w:spacing w:after="0" w:line="240" w:lineRule="auto"/>
      </w:pPr>
      <w:r>
        <w:separator/>
      </w:r>
    </w:p>
  </w:footnote>
  <w:footnote w:type="continuationSeparator" w:id="0">
    <w:p w14:paraId="5FD5B1A4" w14:textId="77777777" w:rsidR="006E176C" w:rsidRDefault="006E176C" w:rsidP="006E176C">
      <w:pPr>
        <w:spacing w:after="0" w:line="240" w:lineRule="auto"/>
      </w:pPr>
      <w:r>
        <w:continuationSeparator/>
      </w:r>
    </w:p>
  </w:footnote>
  <w:footnote w:id="1">
    <w:p w14:paraId="5FC3A17E" w14:textId="77777777" w:rsidR="006E176C" w:rsidRDefault="006E176C" w:rsidP="006E176C">
      <w:pPr>
        <w:pStyle w:val="NoSpacing"/>
        <w:jc w:val="both"/>
      </w:pPr>
      <w:r w:rsidRPr="004109E1">
        <w:rPr>
          <w:rStyle w:val="FootnoteReference"/>
          <w:rFonts w:cstheme="minorHAnsi"/>
          <w:sz w:val="20"/>
          <w:szCs w:val="20"/>
        </w:rPr>
        <w:footnoteRef/>
      </w:r>
      <w:r w:rsidRPr="004109E1">
        <w:rPr>
          <w:rFonts w:cstheme="minorHAnsi"/>
          <w:sz w:val="20"/>
          <w:szCs w:val="20"/>
        </w:rPr>
        <w:t xml:space="preserve"> „</w:t>
      </w:r>
      <w:r w:rsidRPr="004109E1">
        <w:rPr>
          <w:rFonts w:cstheme="minorHAnsi"/>
          <w:bCs/>
          <w:sz w:val="20"/>
          <w:szCs w:val="20"/>
          <w:lang w:eastAsia="en-US"/>
        </w:rPr>
        <w:t xml:space="preserve">3) tiekėjo, kuris yra juridinis asmuo, kita organizacija ar jos </w:t>
      </w:r>
      <w:r>
        <w:rPr>
          <w:rFonts w:cstheme="minorHAnsi"/>
          <w:bCs/>
          <w:sz w:val="20"/>
          <w:szCs w:val="20"/>
          <w:lang w:eastAsia="en-US"/>
        </w:rPr>
        <w:t xml:space="preserve">struktūrinis </w:t>
      </w:r>
      <w:r w:rsidRPr="004109E1">
        <w:rPr>
          <w:rFonts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footnote>
  <w:footnote w:id="2">
    <w:p w14:paraId="6F175203" w14:textId="77777777" w:rsidR="006E176C" w:rsidRPr="00DF4991" w:rsidRDefault="006E176C" w:rsidP="006E176C">
      <w:pPr>
        <w:pStyle w:val="FootnoteText"/>
        <w:rPr>
          <w:rFonts w:cstheme="minorHAnsi"/>
        </w:rPr>
      </w:pPr>
      <w:r w:rsidRPr="00DF4991">
        <w:rPr>
          <w:rStyle w:val="FootnoteReference"/>
          <w:rFonts w:cstheme="minorHAnsi"/>
        </w:rPr>
        <w:footnoteRef/>
      </w:r>
      <w:r>
        <w:t>6 d. 1 p.: „</w:t>
      </w:r>
      <w:r>
        <w:rPr>
          <w:color w:val="000000"/>
        </w:rPr>
        <w:t>Perkančioji organizacija gali pašalinti tiekėją iš pirkimo procedūros, jeigu jis: 1) yra pažeidęs bent vieną iš šio įstatymo 17 straipsnio 2 dalies 2 punkte nurodytų aplinkos apsaugos, socialinės ir darbo teisės įpareigojimų, kurį perkančioji organizacija gali įrodyti bet kokiomis tinkamomis priemonėmis. Šiuo pagrindu perkančioji organizacija gali pašalinti tiekėją iš pirkimo procedūros, jeigu nuo pažeidimo padarymo dienos praėjo mažiau kaip vieni metai“.</w:t>
      </w:r>
    </w:p>
  </w:footnote>
  <w:footnote w:id="3">
    <w:p w14:paraId="6CB224DD" w14:textId="77777777" w:rsidR="006E176C" w:rsidRDefault="006E176C" w:rsidP="006E176C">
      <w:pPr>
        <w:pStyle w:val="FootnoteText"/>
      </w:pPr>
      <w:r>
        <w:rPr>
          <w:rStyle w:val="FootnoteReference"/>
        </w:rPr>
        <w:footnoteRef/>
      </w:r>
      <w:r>
        <w:t xml:space="preserve"> </w:t>
      </w:r>
      <w:r>
        <w:t>6 d. 2 p.: „</w:t>
      </w:r>
      <w:r>
        <w:rPr>
          <w:color w:val="000000"/>
        </w:rPr>
        <w:t>Perkančioji organizacija gali pašalinti tiekėją iš pirkimo procedūros, jeigu jis: &lt;...&gt;2) yra nemokus, jam iškelta restruktūrizavimo ar bankroto byla, inicijuotos ar pradėtos likvidavimo procedūros, kai jo turtą valdo teismas ar nemokumo</w:t>
      </w:r>
      <w:r>
        <w:rPr>
          <w:b/>
          <w:bCs/>
          <w:color w:val="000000"/>
        </w:rPr>
        <w:t> </w:t>
      </w:r>
      <w:r>
        <w:rPr>
          <w:color w:val="000000"/>
        </w:rPr>
        <w:t>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p>
  </w:footnote>
  <w:footnote w:id="4">
    <w:p w14:paraId="093D2228" w14:textId="77777777" w:rsidR="006E176C" w:rsidRDefault="006E176C" w:rsidP="006E176C">
      <w:pPr>
        <w:pStyle w:val="FootnoteText"/>
      </w:pPr>
      <w:r>
        <w:rPr>
          <w:rStyle w:val="FootnoteReference"/>
        </w:rPr>
        <w:footnoteRef/>
      </w:r>
      <w:r>
        <w:t xml:space="preserve"> </w:t>
      </w:r>
      <w:r>
        <w:t>„</w:t>
      </w:r>
      <w:r>
        <w:rPr>
          <w:color w:val="000000"/>
        </w:rPr>
        <w:t>2. &lt;...&gt;</w:t>
      </w:r>
      <w:r>
        <w:rPr>
          <w:b/>
          <w:bCs/>
          <w:color w:val="000000"/>
        </w:rPr>
        <w:t> </w:t>
      </w:r>
      <w:r>
        <w:rPr>
          <w:color w:val="000000"/>
        </w:rPr>
        <w:t xml:space="preserve">Atlikdama supaprastintą pirkimą ar pirkdama šio įstatymo 2 priede nurodytas socialines ir kitas specialiąsias paslaugas,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w:t>
      </w:r>
      <w:r w:rsidRPr="000913CF">
        <w:rPr>
          <w:b/>
          <w:bCs/>
          <w:color w:val="000000"/>
        </w:rPr>
        <w:t>kitų pirkimų atvejais lygiaverčiai įrodymai priimami tik jeigu tiekėjas dėl nuo jo nepriklausančių objektyvių priežasčių negali pateikti sertifikatų per nustatytą laiką</w:t>
      </w:r>
      <w:r>
        <w:rPr>
          <w:color w:val="000000"/>
        </w:rPr>
        <w:t>“.</w:t>
      </w:r>
    </w:p>
  </w:footnote>
  <w:footnote w:id="5">
    <w:p w14:paraId="0954135B" w14:textId="77777777" w:rsidR="006E176C" w:rsidRPr="004F321E" w:rsidRDefault="006E176C" w:rsidP="006E176C">
      <w:pPr>
        <w:spacing w:after="0" w:line="240" w:lineRule="auto"/>
        <w:jc w:val="both"/>
        <w:rPr>
          <w:sz w:val="20"/>
          <w:szCs w:val="20"/>
        </w:rPr>
      </w:pPr>
      <w:r w:rsidRPr="004F321E">
        <w:rPr>
          <w:rStyle w:val="FootnoteReference"/>
          <w:sz w:val="20"/>
          <w:szCs w:val="20"/>
        </w:rPr>
        <w:footnoteRef/>
      </w:r>
      <w:r w:rsidRPr="004F321E">
        <w:rPr>
          <w:sz w:val="20"/>
          <w:szCs w:val="20"/>
        </w:rPr>
        <w:t xml:space="preserve"> </w:t>
      </w:r>
      <w:r w:rsidRPr="004F321E">
        <w:rPr>
          <w:sz w:val="20"/>
          <w:szCs w:val="20"/>
        </w:rPr>
        <w:t xml:space="preserve">„6.2. Sutarties vykdymo metu &lt;...&gt;, papildomų statybos darbų kaina apskaičiuojama tokiomis sąlygomis ir būdais &lt;...&gt;: &lt;...&gt; 6.2.3. </w:t>
      </w:r>
      <w:r w:rsidRPr="004F321E">
        <w:rPr>
          <w:rFonts w:eastAsia="Calibri"/>
          <w:sz w:val="20"/>
          <w:szCs w:val="20"/>
        </w:rPr>
        <w:t xml:space="preserve">nevykdomų statybos darbų kaina ir kitais, Sutarties specialiosios dalies </w:t>
      </w:r>
      <w:r w:rsidRPr="004F321E">
        <w:rPr>
          <w:rFonts w:eastAsia="Calibri"/>
          <w:b/>
          <w:bCs/>
          <w:sz w:val="20"/>
          <w:szCs w:val="20"/>
        </w:rPr>
        <w:t>6.3.1 ir 6.3.2 papunkčiuose</w:t>
      </w:r>
      <w:r w:rsidRPr="004F321E">
        <w:rPr>
          <w:rFonts w:eastAsia="Calibri"/>
          <w:sz w:val="20"/>
          <w:szCs w:val="20"/>
        </w:rPr>
        <w:t xml:space="preserve"> nenurodytais atvejais, nevykdomų ir/ar papildomų statybos darbų kaina apskaičiuojama vadovaujantis </w:t>
      </w:r>
      <w:r w:rsidRPr="004F321E">
        <w:rPr>
          <w:sz w:val="20"/>
          <w:szCs w:val="20"/>
        </w:rPr>
        <w:t>Sutarties bendrosios dalies 3.13.2.4 papunkčio sąlygomis“.</w:t>
      </w:r>
    </w:p>
  </w:footnote>
  <w:footnote w:id="6">
    <w:p w14:paraId="79772DB9" w14:textId="77777777" w:rsidR="006E176C" w:rsidRPr="00914700" w:rsidRDefault="006E176C" w:rsidP="006E176C">
      <w:pPr>
        <w:pStyle w:val="FootnoteText"/>
        <w:rPr>
          <w:rFonts w:cstheme="minorHAnsi"/>
        </w:rPr>
      </w:pPr>
      <w:r w:rsidRPr="00914700">
        <w:rPr>
          <w:rStyle w:val="FootnoteReference"/>
          <w:rFonts w:cstheme="minorHAnsi"/>
        </w:rPr>
        <w:footnoteRef/>
      </w:r>
      <w:r w:rsidRPr="00914700">
        <w:rPr>
          <w:rFonts w:cstheme="minorHAnsi"/>
        </w:rPr>
        <w:t xml:space="preserve"> </w:t>
      </w:r>
      <w:r w:rsidRPr="00914700">
        <w:rPr>
          <w:rFonts w:cstheme="minorHAnsi"/>
        </w:rPr>
        <w:t>Įstatymo 29 straipsnio 3 dalis „</w:t>
      </w:r>
      <w:r w:rsidRPr="007A6426">
        <w:rPr>
          <w:rFonts w:cstheme="minorHAnsi"/>
          <w:i/>
          <w:iCs/>
        </w:rPr>
        <w:t>Perkančioji organizacija privalo nutraukti pradėtas pirkimo ar projekto konkurso procedūras, jeigu buvo pažeisti šio įstatymo 17 straipsnio 1 dalyje nustatyti principai ir atitinkamos padėties negalima ištaisyti</w:t>
      </w:r>
      <w:r w:rsidRPr="00914700">
        <w:rPr>
          <w:rFonts w:cstheme="minorHAnsi"/>
        </w:rPr>
        <w:t>“.</w:t>
      </w:r>
    </w:p>
  </w:footnote>
  <w:footnote w:id="7">
    <w:p w14:paraId="6C21FDBA" w14:textId="77777777" w:rsidR="006E176C" w:rsidRPr="00914700" w:rsidRDefault="006E176C" w:rsidP="006E176C">
      <w:pPr>
        <w:pStyle w:val="FootnoteText"/>
        <w:rPr>
          <w:rFonts w:cstheme="minorHAnsi"/>
        </w:rPr>
      </w:pPr>
      <w:r w:rsidRPr="00914700">
        <w:rPr>
          <w:rStyle w:val="FootnoteReference"/>
          <w:rFonts w:cstheme="minorHAnsi"/>
        </w:rPr>
        <w:footnoteRef/>
      </w:r>
      <w:r w:rsidRPr="00914700">
        <w:rPr>
          <w:rFonts w:cstheme="minorHAnsi"/>
        </w:rPr>
        <w:t xml:space="preserve"> </w:t>
      </w:r>
      <w:r w:rsidRPr="00914700">
        <w:rPr>
          <w:rFonts w:cstheme="minorHAnsi"/>
        </w:rPr>
        <w:t>Įstatymo 29 straipsnio 4 dalis „</w:t>
      </w:r>
      <w:r w:rsidRPr="007A6426">
        <w:rPr>
          <w:rFonts w:cstheme="minorHAnsi"/>
          <w:i/>
          <w:iCs/>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14700">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000"/>
    <w:multiLevelType w:val="multilevel"/>
    <w:tmpl w:val="498A9038"/>
    <w:lvl w:ilvl="0">
      <w:start w:val="1"/>
      <w:numFmt w:val="decimal"/>
      <w:lvlText w:val="%1."/>
      <w:lvlJc w:val="left"/>
      <w:pPr>
        <w:ind w:left="420" w:hanging="420"/>
      </w:pPr>
      <w:rPr>
        <w:rFonts w:hint="default"/>
        <w:b/>
        <w:bCs/>
      </w:rPr>
    </w:lvl>
    <w:lvl w:ilvl="1">
      <w:start w:val="1"/>
      <w:numFmt w:val="decimal"/>
      <w:lvlText w:val="%1.%2."/>
      <w:lvlJc w:val="left"/>
      <w:pPr>
        <w:ind w:left="704"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23E291B"/>
    <w:multiLevelType w:val="multilevel"/>
    <w:tmpl w:val="499C35DE"/>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num w:numId="1" w16cid:durableId="1401828549">
    <w:abstractNumId w:val="1"/>
  </w:num>
  <w:num w:numId="2" w16cid:durableId="2903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6C"/>
    <w:rsid w:val="005F6BBB"/>
    <w:rsid w:val="006E176C"/>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8978"/>
  <w15:chartTrackingRefBased/>
  <w15:docId w15:val="{FBAA9512-D54E-4690-B83A-A122566C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76C"/>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6E176C"/>
    <w:pPr>
      <w:ind w:left="720"/>
      <w:contextualSpacing/>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E176C"/>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6E176C"/>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6E176C"/>
    <w:rPr>
      <w:vertAlign w:val="superscript"/>
    </w:rPr>
  </w:style>
  <w:style w:type="paragraph" w:styleId="NoSpacing">
    <w:name w:val="No Spacing"/>
    <w:link w:val="NoSpacingChar"/>
    <w:uiPriority w:val="1"/>
    <w:qFormat/>
    <w:rsid w:val="006E176C"/>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E176C"/>
    <w:rPr>
      <w:rFonts w:eastAsiaTheme="minorEastAsia"/>
      <w:kern w:val="0"/>
      <w:sz w:val="21"/>
      <w:szCs w:val="21"/>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E176C"/>
    <w:rPr>
      <w:kern w:val="0"/>
      <w:lang w:val="lt-LT"/>
      <w14:ligatures w14:val="none"/>
    </w:rPr>
  </w:style>
  <w:style w:type="character" w:styleId="Hyperlink">
    <w:name w:val="Hyperlink"/>
    <w:basedOn w:val="DefaultParagraphFont"/>
    <w:uiPriority w:val="99"/>
    <w:unhideWhenUsed/>
    <w:rsid w:val="006E17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4604</Words>
  <Characters>2625</Characters>
  <Application>Microsoft Office Word</Application>
  <DocSecurity>0</DocSecurity>
  <Lines>21</Lines>
  <Paragraphs>14</Paragraphs>
  <ScaleCrop>false</ScaleCrop>
  <Company>VPT</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2024-03-20T07:16:00Z</dcterms:created>
  <dcterms:modified xsi:type="dcterms:W3CDTF">2024-03-20T07:16:00Z</dcterms:modified>
</cp:coreProperties>
</file>