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FA14" w14:textId="77777777" w:rsidR="00441433" w:rsidRPr="005E64B5" w:rsidRDefault="00441433" w:rsidP="00441433">
      <w:pPr>
        <w:spacing w:after="0" w:line="276" w:lineRule="auto"/>
        <w:ind w:firstLine="709"/>
        <w:rPr>
          <w:rFonts w:cstheme="minorHAnsi"/>
          <w:sz w:val="24"/>
          <w:szCs w:val="24"/>
        </w:rPr>
      </w:pPr>
      <w:r w:rsidRPr="005E64B5">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41C568" w14:textId="77777777" w:rsidR="00441433" w:rsidRPr="005E64B5" w:rsidRDefault="00441433" w:rsidP="00441433">
      <w:pPr>
        <w:spacing w:after="0" w:line="276" w:lineRule="auto"/>
        <w:ind w:firstLine="709"/>
        <w:rPr>
          <w:rFonts w:cstheme="minorHAnsi"/>
          <w:sz w:val="24"/>
          <w:szCs w:val="24"/>
        </w:rPr>
      </w:pPr>
      <w:r w:rsidRPr="005E64B5">
        <w:rPr>
          <w:rFonts w:eastAsia="Times New Roman" w:cstheme="minorHAnsi"/>
          <w:sz w:val="24"/>
          <w:szCs w:val="24"/>
          <w:lang w:val="lt"/>
        </w:rPr>
        <w:t xml:space="preserve">Vadovaujantis Tarnybai Įstatyme nustatyta pažeidimų prevencijos funkcija, šiuo metu atliekama </w:t>
      </w:r>
      <w:r w:rsidRPr="006008D0">
        <w:rPr>
          <w:rFonts w:eastAsia="Times New Roman" w:cstheme="minorHAnsi"/>
          <w:b/>
          <w:bCs/>
          <w:sz w:val="24"/>
          <w:szCs w:val="24"/>
          <w:lang w:val="lt"/>
        </w:rPr>
        <w:t>Alytaus miesto savivaldybės administracijos</w:t>
      </w:r>
      <w:r w:rsidRPr="007622B5">
        <w:rPr>
          <w:rFonts w:cstheme="minorHAnsi"/>
          <w:b/>
          <w:bCs/>
          <w:spacing w:val="-2"/>
          <w:sz w:val="24"/>
          <w:szCs w:val="24"/>
        </w:rPr>
        <w:t xml:space="preserve"> </w:t>
      </w:r>
      <w:r w:rsidRPr="007622B5">
        <w:rPr>
          <w:rFonts w:cstheme="minorHAnsi"/>
          <w:sz w:val="24"/>
          <w:szCs w:val="24"/>
          <w:lang w:eastAsia="lt-LT"/>
        </w:rPr>
        <w:t>(toliau – Perkančioji organizacija) vykdomo pirkimo Nr.</w:t>
      </w:r>
      <w:r w:rsidRPr="007622B5">
        <w:rPr>
          <w:rFonts w:cstheme="minorHAnsi"/>
          <w:b/>
          <w:bCs/>
          <w:sz w:val="24"/>
          <w:szCs w:val="24"/>
          <w:lang w:eastAsia="lt-LT"/>
        </w:rPr>
        <w:t xml:space="preserve"> </w:t>
      </w:r>
      <w:r>
        <w:rPr>
          <w:rFonts w:cstheme="minorHAnsi"/>
          <w:b/>
          <w:bCs/>
          <w:sz w:val="24"/>
          <w:szCs w:val="24"/>
          <w:lang w:eastAsia="lt-LT"/>
        </w:rPr>
        <w:t>708067</w:t>
      </w:r>
      <w:r w:rsidRPr="007622B5">
        <w:rPr>
          <w:rFonts w:cstheme="minorHAnsi"/>
          <w:b/>
          <w:bCs/>
          <w:sz w:val="24"/>
          <w:szCs w:val="24"/>
          <w:lang w:eastAsia="lt-LT"/>
        </w:rPr>
        <w:t xml:space="preserve"> „</w:t>
      </w:r>
      <w:r>
        <w:rPr>
          <w:rFonts w:cstheme="minorHAnsi"/>
          <w:b/>
          <w:bCs/>
          <w:sz w:val="24"/>
          <w:szCs w:val="24"/>
          <w:lang w:eastAsia="lt-LT"/>
        </w:rPr>
        <w:t xml:space="preserve">Alytaus </w:t>
      </w:r>
      <w:proofErr w:type="spellStart"/>
      <w:r>
        <w:rPr>
          <w:rFonts w:cstheme="minorHAnsi"/>
          <w:b/>
          <w:bCs/>
          <w:sz w:val="24"/>
          <w:szCs w:val="24"/>
          <w:lang w:eastAsia="lt-LT"/>
        </w:rPr>
        <w:t>Zaidų</w:t>
      </w:r>
      <w:proofErr w:type="spellEnd"/>
      <w:r>
        <w:rPr>
          <w:rFonts w:cstheme="minorHAnsi"/>
          <w:b/>
          <w:bCs/>
          <w:sz w:val="24"/>
          <w:szCs w:val="24"/>
          <w:lang w:eastAsia="lt-LT"/>
        </w:rPr>
        <w:t xml:space="preserve"> g. kapitalinio remonto I etapo bei inžinerinių tinklų ir lietaus nuotekų tinklų statybos darbai</w:t>
      </w:r>
      <w:r w:rsidRPr="007622B5">
        <w:rPr>
          <w:rFonts w:cstheme="minorHAnsi"/>
          <w:b/>
          <w:bCs/>
          <w:sz w:val="24"/>
          <w:szCs w:val="24"/>
          <w:lang w:eastAsia="lt-LT"/>
        </w:rPr>
        <w:t>“</w:t>
      </w:r>
      <w:r w:rsidRPr="007622B5">
        <w:rPr>
          <w:rFonts w:cstheme="minorHAnsi"/>
          <w:sz w:val="24"/>
          <w:szCs w:val="24"/>
          <w:lang w:eastAsia="lt-LT"/>
        </w:rPr>
        <w:t xml:space="preserve"> (toliau – Pirkimas) </w:t>
      </w:r>
      <w:r w:rsidRPr="005E64B5">
        <w:rPr>
          <w:rFonts w:cstheme="minorHAnsi"/>
          <w:sz w:val="24"/>
          <w:szCs w:val="24"/>
        </w:rPr>
        <w:t>dokumentų atitikties Įstatymui ir jį įgyvendinantiems teisės aktams peržiūra (peržiūra prevenciniais tikslais atliekama tam tikra apimtimi).</w:t>
      </w:r>
    </w:p>
    <w:p w14:paraId="2D3EEF3D" w14:textId="77777777" w:rsidR="00441433" w:rsidRDefault="00441433" w:rsidP="00441433">
      <w:pPr>
        <w:spacing w:after="0" w:line="276" w:lineRule="auto"/>
        <w:ind w:firstLine="709"/>
        <w:rPr>
          <w:rFonts w:cstheme="minorHAnsi"/>
          <w:sz w:val="24"/>
          <w:szCs w:val="24"/>
          <w:lang w:eastAsia="lt-LT"/>
        </w:rPr>
      </w:pPr>
      <w:r w:rsidRPr="00CB1176">
        <w:rPr>
          <w:rFonts w:cstheme="minorHAnsi"/>
          <w:sz w:val="24"/>
          <w:szCs w:val="24"/>
          <w:lang w:eastAsia="lt-LT"/>
        </w:rPr>
        <w:t xml:space="preserve">Tarnyba, prevencine tvarka </w:t>
      </w:r>
      <w:r w:rsidRPr="00A477EF">
        <w:rPr>
          <w:rFonts w:cstheme="minorHAnsi"/>
          <w:sz w:val="24"/>
          <w:szCs w:val="24"/>
          <w:lang w:eastAsia="lt-LT"/>
        </w:rPr>
        <w:t>peržiūrėjusi Pirkimo dokumentus ir atsižvelgdama į galiojantį teisinį reglamentavimą, teikia klausimus, pastabas ir rekomendacijas (</w:t>
      </w:r>
      <w:r w:rsidRPr="00084498">
        <w:rPr>
          <w:rFonts w:cstheme="minorHAnsi"/>
          <w:sz w:val="24"/>
          <w:szCs w:val="24"/>
          <w:lang w:eastAsia="lt-LT"/>
        </w:rPr>
        <w:t>toliau – Rekomendacija) dėl Pirkimo dokumentų nuostatų.</w:t>
      </w:r>
    </w:p>
    <w:p w14:paraId="626CC36F" w14:textId="77777777" w:rsidR="00441433" w:rsidRPr="002F4BDC" w:rsidRDefault="00441433" w:rsidP="00441433">
      <w:pPr>
        <w:spacing w:after="0" w:line="276" w:lineRule="auto"/>
        <w:ind w:firstLine="709"/>
        <w:rPr>
          <w:rFonts w:cstheme="minorHAnsi"/>
          <w:b/>
          <w:bCs/>
          <w:sz w:val="24"/>
          <w:szCs w:val="24"/>
          <w:lang w:eastAsia="lt-LT"/>
        </w:rPr>
      </w:pPr>
      <w:r>
        <w:rPr>
          <w:rFonts w:cstheme="minorHAnsi"/>
          <w:b/>
          <w:sz w:val="24"/>
          <w:szCs w:val="24"/>
          <w:lang w:eastAsia="lt-LT"/>
        </w:rPr>
        <w:t>1</w:t>
      </w:r>
      <w:r w:rsidRPr="002F4BDC">
        <w:rPr>
          <w:rFonts w:cstheme="minorHAnsi"/>
          <w:b/>
          <w:sz w:val="24"/>
          <w:szCs w:val="24"/>
          <w:lang w:eastAsia="lt-LT"/>
        </w:rPr>
        <w:t>.Dėl kvalifikacijos reikalavimų tiekėjui</w:t>
      </w:r>
    </w:p>
    <w:p w14:paraId="01927615" w14:textId="77777777" w:rsidR="00441433" w:rsidRPr="002F4BDC" w:rsidRDefault="00441433" w:rsidP="00441433">
      <w:pPr>
        <w:spacing w:after="0" w:line="276" w:lineRule="auto"/>
        <w:ind w:left="-20" w:right="-20" w:firstLine="720"/>
        <w:rPr>
          <w:rFonts w:eastAsia="Calibri" w:cstheme="minorHAnsi"/>
          <w:color w:val="000000" w:themeColor="text1"/>
          <w:sz w:val="24"/>
          <w:szCs w:val="24"/>
        </w:rPr>
      </w:pPr>
      <w:r>
        <w:rPr>
          <w:rFonts w:eastAsia="Calibri" w:cstheme="minorHAnsi"/>
          <w:sz w:val="24"/>
          <w:szCs w:val="24"/>
        </w:rPr>
        <w:t>1</w:t>
      </w:r>
      <w:r w:rsidRPr="002F4BDC">
        <w:rPr>
          <w:rFonts w:eastAsia="Calibri" w:cstheme="minorHAnsi"/>
          <w:sz w:val="24"/>
          <w:szCs w:val="24"/>
        </w:rPr>
        <w:t>.1. Specialiųjų pirkimo sąlygų 4 priedo „Tiekėjų kvalifikacijos reikalavimai ir reikalaujami kokybės bei aplinkos apsaugos vadybos sistemų standartai“ Tiekėjų kvalifikacijos reikalavimų lentelės (toliau – Kvalifikacijos reikalavimai) 1.1 punkte nurodyta, kad tiekėjas turi turėti bent vieną „</w:t>
      </w:r>
      <w:r w:rsidRPr="002F4BDC">
        <w:rPr>
          <w:rFonts w:eastAsia="Calibri" w:cstheme="minorHAnsi"/>
          <w:i/>
          <w:iCs/>
          <w:sz w:val="24"/>
          <w:szCs w:val="24"/>
        </w:rPr>
        <w:t>atestuotą specialistą,</w:t>
      </w:r>
      <w:r w:rsidRPr="002F4BDC">
        <w:rPr>
          <w:rFonts w:eastAsia="Calibri" w:cstheme="minorHAnsi"/>
          <w:i/>
          <w:iCs/>
          <w:color w:val="000000" w:themeColor="text1"/>
          <w:sz w:val="24"/>
          <w:szCs w:val="24"/>
        </w:rPr>
        <w:t xml:space="preserve"> turintį teisę eiti neypatingojo arba ypatingojo statinio statybos darbų vadovo pareigas (statiniai: susisiekimo komunikacijos: gatvės/</w:t>
      </w:r>
      <w:r w:rsidRPr="002F4BDC">
        <w:rPr>
          <w:rFonts w:eastAsia="Calibri" w:cstheme="minorHAnsi"/>
          <w:i/>
          <w:iCs/>
          <w:color w:val="000000" w:themeColor="text1"/>
          <w:sz w:val="24"/>
          <w:szCs w:val="24"/>
          <w:u w:val="single"/>
        </w:rPr>
        <w:t>keliai</w:t>
      </w:r>
      <w:r w:rsidRPr="002F4BDC">
        <w:rPr>
          <w:rFonts w:eastAsia="Calibri" w:cstheme="minorHAnsi"/>
          <w:i/>
          <w:iCs/>
          <w:color w:val="000000" w:themeColor="text1"/>
          <w:sz w:val="24"/>
          <w:szCs w:val="24"/>
        </w:rPr>
        <w:t>)</w:t>
      </w:r>
      <w:r w:rsidRPr="002F4BDC">
        <w:rPr>
          <w:rFonts w:eastAsia="Calibri" w:cstheme="minorHAnsi"/>
          <w:color w:val="000000" w:themeColor="text1"/>
          <w:sz w:val="24"/>
          <w:szCs w:val="24"/>
        </w:rPr>
        <w:t xml:space="preserve">“. Atsižvelgiant į tai, kad šio Pirkimo objektas yra </w:t>
      </w:r>
      <w:r w:rsidRPr="002F4BDC">
        <w:rPr>
          <w:rFonts w:eastAsia="Calibri" w:cstheme="minorHAnsi"/>
          <w:b/>
          <w:bCs/>
          <w:color w:val="000000" w:themeColor="text1"/>
          <w:sz w:val="24"/>
          <w:szCs w:val="24"/>
          <w:u w:val="single"/>
        </w:rPr>
        <w:t>gatvės</w:t>
      </w:r>
      <w:r w:rsidRPr="002F4BDC">
        <w:rPr>
          <w:rFonts w:eastAsia="Calibri" w:cstheme="minorHAnsi"/>
          <w:color w:val="000000" w:themeColor="text1"/>
          <w:sz w:val="24"/>
          <w:szCs w:val="24"/>
        </w:rPr>
        <w:t>, rekomenduotina tikslinti šį Kvalifikacijos reikalavimą.</w:t>
      </w:r>
    </w:p>
    <w:p w14:paraId="6AC8C7A9" w14:textId="77777777" w:rsidR="00441433" w:rsidRPr="002F4BDC" w:rsidRDefault="00441433" w:rsidP="00441433">
      <w:pPr>
        <w:spacing w:after="0" w:line="276" w:lineRule="auto"/>
        <w:ind w:left="-20" w:right="-20" w:firstLine="720"/>
        <w:rPr>
          <w:rFonts w:eastAsia="Calibri" w:cstheme="minorHAnsi"/>
          <w:i/>
          <w:iCs/>
          <w:sz w:val="24"/>
          <w:szCs w:val="24"/>
        </w:rPr>
      </w:pPr>
      <w:r w:rsidRPr="002F4BDC">
        <w:rPr>
          <w:rFonts w:eastAsia="Calibri" w:cstheme="minorHAnsi"/>
          <w:color w:val="000000" w:themeColor="text1"/>
          <w:sz w:val="24"/>
          <w:szCs w:val="24"/>
        </w:rPr>
        <w:t>Taip pat atkreiktinas dėmesys į pastabose pateiktą informaciją, kad „</w:t>
      </w:r>
      <w:r w:rsidRPr="002F4BDC">
        <w:rPr>
          <w:rFonts w:eastAsia="Calibri" w:cstheme="minorHAnsi"/>
          <w:i/>
          <w:iCs/>
          <w:sz w:val="24"/>
          <w:szCs w:val="24"/>
        </w:rPr>
        <w:t>tiek</w:t>
      </w:r>
      <w:r w:rsidRPr="002F4BDC">
        <w:rPr>
          <w:rFonts w:eastAsia="Times New Roman" w:cstheme="minorHAnsi"/>
          <w:i/>
          <w:iCs/>
          <w:sz w:val="24"/>
          <w:szCs w:val="24"/>
        </w:rPr>
        <w:t>ė</w:t>
      </w:r>
      <w:r w:rsidRPr="002F4BDC">
        <w:rPr>
          <w:rFonts w:eastAsia="Calibri" w:cstheme="minorHAnsi"/>
          <w:i/>
          <w:iCs/>
          <w:sz w:val="24"/>
          <w:szCs w:val="24"/>
        </w:rPr>
        <w:t>jas gali si</w:t>
      </w:r>
      <w:r w:rsidRPr="002F4BDC">
        <w:rPr>
          <w:rFonts w:eastAsia="Times New Roman" w:cstheme="minorHAnsi"/>
          <w:i/>
          <w:iCs/>
          <w:sz w:val="24"/>
          <w:szCs w:val="24"/>
        </w:rPr>
        <w:t>ū</w:t>
      </w:r>
      <w:r w:rsidRPr="002F4BDC">
        <w:rPr>
          <w:rFonts w:eastAsia="Calibri" w:cstheme="minorHAnsi"/>
          <w:i/>
          <w:iCs/>
          <w:sz w:val="24"/>
          <w:szCs w:val="24"/>
        </w:rPr>
        <w:t xml:space="preserve">lyti </w:t>
      </w:r>
      <w:r w:rsidRPr="002F4BDC">
        <w:rPr>
          <w:rFonts w:eastAsia="Calibri" w:cstheme="minorHAnsi"/>
          <w:i/>
          <w:iCs/>
          <w:sz w:val="24"/>
          <w:szCs w:val="24"/>
          <w:u w:val="single"/>
        </w:rPr>
        <w:t>vienai ar abejoms</w:t>
      </w:r>
      <w:r w:rsidRPr="002F4BDC">
        <w:rPr>
          <w:rFonts w:eastAsia="Calibri" w:cstheme="minorHAnsi"/>
          <w:i/>
          <w:iCs/>
          <w:sz w:val="24"/>
          <w:szCs w:val="24"/>
        </w:rPr>
        <w:t xml:space="preserve"> pozicijoms t</w:t>
      </w:r>
      <w:r w:rsidRPr="002F4BDC">
        <w:rPr>
          <w:rFonts w:eastAsia="Times New Roman" w:cstheme="minorHAnsi"/>
          <w:i/>
          <w:iCs/>
          <w:sz w:val="24"/>
          <w:szCs w:val="24"/>
        </w:rPr>
        <w:t>ą</w:t>
      </w:r>
      <w:r w:rsidRPr="002F4BDC">
        <w:rPr>
          <w:rFonts w:eastAsia="Calibri" w:cstheme="minorHAnsi"/>
          <w:i/>
          <w:iCs/>
          <w:sz w:val="24"/>
          <w:szCs w:val="24"/>
        </w:rPr>
        <w:t xml:space="preserve"> pat</w:t>
      </w:r>
      <w:r w:rsidRPr="002F4BDC">
        <w:rPr>
          <w:rFonts w:eastAsia="Times New Roman" w:cstheme="minorHAnsi"/>
          <w:i/>
          <w:iCs/>
          <w:sz w:val="24"/>
          <w:szCs w:val="24"/>
        </w:rPr>
        <w:t>į</w:t>
      </w:r>
      <w:r w:rsidRPr="002F4BDC">
        <w:rPr>
          <w:rFonts w:eastAsia="Calibri" w:cstheme="minorHAnsi"/>
          <w:i/>
          <w:iCs/>
          <w:sz w:val="24"/>
          <w:szCs w:val="24"/>
        </w:rPr>
        <w:t xml:space="preserve"> asmen</w:t>
      </w:r>
      <w:r w:rsidRPr="002F4BDC">
        <w:rPr>
          <w:rFonts w:eastAsia="Times New Roman" w:cstheme="minorHAnsi"/>
          <w:i/>
          <w:iCs/>
          <w:sz w:val="24"/>
          <w:szCs w:val="24"/>
        </w:rPr>
        <w:t>į</w:t>
      </w:r>
      <w:r w:rsidRPr="002F4BDC">
        <w:rPr>
          <w:rFonts w:eastAsia="Calibri" w:cstheme="minorHAnsi"/>
          <w:i/>
          <w:iCs/>
          <w:sz w:val="24"/>
          <w:szCs w:val="24"/>
        </w:rPr>
        <w:t>, jeigu jo kvalifikacija atitinka tai pozicijai keliamus reikalavimus; &lt;...&gt;</w:t>
      </w:r>
      <w:r w:rsidRPr="002F4BDC">
        <w:rPr>
          <w:rFonts w:eastAsia="Times New Roman" w:cstheme="minorHAnsi"/>
          <w:i/>
          <w:iCs/>
          <w:sz w:val="24"/>
          <w:szCs w:val="24"/>
        </w:rPr>
        <w:t>“</w:t>
      </w:r>
      <w:r w:rsidRPr="002F4BDC">
        <w:rPr>
          <w:rFonts w:eastAsia="Calibri" w:cstheme="minorHAnsi"/>
          <w:i/>
          <w:iCs/>
          <w:sz w:val="24"/>
          <w:szCs w:val="24"/>
        </w:rPr>
        <w:t xml:space="preserve">. </w:t>
      </w:r>
      <w:r w:rsidRPr="002F4BDC">
        <w:rPr>
          <w:rFonts w:eastAsia="Calibri" w:cstheme="minorHAnsi"/>
          <w:sz w:val="24"/>
          <w:szCs w:val="24"/>
        </w:rPr>
        <w:t>Kadangi pozicijos yra ne dvi, o trys, rekomenduotina tikslinti pastaboje pateikt</w:t>
      </w:r>
      <w:r w:rsidRPr="002F4BDC">
        <w:rPr>
          <w:rFonts w:eastAsia="Times New Roman" w:cstheme="minorHAnsi"/>
          <w:sz w:val="24"/>
          <w:szCs w:val="24"/>
        </w:rPr>
        <w:t>ą</w:t>
      </w:r>
      <w:r w:rsidRPr="002F4BDC">
        <w:rPr>
          <w:rFonts w:eastAsia="Calibri" w:cstheme="minorHAnsi"/>
          <w:sz w:val="24"/>
          <w:szCs w:val="24"/>
        </w:rPr>
        <w:t xml:space="preserve"> informacij</w:t>
      </w:r>
      <w:r w:rsidRPr="002F4BDC">
        <w:rPr>
          <w:rFonts w:eastAsia="Times New Roman" w:cstheme="minorHAnsi"/>
          <w:sz w:val="24"/>
          <w:szCs w:val="24"/>
        </w:rPr>
        <w:t>ą</w:t>
      </w:r>
      <w:r w:rsidRPr="002F4BDC">
        <w:rPr>
          <w:rFonts w:eastAsia="Calibri" w:cstheme="minorHAnsi"/>
          <w:sz w:val="24"/>
          <w:szCs w:val="24"/>
        </w:rPr>
        <w:t>.</w:t>
      </w:r>
    </w:p>
    <w:p w14:paraId="33A09BE7" w14:textId="77777777" w:rsidR="00441433" w:rsidRPr="00F73863" w:rsidRDefault="00441433" w:rsidP="00441433">
      <w:pPr>
        <w:spacing w:after="0" w:line="276" w:lineRule="auto"/>
        <w:ind w:left="-23" w:right="-23" w:firstLine="720"/>
        <w:rPr>
          <w:rFonts w:eastAsia="Calibri" w:cstheme="minorHAnsi"/>
          <w:sz w:val="24"/>
          <w:szCs w:val="24"/>
        </w:rPr>
      </w:pPr>
      <w:r w:rsidRPr="00F73863">
        <w:rPr>
          <w:rFonts w:eastAsia="Calibri" w:cstheme="minorHAnsi"/>
          <w:sz w:val="24"/>
          <w:szCs w:val="24"/>
        </w:rPr>
        <w:t xml:space="preserve">1.2. Atkreiptinas dėmesys į tai, kad Kvalifikacijos reikalavimo 1.2 punkto skliaustuose pateikta informacija – </w:t>
      </w:r>
      <w:r w:rsidRPr="00F73863">
        <w:rPr>
          <w:rFonts w:eastAsia="Calibri" w:cstheme="minorHAnsi"/>
          <w:i/>
          <w:iCs/>
          <w:sz w:val="24"/>
          <w:szCs w:val="24"/>
        </w:rPr>
        <w:t>„</w:t>
      </w:r>
      <w:r w:rsidRPr="00F73863">
        <w:rPr>
          <w:rFonts w:eastAsia="Calibri" w:cstheme="minorHAnsi"/>
          <w:i/>
          <w:iCs/>
          <w:color w:val="000000" w:themeColor="text1"/>
          <w:sz w:val="24"/>
          <w:szCs w:val="24"/>
        </w:rPr>
        <w:t xml:space="preserve">(statinių kategorija - </w:t>
      </w:r>
      <w:r w:rsidRPr="00F73863">
        <w:rPr>
          <w:rFonts w:eastAsia="Calibri" w:cstheme="minorHAnsi"/>
          <w:i/>
          <w:iCs/>
          <w:color w:val="000000" w:themeColor="text1"/>
          <w:sz w:val="24"/>
          <w:szCs w:val="24"/>
          <w:u w:val="single"/>
        </w:rPr>
        <w:t>ypatingi/neypatingi</w:t>
      </w:r>
      <w:r w:rsidRPr="00F73863">
        <w:rPr>
          <w:rFonts w:eastAsia="Calibri" w:cstheme="minorHAnsi"/>
          <w:i/>
          <w:iCs/>
          <w:color w:val="000000" w:themeColor="text1"/>
          <w:sz w:val="24"/>
          <w:szCs w:val="24"/>
        </w:rPr>
        <w:t xml:space="preserve"> statiniai, statinių sritis - </w:t>
      </w:r>
      <w:r w:rsidRPr="00F73863">
        <w:rPr>
          <w:rFonts w:eastAsia="Calibri" w:cstheme="minorHAnsi"/>
          <w:i/>
          <w:iCs/>
          <w:color w:val="000000" w:themeColor="text1"/>
          <w:sz w:val="24"/>
          <w:szCs w:val="24"/>
          <w:u w:val="single"/>
        </w:rPr>
        <w:t xml:space="preserve">susisiekimo komunikacijos (keliai/gatvės), darbų grupės – </w:t>
      </w:r>
      <w:proofErr w:type="spellStart"/>
      <w:r w:rsidRPr="00F73863">
        <w:rPr>
          <w:rFonts w:eastAsia="Calibri" w:cstheme="minorHAnsi"/>
          <w:i/>
          <w:iCs/>
          <w:color w:val="000000" w:themeColor="text1"/>
          <w:sz w:val="24"/>
          <w:szCs w:val="24"/>
          <w:u w:val="single"/>
        </w:rPr>
        <w:t>bendrastatybiniai</w:t>
      </w:r>
      <w:proofErr w:type="spellEnd"/>
      <w:r w:rsidRPr="00F73863">
        <w:rPr>
          <w:rFonts w:eastAsia="Calibri" w:cstheme="minorHAnsi"/>
          <w:i/>
          <w:iCs/>
          <w:color w:val="000000" w:themeColor="text1"/>
          <w:sz w:val="24"/>
          <w:szCs w:val="24"/>
        </w:rPr>
        <w:t>)</w:t>
      </w:r>
      <w:r w:rsidRPr="00F73863">
        <w:rPr>
          <w:rFonts w:eastAsia="Calibri" w:cstheme="minorHAnsi"/>
          <w:color w:val="000000" w:themeColor="text1"/>
          <w:sz w:val="24"/>
          <w:szCs w:val="24"/>
        </w:rPr>
        <w:t>“ neatitinka informacijos, nurodytos pačiame Kvalifikacijos reikalavime („</w:t>
      </w:r>
      <w:r w:rsidRPr="00F73863">
        <w:rPr>
          <w:rFonts w:eastAsia="Calibri" w:cstheme="minorHAnsi"/>
          <w:i/>
          <w:iCs/>
          <w:sz w:val="24"/>
          <w:szCs w:val="24"/>
        </w:rPr>
        <w:t xml:space="preserve">Tiekėjas &lt;...&gt; pagal vieną ar daugiau sutarčių yra tinkamai atlikęs gatvių, kelių, </w:t>
      </w:r>
      <w:r w:rsidRPr="00F73863">
        <w:rPr>
          <w:rFonts w:eastAsia="Calibri" w:cstheme="minorHAnsi"/>
          <w:b/>
          <w:bCs/>
          <w:i/>
          <w:iCs/>
          <w:sz w:val="24"/>
          <w:szCs w:val="24"/>
          <w:u w:val="single"/>
        </w:rPr>
        <w:t>geležinkelio kelio, kitų transporto statinių, apšvietimo ir nuotekų tinklų</w:t>
      </w:r>
      <w:r w:rsidRPr="00F73863">
        <w:rPr>
          <w:rFonts w:eastAsia="Calibri" w:cstheme="minorHAnsi"/>
          <w:b/>
          <w:bCs/>
          <w:i/>
          <w:iCs/>
          <w:sz w:val="24"/>
          <w:szCs w:val="24"/>
        </w:rPr>
        <w:t xml:space="preserve"> montavimo</w:t>
      </w:r>
      <w:r w:rsidRPr="00F73863">
        <w:rPr>
          <w:rFonts w:eastAsia="Calibri" w:cstheme="minorHAnsi"/>
          <w:i/>
          <w:iCs/>
          <w:sz w:val="24"/>
          <w:szCs w:val="24"/>
        </w:rPr>
        <w:t xml:space="preserve"> ir (ar) remonto ir (ar) rekonstrukcijos darbų už ne mažiau kaip 300 000,00 Eur be PVM</w:t>
      </w:r>
      <w:r w:rsidRPr="00F73863">
        <w:rPr>
          <w:rFonts w:eastAsia="Calibri" w:cstheme="minorHAnsi"/>
          <w:sz w:val="24"/>
          <w:szCs w:val="24"/>
        </w:rPr>
        <w:t xml:space="preserve">“). Tarnyba taip pat prašo paaiškinti, kaip bus vertinama tiekėjo patirtis, jei atliktų darbų sąraše būtų pateikti atlikti darbai už nurodytą vertę tik </w:t>
      </w:r>
      <w:r w:rsidRPr="00F73863">
        <w:rPr>
          <w:rFonts w:eastAsia="Calibri" w:cstheme="minorHAnsi"/>
          <w:sz w:val="24"/>
          <w:szCs w:val="24"/>
          <w:u w:val="single"/>
        </w:rPr>
        <w:t>nuotekų tinklų</w:t>
      </w:r>
      <w:r w:rsidRPr="00F73863">
        <w:rPr>
          <w:rFonts w:eastAsia="Calibri" w:cstheme="minorHAnsi"/>
          <w:sz w:val="24"/>
          <w:szCs w:val="24"/>
        </w:rPr>
        <w:t xml:space="preserve"> montavimo srityje arba tik apšvietimo srityje, taip pat neaišku, ar tiekėjas privalo turėti patirtį visuose nurodytuose statiniuose?</w:t>
      </w:r>
    </w:p>
    <w:p w14:paraId="3389B586" w14:textId="77777777" w:rsidR="00441433" w:rsidRPr="00F73863" w:rsidRDefault="00441433" w:rsidP="00441433">
      <w:pPr>
        <w:spacing w:after="0" w:line="276" w:lineRule="auto"/>
        <w:ind w:left="-23" w:right="-23" w:firstLine="737"/>
        <w:jc w:val="both"/>
        <w:rPr>
          <w:rFonts w:eastAsia="Times New Roman" w:cstheme="minorHAnsi"/>
          <w:sz w:val="24"/>
          <w:szCs w:val="24"/>
        </w:rPr>
      </w:pPr>
      <w:r w:rsidRPr="00F73863">
        <w:rPr>
          <w:rFonts w:eastAsia="Times New Roman" w:cstheme="minorHAnsi"/>
          <w:sz w:val="24"/>
          <w:szCs w:val="24"/>
        </w:rPr>
        <w:t>Atsižvelgiant į tai, kad Pirkimo dokumentai turi būti tikslūs, aiškūs, be dviprasmybių</w:t>
      </w:r>
      <w:r>
        <w:rPr>
          <w:rStyle w:val="FootnoteReference"/>
          <w:rFonts w:eastAsia="Times New Roman" w:cstheme="minorHAnsi"/>
          <w:sz w:val="24"/>
          <w:szCs w:val="24"/>
        </w:rPr>
        <w:footnoteReference w:id="1"/>
      </w:r>
      <w:hyperlink r:id="rId7" w:anchor="_ftn1" w:history="1"/>
      <w:r w:rsidRPr="00F73863">
        <w:rPr>
          <w:rFonts w:eastAsia="Times New Roman" w:cstheme="minorHAnsi"/>
          <w:sz w:val="24"/>
          <w:szCs w:val="24"/>
        </w:rPr>
        <w:t>, rekomenduotina tikslinti Kvalifikacijos reikalavimus.</w:t>
      </w:r>
    </w:p>
    <w:p w14:paraId="4505AFE5" w14:textId="77777777" w:rsidR="00441433" w:rsidRPr="001F12F1" w:rsidRDefault="00441433" w:rsidP="00441433">
      <w:pPr>
        <w:spacing w:after="0" w:line="276" w:lineRule="auto"/>
        <w:ind w:firstLine="709"/>
        <w:rPr>
          <w:rFonts w:cstheme="minorHAnsi"/>
          <w:sz w:val="24"/>
          <w:szCs w:val="24"/>
        </w:rPr>
      </w:pPr>
      <w:r>
        <w:rPr>
          <w:rFonts w:cstheme="minorHAnsi"/>
          <w:b/>
          <w:bCs/>
          <w:sz w:val="24"/>
          <w:szCs w:val="24"/>
        </w:rPr>
        <w:t>2</w:t>
      </w:r>
      <w:r w:rsidRPr="00AD0172">
        <w:rPr>
          <w:rFonts w:cstheme="minorHAnsi"/>
          <w:b/>
          <w:bCs/>
          <w:sz w:val="24"/>
          <w:szCs w:val="24"/>
        </w:rPr>
        <w:t>.</w:t>
      </w:r>
      <w:r w:rsidRPr="001F12F1">
        <w:rPr>
          <w:rFonts w:cstheme="minorHAnsi"/>
          <w:sz w:val="24"/>
          <w:szCs w:val="24"/>
        </w:rPr>
        <w:t xml:space="preserve"> </w:t>
      </w:r>
      <w:r w:rsidRPr="001F12F1">
        <w:rPr>
          <w:rFonts w:cstheme="minorHAnsi"/>
          <w:b/>
          <w:bCs/>
          <w:sz w:val="24"/>
          <w:szCs w:val="24"/>
        </w:rPr>
        <w:t>Dėl aplinkos apsaugos vadybos sistemos standartų</w:t>
      </w:r>
    </w:p>
    <w:p w14:paraId="0639B258" w14:textId="77777777" w:rsidR="00441433" w:rsidRPr="004443D5" w:rsidRDefault="00441433" w:rsidP="00441433">
      <w:pPr>
        <w:tabs>
          <w:tab w:val="left" w:pos="720"/>
        </w:tabs>
        <w:spacing w:after="0" w:line="276" w:lineRule="auto"/>
        <w:ind w:firstLine="709"/>
        <w:rPr>
          <w:rFonts w:eastAsia="Times New Roman" w:cstheme="minorHAnsi"/>
          <w:sz w:val="24"/>
          <w:szCs w:val="20"/>
          <w:lang w:val="lt"/>
        </w:rPr>
      </w:pPr>
      <w:r w:rsidRPr="1EBE4125">
        <w:rPr>
          <w:sz w:val="24"/>
          <w:szCs w:val="24"/>
        </w:rPr>
        <w:lastRenderedPageBreak/>
        <w:t xml:space="preserve">Specialiųjų pirkimo sąlygų 4 priedo </w:t>
      </w:r>
      <w:r w:rsidRPr="1EBE4125">
        <w:rPr>
          <w:rFonts w:eastAsia="Calibri"/>
          <w:sz w:val="24"/>
          <w:szCs w:val="24"/>
          <w:lang w:eastAsia="lt-LT"/>
        </w:rPr>
        <w:t xml:space="preserve">„Tiekėjų kvalifikacijos reikalavimai ir reikalaujami kokybės bei aplinkos apsaugos vadybos sistemų standartai“ </w:t>
      </w:r>
      <w:r w:rsidRPr="1EBE4125">
        <w:rPr>
          <w:rFonts w:eastAsia="Calibri"/>
          <w:sz w:val="24"/>
          <w:szCs w:val="24"/>
        </w:rPr>
        <w:t>Tiekėjams keliamų reikalavimų dėl kokybės vadybos sistemos ir (ar) aplinkos apsaugos vadybos sistemos standartų reikalavimų lentelės</w:t>
      </w:r>
      <w:r w:rsidRPr="1EBE4125">
        <w:rPr>
          <w:rFonts w:eastAsia="Calibri"/>
          <w:sz w:val="24"/>
          <w:szCs w:val="24"/>
          <w:lang w:eastAsia="lt-LT"/>
        </w:rPr>
        <w:t xml:space="preserve"> 2.1 punkto </w:t>
      </w:r>
      <w:r w:rsidRPr="1EBE4125">
        <w:rPr>
          <w:sz w:val="24"/>
          <w:szCs w:val="24"/>
        </w:rPr>
        <w:t>aplinkos apsaugos vadybos sistemos standartų reikalavimą patvirtinančiuose dokumentuose nurodyta: „</w:t>
      </w:r>
      <w:r w:rsidRPr="1EBE4125">
        <w:rPr>
          <w:rFonts w:eastAsia="Calibri"/>
          <w:i/>
          <w:sz w:val="24"/>
          <w:szCs w:val="24"/>
        </w:rPr>
        <w:t xml:space="preserve">Kaip lygiaverčių aplinkos apsaugos vadybos užtikrinimo priemonių įrodymą, tiekėjas gali pateikti parengtų lygiaverčių taikomų aplinkos apsaugos vadybos priemonių aprašymą, parengtą pagal </w:t>
      </w:r>
      <w:r w:rsidRPr="1EBE4125">
        <w:rPr>
          <w:rFonts w:eastAsia="Calibri"/>
          <w:i/>
          <w:spacing w:val="2"/>
          <w:sz w:val="24"/>
          <w:szCs w:val="24"/>
          <w:u w:val="single"/>
        </w:rPr>
        <w:t xml:space="preserve">Aplinkos apsaugos kriterijų, kuriuos Perkančiosios organizacijos ir perkantieji subjektai turi taikyti pirkdamos prekes, paslaugas ar darbus, taikymo tvarkos aprašo </w:t>
      </w:r>
      <w:r w:rsidRPr="1EBE4125">
        <w:rPr>
          <w:rFonts w:eastAsia="Calibri"/>
          <w:b/>
          <w:i/>
          <w:spacing w:val="2"/>
          <w:sz w:val="24"/>
          <w:szCs w:val="24"/>
          <w:u w:val="single"/>
        </w:rPr>
        <w:t xml:space="preserve">7 </w:t>
      </w:r>
      <w:r w:rsidRPr="1EBE4125">
        <w:rPr>
          <w:rFonts w:eastAsia="Calibri"/>
          <w:b/>
          <w:i/>
          <w:sz w:val="24"/>
          <w:szCs w:val="24"/>
          <w:u w:val="single"/>
        </w:rPr>
        <w:t>p.,</w:t>
      </w:r>
      <w:r w:rsidRPr="1EBE4125">
        <w:rPr>
          <w:rFonts w:eastAsia="Calibri"/>
          <w:i/>
          <w:sz w:val="24"/>
          <w:szCs w:val="24"/>
        </w:rPr>
        <w:t xml:space="preserve"> arba kitus lygiaverčius įrodymus“. </w:t>
      </w:r>
      <w:r w:rsidRPr="1EBE4125">
        <w:rPr>
          <w:rFonts w:eastAsia="Calibri"/>
          <w:sz w:val="24"/>
          <w:szCs w:val="24"/>
        </w:rPr>
        <w:t xml:space="preserve">Tarnyba pažymi, kad </w:t>
      </w:r>
      <w:r w:rsidRPr="1EBE4125">
        <w:rPr>
          <w:rFonts w:eastAsia="Times New Roman"/>
          <w:sz w:val="24"/>
          <w:szCs w:val="24"/>
          <w:u w:val="single"/>
          <w:lang w:val="lt"/>
        </w:rPr>
        <w:t>Aplinkos apsaugos kriterijų taikymo, vykdant žaliuosius pirkimus, tvarkos apraše</w:t>
      </w:r>
      <w:r w:rsidRPr="1EBE4125">
        <w:rPr>
          <w:rFonts w:eastAsia="Times New Roman"/>
          <w:sz w:val="24"/>
          <w:szCs w:val="24"/>
          <w:vertAlign w:val="superscript"/>
          <w:lang w:val="lt"/>
        </w:rPr>
        <w:footnoteReference w:id="2"/>
      </w:r>
      <w:r w:rsidRPr="1EBE4125">
        <w:rPr>
          <w:rFonts w:eastAsia="Times New Roman"/>
          <w:sz w:val="24"/>
          <w:szCs w:val="24"/>
          <w:lang w:val="lt"/>
        </w:rPr>
        <w:t xml:space="preserve"> kiti lygiaverčiai aplinkos apsaugos vadybos užtikrinimo priemonių įrodymai yra nurodyti ne 7 punkte, o 10 punkte, todėl rekomenduoja šį punktą patikslinti.</w:t>
      </w:r>
    </w:p>
    <w:p w14:paraId="6E7B9EC0" w14:textId="77777777" w:rsidR="00441433" w:rsidRPr="003F7CFB" w:rsidRDefault="00441433" w:rsidP="00441433">
      <w:pPr>
        <w:pStyle w:val="ListParagraph"/>
        <w:numPr>
          <w:ilvl w:val="0"/>
          <w:numId w:val="1"/>
        </w:numPr>
        <w:tabs>
          <w:tab w:val="left" w:pos="993"/>
        </w:tabs>
        <w:spacing w:after="0" w:line="276" w:lineRule="auto"/>
        <w:ind w:hanging="1004"/>
        <w:rPr>
          <w:rFonts w:cstheme="minorHAnsi"/>
          <w:b/>
          <w:bCs/>
          <w:sz w:val="24"/>
          <w:szCs w:val="24"/>
        </w:rPr>
      </w:pPr>
      <w:r w:rsidRPr="003F7CFB">
        <w:rPr>
          <w:rFonts w:cstheme="minorHAnsi"/>
          <w:b/>
          <w:bCs/>
          <w:sz w:val="24"/>
          <w:szCs w:val="24"/>
        </w:rPr>
        <w:t xml:space="preserve">Dėl ekonomiškai naudingiausio pasiūlymo vertinimo </w:t>
      </w:r>
    </w:p>
    <w:p w14:paraId="17862237" w14:textId="77777777" w:rsidR="00441433" w:rsidRPr="003F7CFB" w:rsidRDefault="00441433" w:rsidP="00441433">
      <w:pPr>
        <w:spacing w:after="0" w:line="276" w:lineRule="auto"/>
        <w:ind w:firstLine="709"/>
        <w:textAlignment w:val="baseline"/>
        <w:rPr>
          <w:rFonts w:cstheme="minorHAnsi"/>
          <w:sz w:val="24"/>
          <w:szCs w:val="24"/>
        </w:rPr>
      </w:pPr>
      <w:r w:rsidRPr="003F7CFB">
        <w:rPr>
          <w:rFonts w:eastAsia="Times New Roman" w:cstheme="minorHAnsi"/>
          <w:sz w:val="24"/>
          <w:szCs w:val="24"/>
          <w:lang w:val="lt"/>
        </w:rPr>
        <w:t>Specialiųjų pirkimo sąlygų 8 priedo 2 punkto lentelėje nurodyti pasiūlymų vertinimo kriterijai, kainos kriterijui (K) suteikiant lyginamąjį svorį 90, Papildomai statinio garantinio termino trukmei metais (GT) suteikiant lyginamąjį svorį 10.</w:t>
      </w:r>
    </w:p>
    <w:p w14:paraId="0FDB5234" w14:textId="77777777" w:rsidR="00441433" w:rsidRPr="00317E9C" w:rsidRDefault="00441433" w:rsidP="00441433">
      <w:pPr>
        <w:spacing w:after="0" w:line="276" w:lineRule="auto"/>
        <w:ind w:firstLine="709"/>
        <w:textAlignment w:val="baseline"/>
        <w:rPr>
          <w:rFonts w:cstheme="minorHAnsi"/>
          <w:sz w:val="24"/>
          <w:szCs w:val="24"/>
        </w:rPr>
      </w:pPr>
      <w:r w:rsidRPr="003F7CFB">
        <w:rPr>
          <w:rFonts w:eastAsia="Times New Roman" w:cstheme="minorHAnsi"/>
          <w:sz w:val="24"/>
          <w:szCs w:val="24"/>
          <w:lang w:val="lt"/>
        </w:rPr>
        <w:t>Pasiūlymų vertinimo kriterijų lyginamųjų svorių nustatymo ir balų sut</w:t>
      </w:r>
      <w:r w:rsidRPr="00317E9C">
        <w:rPr>
          <w:rFonts w:eastAsia="Times New Roman" w:cstheme="minorHAnsi"/>
          <w:sz w:val="24"/>
          <w:szCs w:val="24"/>
          <w:lang w:val="lt"/>
        </w:rPr>
        <w:t>eikimo tvarkos derinys lemia, kiek svarbus yra kiekvienas pasiūlymų vertinimo kriterijus, užtikrinant geriausią P</w:t>
      </w:r>
      <w:r>
        <w:rPr>
          <w:rFonts w:eastAsia="Times New Roman" w:cstheme="minorHAnsi"/>
          <w:sz w:val="24"/>
          <w:szCs w:val="24"/>
          <w:lang w:val="lt"/>
        </w:rPr>
        <w:t>erkančiosios organizacijos</w:t>
      </w:r>
      <w:r w:rsidRPr="00317E9C">
        <w:rPr>
          <w:rFonts w:eastAsia="Times New Roman" w:cstheme="minorHAnsi"/>
          <w:sz w:val="24"/>
          <w:szCs w:val="24"/>
          <w:lang w:val="lt"/>
        </w:rPr>
        <w:t xml:space="preserve"> mokamos kainos ir pagal pasiūlymus gaunamos kokybės santykį. Šis derinys taip pat parodo, kiek daugiau P</w:t>
      </w:r>
      <w:r>
        <w:rPr>
          <w:rFonts w:eastAsia="Times New Roman" w:cstheme="minorHAnsi"/>
          <w:sz w:val="24"/>
          <w:szCs w:val="24"/>
          <w:lang w:val="lt"/>
        </w:rPr>
        <w:t>erkančioji organizacija</w:t>
      </w:r>
      <w:r w:rsidRPr="00317E9C">
        <w:rPr>
          <w:rFonts w:eastAsia="Times New Roman" w:cstheme="minorHAnsi"/>
          <w:sz w:val="24"/>
          <w:szCs w:val="24"/>
          <w:lang w:val="lt"/>
        </w:rPr>
        <w:t xml:space="preserve"> yra pasirengusi mokėti už kokybiškesnius pasiūlymus, todėl, siekiant racionaliai naudoti pirkimui skirtas lėšas, pasiūlymų vertinimo kriterijų lyginamųjų svorių nustatymą ir balų suteikimo tvarką turėtų lemti ne P</w:t>
      </w:r>
      <w:r>
        <w:rPr>
          <w:rFonts w:eastAsia="Times New Roman" w:cstheme="minorHAnsi"/>
          <w:sz w:val="24"/>
          <w:szCs w:val="24"/>
          <w:lang w:val="lt"/>
        </w:rPr>
        <w:t>erkančiosios organizacijos</w:t>
      </w:r>
      <w:r w:rsidRPr="00317E9C">
        <w:rPr>
          <w:rFonts w:eastAsia="Times New Roman" w:cstheme="minorHAnsi"/>
          <w:sz w:val="24"/>
          <w:szCs w:val="24"/>
          <w:lang w:val="lt"/>
        </w:rPr>
        <w:t xml:space="preserve"> intuicija, o tinkama analizė bei simuliacijos, atliekamos prieš paskelbiant apie pirkimą, rezultatai. Tarnybos nuomone, nors duomenų simuliacijos parodo tik hipotetinius pasiūlymo vertinimo atvejus, tačiau tokie skaičiavimai įrodo, kokia pinigine išraiška yra vertinamas vienas ar kitas ekonominio naudingumo kriterijus.</w:t>
      </w:r>
    </w:p>
    <w:p w14:paraId="6BED4D89" w14:textId="77777777" w:rsidR="00441433" w:rsidRDefault="00441433" w:rsidP="00441433">
      <w:pPr>
        <w:spacing w:after="0" w:line="276" w:lineRule="auto"/>
        <w:ind w:firstLine="709"/>
        <w:textAlignment w:val="baseline"/>
        <w:rPr>
          <w:rFonts w:eastAsia="Times New Roman" w:cstheme="minorHAnsi"/>
          <w:color w:val="000000" w:themeColor="text1"/>
          <w:sz w:val="24"/>
          <w:szCs w:val="24"/>
          <w:lang w:val="lt"/>
        </w:rPr>
      </w:pPr>
      <w:r w:rsidRPr="00317E9C">
        <w:rPr>
          <w:rFonts w:eastAsia="Times New Roman" w:cstheme="minorHAnsi"/>
          <w:color w:val="000000" w:themeColor="text1"/>
          <w:sz w:val="24"/>
          <w:szCs w:val="24"/>
          <w:lang w:val="lt"/>
        </w:rPr>
        <w:t xml:space="preserve">Perkančioji organizacija turi įsivertinti, kokia yra </w:t>
      </w:r>
      <w:r>
        <w:rPr>
          <w:rFonts w:eastAsia="Times New Roman" w:cstheme="minorHAnsi"/>
          <w:color w:val="000000" w:themeColor="text1"/>
          <w:sz w:val="24"/>
          <w:szCs w:val="24"/>
          <w:lang w:val="lt"/>
        </w:rPr>
        <w:t>G</w:t>
      </w:r>
      <w:r w:rsidRPr="00317E9C">
        <w:rPr>
          <w:rFonts w:eastAsia="Times New Roman" w:cstheme="minorHAnsi"/>
          <w:color w:val="000000" w:themeColor="text1"/>
          <w:sz w:val="24"/>
          <w:szCs w:val="24"/>
          <w:lang w:val="lt"/>
        </w:rPr>
        <w:t xml:space="preserve">T kriterijaus piniginė vertė (eurais), kiek daugiau Perkančioji organizacija yra linkusi mokėti už kokybę ir kokią papildomą ekonominę naudą suteiks laimėjusiame pasiūlyme tiekėjo prisiimti įsipareigojimai. Daugiau informacijos apie tai rasite </w:t>
      </w:r>
      <w:hyperlink r:id="rId8" w:history="1">
        <w:r w:rsidRPr="00E55C7C">
          <w:rPr>
            <w:rStyle w:val="Hyperlink"/>
            <w:rFonts w:eastAsia="Times New Roman" w:cstheme="minorHAnsi"/>
            <w:sz w:val="24"/>
            <w:szCs w:val="24"/>
            <w:lang w:val="lt"/>
          </w:rPr>
          <w:t>https://vpt.lrv.lt/lt/naujienos-3/kainos-ir-kokybes-santykio-vertinimo-formuliu-taikomu-isrenkant-ekonomiskai-naudingiausia-pasiulyma-mokomoji-skaiciuokle/</w:t>
        </w:r>
      </w:hyperlink>
      <w:r>
        <w:rPr>
          <w:rFonts w:eastAsia="Times New Roman" w:cstheme="minorHAnsi"/>
          <w:color w:val="000000" w:themeColor="text1"/>
          <w:sz w:val="24"/>
          <w:szCs w:val="24"/>
          <w:lang w:val="lt"/>
        </w:rPr>
        <w:t>.</w:t>
      </w:r>
    </w:p>
    <w:p w14:paraId="09C466E7" w14:textId="77777777" w:rsidR="00441433" w:rsidRPr="00317E9C" w:rsidRDefault="00441433" w:rsidP="00441433">
      <w:pPr>
        <w:spacing w:after="0" w:line="276" w:lineRule="auto"/>
        <w:ind w:firstLine="709"/>
        <w:textAlignment w:val="baseline"/>
        <w:rPr>
          <w:rFonts w:cstheme="minorHAnsi"/>
          <w:sz w:val="24"/>
          <w:szCs w:val="24"/>
        </w:rPr>
      </w:pPr>
      <w:r w:rsidRPr="00317E9C">
        <w:rPr>
          <w:rFonts w:eastAsia="Times New Roman" w:cstheme="minorHAnsi"/>
          <w:color w:val="000000" w:themeColor="text1"/>
          <w:sz w:val="24"/>
          <w:szCs w:val="24"/>
          <w:lang w:val="lt"/>
        </w:rPr>
        <w:t xml:space="preserve">Atkreiptinas dėmesys, kad pagal kriterijaus </w:t>
      </w:r>
      <w:r>
        <w:rPr>
          <w:rFonts w:eastAsia="Times New Roman" w:cstheme="minorHAnsi"/>
          <w:color w:val="000000" w:themeColor="text1"/>
          <w:sz w:val="24"/>
          <w:szCs w:val="24"/>
          <w:lang w:val="lt"/>
        </w:rPr>
        <w:t>G</w:t>
      </w:r>
      <w:r w:rsidRPr="00317E9C">
        <w:rPr>
          <w:rFonts w:eastAsia="Times New Roman" w:cstheme="minorHAnsi"/>
          <w:color w:val="000000" w:themeColor="text1"/>
          <w:sz w:val="24"/>
          <w:szCs w:val="24"/>
          <w:lang w:val="lt"/>
        </w:rPr>
        <w:t xml:space="preserve">T aprašymą </w:t>
      </w:r>
      <w:r w:rsidRPr="00317E9C">
        <w:rPr>
          <w:rFonts w:eastAsia="Times New Roman" w:cstheme="minorHAnsi"/>
          <w:sz w:val="24"/>
          <w:szCs w:val="24"/>
          <w:lang w:val="lt"/>
        </w:rPr>
        <w:t xml:space="preserve">tiekėjui galimai tik deklaratyviai įsipareigojus suteikti papildomos garantijos laikotarpį, siekiant gauti kuo daugiau papildomų balų ir laimėti Pirkimą, Perkančiajai organizacijai būtų sudėtinga užsitikrinti, jog </w:t>
      </w:r>
      <w:r>
        <w:rPr>
          <w:rFonts w:eastAsia="Times New Roman" w:cstheme="minorHAnsi"/>
          <w:sz w:val="24"/>
          <w:szCs w:val="24"/>
          <w:lang w:val="lt"/>
        </w:rPr>
        <w:t xml:space="preserve">pasibaigus </w:t>
      </w:r>
      <w:r>
        <w:rPr>
          <w:rFonts w:eastAsia="Times New Roman" w:cstheme="minorHAnsi"/>
          <w:sz w:val="24"/>
          <w:szCs w:val="24"/>
          <w:lang w:val="lt"/>
        </w:rPr>
        <w:lastRenderedPageBreak/>
        <w:t xml:space="preserve">Sutarčiai ir praėjus 5 metų privalomos garantijos terminui, </w:t>
      </w:r>
      <w:r w:rsidRPr="00317E9C">
        <w:rPr>
          <w:rFonts w:eastAsia="Times New Roman" w:cstheme="minorHAnsi"/>
          <w:sz w:val="24"/>
          <w:szCs w:val="24"/>
          <w:lang w:val="lt"/>
        </w:rPr>
        <w:t>bus galima pasinaudoti papildoma garantija atsiradus defektams, pvz. tiekėjas gali nebevykdyti veiklos, tiekėjui bankrutavus ir pan.</w:t>
      </w:r>
    </w:p>
    <w:p w14:paraId="4EAC4F35" w14:textId="77777777" w:rsidR="00441433" w:rsidRDefault="00441433" w:rsidP="00441433">
      <w:pPr>
        <w:spacing w:after="0" w:line="276" w:lineRule="auto"/>
        <w:ind w:firstLine="709"/>
        <w:textAlignment w:val="baseline"/>
        <w:rPr>
          <w:rFonts w:eastAsia="Times New Roman" w:cstheme="minorHAnsi"/>
          <w:sz w:val="24"/>
          <w:szCs w:val="24"/>
          <w:lang w:val="lt"/>
        </w:rPr>
      </w:pPr>
      <w:r w:rsidRPr="00AD0172">
        <w:rPr>
          <w:rFonts w:eastAsia="Times New Roman" w:cstheme="minorHAnsi"/>
          <w:sz w:val="24"/>
          <w:szCs w:val="24"/>
          <w:lang w:val="lt"/>
        </w:rPr>
        <w:t xml:space="preserve">Atsižvelgiant į aukščiau išdėstytą, Tarnyba </w:t>
      </w:r>
      <w:r w:rsidRPr="00AD0172">
        <w:rPr>
          <w:rFonts w:eastAsia="Calibri" w:cstheme="minorHAnsi"/>
          <w:sz w:val="24"/>
          <w:szCs w:val="24"/>
        </w:rPr>
        <w:t xml:space="preserve">prašo informuoti, ar prieš nustatant </w:t>
      </w:r>
      <w:r>
        <w:rPr>
          <w:rFonts w:eastAsia="Calibri" w:cstheme="minorHAnsi"/>
          <w:sz w:val="24"/>
          <w:szCs w:val="24"/>
        </w:rPr>
        <w:t xml:space="preserve">šį </w:t>
      </w:r>
      <w:r w:rsidRPr="00AD0172">
        <w:rPr>
          <w:rFonts w:eastAsia="Calibri" w:cstheme="minorHAnsi"/>
          <w:sz w:val="24"/>
          <w:szCs w:val="24"/>
        </w:rPr>
        <w:t>kriterij</w:t>
      </w:r>
      <w:r>
        <w:rPr>
          <w:rFonts w:eastAsia="Calibri" w:cstheme="minorHAnsi"/>
          <w:sz w:val="24"/>
          <w:szCs w:val="24"/>
        </w:rPr>
        <w:t>ų</w:t>
      </w:r>
      <w:r w:rsidRPr="00AD0172">
        <w:rPr>
          <w:rFonts w:eastAsia="Calibri" w:cstheme="minorHAnsi"/>
          <w:sz w:val="24"/>
          <w:szCs w:val="24"/>
        </w:rPr>
        <w:t xml:space="preserve"> bei j</w:t>
      </w:r>
      <w:r>
        <w:rPr>
          <w:rFonts w:eastAsia="Calibri" w:cstheme="minorHAnsi"/>
          <w:sz w:val="24"/>
          <w:szCs w:val="24"/>
        </w:rPr>
        <w:t>o</w:t>
      </w:r>
      <w:r w:rsidRPr="00AD0172">
        <w:rPr>
          <w:rFonts w:eastAsia="Calibri" w:cstheme="minorHAnsi"/>
          <w:sz w:val="24"/>
          <w:szCs w:val="24"/>
        </w:rPr>
        <w:t xml:space="preserve"> lyginam</w:t>
      </w:r>
      <w:r>
        <w:rPr>
          <w:rFonts w:eastAsia="Calibri" w:cstheme="minorHAnsi"/>
          <w:sz w:val="24"/>
          <w:szCs w:val="24"/>
        </w:rPr>
        <w:t>ąjį</w:t>
      </w:r>
      <w:r w:rsidRPr="00AD0172">
        <w:rPr>
          <w:rFonts w:eastAsia="Calibri" w:cstheme="minorHAnsi"/>
          <w:sz w:val="24"/>
          <w:szCs w:val="24"/>
        </w:rPr>
        <w:t xml:space="preserve"> svor</w:t>
      </w:r>
      <w:r>
        <w:rPr>
          <w:rFonts w:eastAsia="Calibri" w:cstheme="minorHAnsi"/>
          <w:sz w:val="24"/>
          <w:szCs w:val="24"/>
        </w:rPr>
        <w:t>į</w:t>
      </w:r>
      <w:r w:rsidRPr="00AD0172">
        <w:rPr>
          <w:rFonts w:eastAsia="Calibri" w:cstheme="minorHAnsi"/>
          <w:sz w:val="24"/>
          <w:szCs w:val="24"/>
        </w:rPr>
        <w:t>, Perkančioji organizacija atliko simuliacijas, ar įsivertino, kiek „kainuoja</w:t>
      </w:r>
      <w:r>
        <w:rPr>
          <w:rFonts w:eastAsia="Calibri" w:cstheme="minorHAnsi"/>
          <w:sz w:val="24"/>
          <w:szCs w:val="24"/>
        </w:rPr>
        <w:t>“</w:t>
      </w:r>
      <w:r w:rsidRPr="00AD0172">
        <w:rPr>
          <w:rFonts w:eastAsia="Calibri" w:cstheme="minorHAnsi"/>
          <w:sz w:val="24"/>
          <w:szCs w:val="24"/>
        </w:rPr>
        <w:t xml:space="preserve"> </w:t>
      </w:r>
      <w:r>
        <w:rPr>
          <w:rFonts w:eastAsia="Calibri" w:cstheme="minorHAnsi"/>
          <w:sz w:val="24"/>
          <w:szCs w:val="24"/>
        </w:rPr>
        <w:t>šis</w:t>
      </w:r>
      <w:r w:rsidRPr="00AD0172">
        <w:rPr>
          <w:rFonts w:eastAsia="Calibri" w:cstheme="minorHAnsi"/>
          <w:sz w:val="24"/>
          <w:szCs w:val="24"/>
        </w:rPr>
        <w:t xml:space="preserve"> kriterijus, ar nustatyti balai kokybiniam kriterijui yra proporcingi gaunamai ekonominei naudai?</w:t>
      </w:r>
    </w:p>
    <w:p w14:paraId="4367934C" w14:textId="77777777" w:rsidR="00441433" w:rsidRPr="0016271A" w:rsidRDefault="00441433" w:rsidP="00441433">
      <w:pPr>
        <w:pStyle w:val="ListParagraph"/>
        <w:numPr>
          <w:ilvl w:val="0"/>
          <w:numId w:val="1"/>
        </w:numPr>
        <w:tabs>
          <w:tab w:val="left" w:pos="993"/>
        </w:tabs>
        <w:spacing w:after="0" w:line="276" w:lineRule="auto"/>
        <w:ind w:left="0" w:firstLine="709"/>
        <w:textAlignment w:val="baseline"/>
        <w:rPr>
          <w:rFonts w:cstheme="minorHAnsi"/>
          <w:b/>
          <w:bCs/>
        </w:rPr>
      </w:pPr>
      <w:r w:rsidRPr="0016271A">
        <w:rPr>
          <w:rFonts w:eastAsia="Times New Roman" w:cstheme="minorHAnsi"/>
          <w:b/>
          <w:bCs/>
          <w:sz w:val="24"/>
          <w:szCs w:val="24"/>
          <w:lang w:val="lt"/>
        </w:rPr>
        <w:t xml:space="preserve">Dėl ekonominio naudingumo kriterijų </w:t>
      </w:r>
      <w:proofErr w:type="spellStart"/>
      <w:r w:rsidRPr="0016271A">
        <w:rPr>
          <w:rFonts w:eastAsia="Times New Roman" w:cstheme="minorHAnsi"/>
          <w:b/>
          <w:bCs/>
          <w:sz w:val="24"/>
          <w:szCs w:val="24"/>
          <w:lang w:val="lt"/>
        </w:rPr>
        <w:t>sąsajumo</w:t>
      </w:r>
      <w:proofErr w:type="spellEnd"/>
      <w:r w:rsidRPr="0016271A">
        <w:rPr>
          <w:rFonts w:eastAsia="Times New Roman" w:cstheme="minorHAnsi"/>
          <w:b/>
          <w:bCs/>
          <w:sz w:val="24"/>
          <w:szCs w:val="24"/>
          <w:lang w:val="lt"/>
        </w:rPr>
        <w:t xml:space="preserve"> su Pirkimo sutartimi</w:t>
      </w:r>
    </w:p>
    <w:p w14:paraId="778AABCA" w14:textId="77777777" w:rsidR="00441433" w:rsidRPr="00AD0172" w:rsidRDefault="00441433" w:rsidP="00441433">
      <w:pPr>
        <w:spacing w:after="0" w:line="276" w:lineRule="auto"/>
        <w:ind w:firstLine="709"/>
        <w:rPr>
          <w:rFonts w:cstheme="minorHAnsi"/>
        </w:rPr>
      </w:pPr>
      <w:r w:rsidRPr="00AD0172">
        <w:rPr>
          <w:rFonts w:eastAsia="Times New Roman" w:cstheme="minorHAnsi"/>
          <w:sz w:val="24"/>
          <w:szCs w:val="24"/>
          <w:lang w:val="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 aiškiai nustatytos  sankcijos.</w:t>
      </w:r>
    </w:p>
    <w:p w14:paraId="1DED54C7" w14:textId="77777777" w:rsidR="00441433" w:rsidRDefault="00441433" w:rsidP="00441433">
      <w:pPr>
        <w:spacing w:after="0" w:line="276" w:lineRule="auto"/>
        <w:ind w:firstLine="709"/>
        <w:rPr>
          <w:rFonts w:eastAsia="Calibri" w:cstheme="minorHAnsi"/>
          <w:sz w:val="24"/>
          <w:szCs w:val="24"/>
        </w:rPr>
      </w:pPr>
      <w:r w:rsidRPr="00AD0172">
        <w:rPr>
          <w:rFonts w:eastAsia="Times New Roman" w:cstheme="minorHAnsi"/>
          <w:sz w:val="24"/>
          <w:szCs w:val="24"/>
          <w:lang w:val="lt"/>
        </w:rPr>
        <w:t>Pažymėtina, kad tiekėjo įsipareigojimai dėl privalomojo garantinio termino yra nustatyti Civilinio kodekso 6.698 straipsnyje (5 metai, iš kurių tik treji pagal Statybos įstatymą privalomai užtikrinami banko garantija ar draudimo bendrovės laidavimu). Tarnyba prašo paaiškinti, kur Sutarties projekte nurodyta (nurodykite konkrečius Sutarties projekto punktus), kokios užtikrinimo priemonės bus taikomos, jei tiekėjas per papildomą garantinį terminą (pasibaigus sutarčiai ir praėjus 5 privalomos garantijos terminui) nesilaikys savo deklaruotų įsipareigojimų, už kuriuos vertinant pasiūlymą gavo balus?</w:t>
      </w:r>
      <w:r>
        <w:rPr>
          <w:rFonts w:eastAsia="Times New Roman" w:cstheme="minorHAnsi"/>
          <w:sz w:val="24"/>
          <w:szCs w:val="24"/>
          <w:lang w:val="lt"/>
        </w:rPr>
        <w:t xml:space="preserve"> Tarnyba atkreipia dėmesį į tai, kad sankcijos rangovui turi būti </w:t>
      </w:r>
      <w:r w:rsidRPr="00812AAB">
        <w:rPr>
          <w:rFonts w:eastAsia="Times New Roman" w:cstheme="minorHAnsi"/>
          <w:sz w:val="24"/>
          <w:szCs w:val="24"/>
          <w:lang w:val="lt"/>
        </w:rPr>
        <w:t xml:space="preserve">proporcingos kriterijų vertei, Pirkimo svarbai ir tikėtinoms prievolių neįvykdymo neigiamoms pasekmėms, jos </w:t>
      </w:r>
      <w:r>
        <w:rPr>
          <w:rFonts w:eastAsia="Times New Roman" w:cstheme="minorHAnsi"/>
          <w:sz w:val="24"/>
          <w:szCs w:val="24"/>
          <w:lang w:val="lt"/>
        </w:rPr>
        <w:t>taip pat turi būti</w:t>
      </w:r>
      <w:r w:rsidRPr="00812AAB">
        <w:rPr>
          <w:rFonts w:eastAsia="Times New Roman" w:cstheme="minorHAnsi"/>
          <w:sz w:val="24"/>
          <w:szCs w:val="24"/>
          <w:lang w:val="lt"/>
        </w:rPr>
        <w:t xml:space="preserve"> „atgrasančios“ ir užtikrin</w:t>
      </w:r>
      <w:r>
        <w:rPr>
          <w:rFonts w:eastAsia="Times New Roman" w:cstheme="minorHAnsi"/>
          <w:sz w:val="24"/>
          <w:szCs w:val="24"/>
          <w:lang w:val="lt"/>
        </w:rPr>
        <w:t>ti</w:t>
      </w:r>
      <w:r w:rsidRPr="00812AAB">
        <w:rPr>
          <w:rFonts w:eastAsia="Times New Roman" w:cstheme="minorHAnsi"/>
          <w:sz w:val="24"/>
          <w:szCs w:val="24"/>
          <w:lang w:val="lt"/>
        </w:rPr>
        <w:t xml:space="preserve">, kad Pirkimą laimėjęs tiekėjas deklaruotus ir prisiimamus </w:t>
      </w:r>
      <w:r w:rsidRPr="00812AAB">
        <w:rPr>
          <w:rFonts w:eastAsia="Calibri" w:cstheme="minorHAnsi"/>
          <w:sz w:val="24"/>
          <w:szCs w:val="24"/>
        </w:rPr>
        <w:t xml:space="preserve">įsipareigojimus sutarties vykdymo metu (papildomo garantinio termino atveju – </w:t>
      </w:r>
      <w:r>
        <w:rPr>
          <w:rFonts w:eastAsia="Calibri" w:cstheme="minorHAnsi"/>
          <w:sz w:val="24"/>
          <w:szCs w:val="24"/>
        </w:rPr>
        <w:t xml:space="preserve">pasibaigus sutarčiai ir </w:t>
      </w:r>
      <w:r w:rsidRPr="00812AAB">
        <w:rPr>
          <w:rFonts w:eastAsia="Calibri" w:cstheme="minorHAnsi"/>
          <w:sz w:val="24"/>
          <w:szCs w:val="24"/>
        </w:rPr>
        <w:t>praėjus 5 metų privalomos garantijos terminui) vykdytų tinkamai</w:t>
      </w:r>
      <w:r>
        <w:rPr>
          <w:rFonts w:eastAsia="Calibri" w:cstheme="minorHAnsi"/>
          <w:sz w:val="24"/>
          <w:szCs w:val="24"/>
        </w:rPr>
        <w:t>. Taip pat nurodykite, kuriame Sutarties punkte nurodyta rangovo papildoma statinio garantinio termino trukmė (jei tiekėjas, teikdamas pasiūlymą, įsipareigos taikyti papildomą garantinį laikotarpį).</w:t>
      </w:r>
    </w:p>
    <w:p w14:paraId="34DA1B74" w14:textId="77777777" w:rsidR="00441433" w:rsidRPr="009D16C6" w:rsidRDefault="00441433" w:rsidP="00441433">
      <w:pPr>
        <w:pStyle w:val="ListParagraph"/>
        <w:numPr>
          <w:ilvl w:val="0"/>
          <w:numId w:val="1"/>
        </w:numPr>
        <w:tabs>
          <w:tab w:val="left" w:pos="993"/>
        </w:tabs>
        <w:spacing w:after="0" w:line="276" w:lineRule="auto"/>
        <w:ind w:left="0" w:firstLine="709"/>
        <w:textAlignment w:val="baseline"/>
        <w:rPr>
          <w:rFonts w:eastAsia="Times New Roman" w:cstheme="minorHAnsi"/>
          <w:b/>
          <w:bCs/>
          <w:sz w:val="24"/>
          <w:szCs w:val="24"/>
          <w:lang w:eastAsia="lt-LT"/>
        </w:rPr>
      </w:pPr>
      <w:r w:rsidRPr="009D16C6">
        <w:rPr>
          <w:rFonts w:eastAsia="Times New Roman" w:cstheme="minorHAnsi"/>
          <w:b/>
          <w:bCs/>
          <w:sz w:val="24"/>
          <w:szCs w:val="24"/>
          <w:lang w:eastAsia="lt-LT"/>
        </w:rPr>
        <w:t>Dėl kitų pirkimo sąlygų netikslumų</w:t>
      </w:r>
    </w:p>
    <w:p w14:paraId="2E5BFDB8" w14:textId="77777777" w:rsidR="00441433" w:rsidRPr="004443D5" w:rsidRDefault="00441433" w:rsidP="00441433">
      <w:pPr>
        <w:pStyle w:val="ListParagraph"/>
        <w:numPr>
          <w:ilvl w:val="1"/>
          <w:numId w:val="2"/>
        </w:numPr>
        <w:tabs>
          <w:tab w:val="left" w:pos="1276"/>
        </w:tabs>
        <w:spacing w:after="0" w:line="276" w:lineRule="auto"/>
        <w:ind w:left="0" w:firstLine="709"/>
        <w:textAlignment w:val="baseline"/>
        <w:rPr>
          <w:rFonts w:eastAsia="Times New Roman" w:cstheme="minorHAnsi"/>
          <w:sz w:val="24"/>
          <w:szCs w:val="24"/>
          <w:lang w:eastAsia="lt-LT"/>
        </w:rPr>
      </w:pPr>
      <w:r w:rsidRPr="004443D5">
        <w:rPr>
          <w:rFonts w:eastAsia="Times New Roman" w:cstheme="minorHAnsi"/>
          <w:sz w:val="24"/>
          <w:szCs w:val="24"/>
          <w:lang w:eastAsia="lt-LT"/>
        </w:rPr>
        <w:t>Skelbimo apie pirkimą III.2.2 punkte bei Sutarties projekto 7.1 punkte nurodyta, kad „</w:t>
      </w:r>
      <w:r w:rsidRPr="004443D5">
        <w:rPr>
          <w:rFonts w:eastAsia="Times New Roman" w:cstheme="minorHAnsi"/>
          <w:i/>
          <w:iCs/>
          <w:sz w:val="24"/>
          <w:szCs w:val="24"/>
          <w:lang w:eastAsia="lt-LT"/>
        </w:rPr>
        <w:t>Tiekėjas per 7 (septynias) darbo dienas po sutarties pasirašymo pateikia užsakovui</w:t>
      </w:r>
      <w:r w:rsidRPr="004443D5">
        <w:rPr>
          <w:rFonts w:eastAsia="Times New Roman" w:cstheme="minorHAnsi"/>
          <w:i/>
          <w:iCs/>
          <w:sz w:val="24"/>
          <w:szCs w:val="24"/>
          <w:u w:val="single"/>
          <w:lang w:eastAsia="lt-LT"/>
        </w:rPr>
        <w:t xml:space="preserve"> </w:t>
      </w:r>
      <w:r w:rsidRPr="009D16C6">
        <w:rPr>
          <w:rFonts w:eastAsia="Times New Roman" w:cstheme="minorHAnsi"/>
          <w:b/>
          <w:bCs/>
          <w:i/>
          <w:iCs/>
          <w:sz w:val="24"/>
          <w:szCs w:val="24"/>
          <w:lang w:eastAsia="lt-LT"/>
        </w:rPr>
        <w:t>sutarties įvykdymo užtikrinimą</w:t>
      </w:r>
      <w:r w:rsidRPr="004443D5">
        <w:rPr>
          <w:rFonts w:eastAsia="Times New Roman" w:cstheme="minorHAnsi"/>
          <w:i/>
          <w:iCs/>
          <w:sz w:val="24"/>
          <w:szCs w:val="24"/>
          <w:lang w:eastAsia="lt-LT"/>
        </w:rPr>
        <w:t xml:space="preserve"> – banko garantiją arba draudimo bendrovės laidavimą (kartu su </w:t>
      </w:r>
      <w:r w:rsidRPr="009D16C6">
        <w:rPr>
          <w:rFonts w:eastAsia="Times New Roman" w:cstheme="minorHAnsi"/>
          <w:b/>
          <w:bCs/>
          <w:i/>
          <w:iCs/>
          <w:sz w:val="24"/>
          <w:szCs w:val="24"/>
          <w:lang w:eastAsia="lt-LT"/>
        </w:rPr>
        <w:t>pasiūlymo</w:t>
      </w:r>
      <w:r w:rsidRPr="009D16C6">
        <w:rPr>
          <w:rFonts w:eastAsia="Times New Roman" w:cstheme="minorHAnsi"/>
          <w:i/>
          <w:iCs/>
          <w:sz w:val="24"/>
          <w:szCs w:val="24"/>
          <w:lang w:eastAsia="lt-LT"/>
        </w:rPr>
        <w:t xml:space="preserve"> </w:t>
      </w:r>
      <w:r w:rsidRPr="004443D5">
        <w:rPr>
          <w:rFonts w:eastAsia="Times New Roman" w:cstheme="minorHAnsi"/>
          <w:i/>
          <w:iCs/>
          <w:sz w:val="24"/>
          <w:szCs w:val="24"/>
          <w:lang w:eastAsia="lt-LT"/>
        </w:rPr>
        <w:t xml:space="preserve">laidavimo draudimo raštu turi būti pateiktas ir pasirašytas draudimo liudijimas (polisas) &lt;...&gt;“ </w:t>
      </w:r>
      <w:r w:rsidRPr="004443D5">
        <w:rPr>
          <w:rFonts w:eastAsia="Times New Roman" w:cstheme="minorHAnsi"/>
          <w:sz w:val="24"/>
          <w:szCs w:val="24"/>
          <w:lang w:eastAsia="lt-LT"/>
        </w:rPr>
        <w:t>(toliau – sutarties įvykdymo užtikrinimas). Tarnyba rekomenduoja tikslinti šiuos punktus, nes juose aptariamas sutarties įvykdymo užtikrinimas, bet ne pasiūlymo galiojimo užtikrinimas.</w:t>
      </w:r>
    </w:p>
    <w:p w14:paraId="1A2147C0" w14:textId="77777777" w:rsidR="00441433" w:rsidRPr="006D730F" w:rsidRDefault="00441433" w:rsidP="00441433">
      <w:pPr>
        <w:pStyle w:val="ListParagraph"/>
        <w:numPr>
          <w:ilvl w:val="1"/>
          <w:numId w:val="2"/>
        </w:numPr>
        <w:tabs>
          <w:tab w:val="left" w:pos="1276"/>
        </w:tabs>
        <w:spacing w:after="0" w:line="276" w:lineRule="auto"/>
        <w:ind w:left="0" w:firstLine="709"/>
        <w:textAlignment w:val="baseline"/>
        <w:rPr>
          <w:rFonts w:eastAsia="Times New Roman" w:cstheme="minorHAnsi"/>
          <w:sz w:val="24"/>
          <w:szCs w:val="24"/>
          <w:lang w:eastAsia="lt-LT"/>
        </w:rPr>
      </w:pPr>
      <w:r w:rsidRPr="1EBE4125">
        <w:rPr>
          <w:rFonts w:eastAsia="Times New Roman"/>
          <w:sz w:val="24"/>
          <w:szCs w:val="24"/>
          <w:lang w:eastAsia="lt-LT"/>
        </w:rPr>
        <w:lastRenderedPageBreak/>
        <w:t xml:space="preserve">Skelbimo apie pirkimą III.2.2 punkte nurodyta, kad Sutarties įvykdymas gali būti užtikrinamas </w:t>
      </w:r>
      <w:r w:rsidRPr="00D76495">
        <w:rPr>
          <w:rFonts w:eastAsia="Times New Roman"/>
          <w:b/>
          <w:sz w:val="24"/>
          <w:szCs w:val="24"/>
          <w:lang w:eastAsia="lt-LT"/>
        </w:rPr>
        <w:t>banko garantija</w:t>
      </w:r>
      <w:r w:rsidRPr="1EBE4125">
        <w:rPr>
          <w:rFonts w:eastAsia="Times New Roman"/>
          <w:sz w:val="24"/>
          <w:szCs w:val="24"/>
          <w:lang w:eastAsia="lt-LT"/>
        </w:rPr>
        <w:t xml:space="preserve"> arba </w:t>
      </w:r>
      <w:r w:rsidRPr="00D76495">
        <w:rPr>
          <w:rFonts w:eastAsia="Times New Roman"/>
          <w:b/>
          <w:sz w:val="24"/>
          <w:szCs w:val="24"/>
          <w:lang w:eastAsia="lt-LT"/>
        </w:rPr>
        <w:t>draudimo bendrovės laidavimu</w:t>
      </w:r>
      <w:r w:rsidRPr="1EBE4125">
        <w:rPr>
          <w:rFonts w:eastAsia="Times New Roman"/>
          <w:sz w:val="24"/>
          <w:szCs w:val="24"/>
          <w:lang w:eastAsia="lt-LT"/>
        </w:rPr>
        <w:t>. Įvertinus Sutarties projekto 7.3 punktą</w:t>
      </w:r>
      <w:r w:rsidRPr="1EBE4125">
        <w:rPr>
          <w:rStyle w:val="FootnoteReference"/>
          <w:rFonts w:eastAsia="Times New Roman"/>
          <w:sz w:val="24"/>
          <w:szCs w:val="24"/>
          <w:lang w:eastAsia="lt-LT"/>
        </w:rPr>
        <w:footnoteReference w:id="3"/>
      </w:r>
      <w:r w:rsidRPr="1EBE4125">
        <w:rPr>
          <w:rFonts w:eastAsia="Times New Roman"/>
          <w:sz w:val="24"/>
          <w:szCs w:val="24"/>
          <w:lang w:eastAsia="lt-LT"/>
        </w:rPr>
        <w:t xml:space="preserve"> bei Specialiųjų pirkimo sąlygų 7.6.7 punktą</w:t>
      </w:r>
      <w:r w:rsidRPr="1EBE4125">
        <w:rPr>
          <w:rStyle w:val="FootnoteReference"/>
          <w:rFonts w:eastAsia="Times New Roman"/>
          <w:sz w:val="24"/>
          <w:szCs w:val="24"/>
          <w:lang w:eastAsia="lt-LT"/>
        </w:rPr>
        <w:footnoteReference w:id="4"/>
      </w:r>
      <w:r w:rsidRPr="1EBE4125">
        <w:rPr>
          <w:rFonts w:eastAsia="Times New Roman"/>
          <w:sz w:val="24"/>
          <w:szCs w:val="24"/>
          <w:lang w:eastAsia="lt-LT"/>
        </w:rPr>
        <w:t xml:space="preserve">, pažymėtina, kad be banko garantijos ir draudimo bendrovės laidavimo, sutarties įvykdymas gali būti užtikrinamas ir </w:t>
      </w:r>
      <w:r w:rsidRPr="00D76495">
        <w:rPr>
          <w:rFonts w:eastAsia="Times New Roman"/>
          <w:b/>
          <w:sz w:val="24"/>
          <w:szCs w:val="24"/>
          <w:lang w:eastAsia="lt-LT"/>
        </w:rPr>
        <w:t>užstatu</w:t>
      </w:r>
      <w:r w:rsidRPr="1EBE4125">
        <w:rPr>
          <w:rFonts w:eastAsia="Times New Roman"/>
          <w:sz w:val="24"/>
          <w:szCs w:val="24"/>
          <w:lang w:eastAsia="lt-LT"/>
        </w:rPr>
        <w:t>. Atsižvelgiant į tai, kas nurodyta, rekomenduotina patikslinti Skelbimo apie pirkimą informaciją, susijusią su sutarties įvykdymo užtikrinimu.</w:t>
      </w:r>
    </w:p>
    <w:p w14:paraId="09CA444E" w14:textId="77777777" w:rsidR="00441433" w:rsidRPr="006E773C" w:rsidRDefault="00441433" w:rsidP="00441433">
      <w:pPr>
        <w:pStyle w:val="ListParagraph"/>
        <w:numPr>
          <w:ilvl w:val="0"/>
          <w:numId w:val="2"/>
        </w:numPr>
        <w:tabs>
          <w:tab w:val="left" w:pos="1134"/>
        </w:tabs>
        <w:spacing w:after="0" w:line="276" w:lineRule="auto"/>
        <w:ind w:left="0" w:firstLine="709"/>
        <w:textAlignment w:val="baseline"/>
        <w:rPr>
          <w:rFonts w:eastAsia="Times New Roman" w:cstheme="minorHAnsi"/>
          <w:b/>
          <w:bCs/>
          <w:sz w:val="24"/>
          <w:szCs w:val="24"/>
          <w:lang w:eastAsia="lt-LT"/>
        </w:rPr>
      </w:pPr>
      <w:r w:rsidRPr="006E773C">
        <w:rPr>
          <w:rFonts w:eastAsia="Times New Roman" w:cstheme="minorHAnsi"/>
          <w:b/>
          <w:bCs/>
          <w:sz w:val="24"/>
          <w:szCs w:val="24"/>
          <w:lang w:eastAsia="lt-LT"/>
        </w:rPr>
        <w:t>Dėl Sutarties projekto nuostatų netikslumų</w:t>
      </w:r>
    </w:p>
    <w:p w14:paraId="2FAB169D" w14:textId="77777777" w:rsidR="00441433" w:rsidRPr="006E773C" w:rsidRDefault="00441433" w:rsidP="00441433">
      <w:pPr>
        <w:pStyle w:val="ListParagraph"/>
        <w:numPr>
          <w:ilvl w:val="1"/>
          <w:numId w:val="2"/>
        </w:numPr>
        <w:tabs>
          <w:tab w:val="left" w:pos="1134"/>
        </w:tabs>
        <w:spacing w:after="0" w:line="276" w:lineRule="auto"/>
        <w:ind w:left="0" w:firstLine="709"/>
        <w:rPr>
          <w:rFonts w:cstheme="minorHAnsi"/>
          <w:sz w:val="24"/>
          <w:szCs w:val="24"/>
        </w:rPr>
      </w:pPr>
      <w:r w:rsidRPr="006E773C">
        <w:rPr>
          <w:rFonts w:eastAsia="Times New Roman" w:cstheme="minorHAnsi"/>
          <w:color w:val="000000" w:themeColor="text1"/>
          <w:sz w:val="24"/>
          <w:szCs w:val="24"/>
          <w:lang w:val="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Sutarties projektą, todėl Tarnyba rekomenduoja patikslinti Sutarties projektą.</w:t>
      </w:r>
    </w:p>
    <w:p w14:paraId="518F5A4E" w14:textId="77777777" w:rsidR="00441433" w:rsidRPr="006E773C" w:rsidRDefault="00441433" w:rsidP="00441433">
      <w:pPr>
        <w:pStyle w:val="ListParagraph"/>
        <w:numPr>
          <w:ilvl w:val="1"/>
          <w:numId w:val="2"/>
        </w:numPr>
        <w:tabs>
          <w:tab w:val="left" w:pos="1134"/>
        </w:tabs>
        <w:spacing w:after="0" w:line="276" w:lineRule="auto"/>
        <w:ind w:left="0" w:firstLine="709"/>
        <w:textAlignment w:val="baseline"/>
        <w:rPr>
          <w:rFonts w:eastAsia="Times New Roman" w:cstheme="minorHAnsi"/>
          <w:sz w:val="24"/>
          <w:szCs w:val="24"/>
        </w:rPr>
      </w:pPr>
      <w:r w:rsidRPr="006E773C">
        <w:rPr>
          <w:rFonts w:eastAsia="Times New Roman" w:cstheme="minorHAnsi"/>
          <w:sz w:val="24"/>
          <w:szCs w:val="24"/>
        </w:rPr>
        <w:t>Sutarties projekto 10.12.3 punkto nuostata „</w:t>
      </w:r>
      <w:r w:rsidRPr="006E773C">
        <w:rPr>
          <w:rFonts w:eastAsia="Times New Roman" w:cstheme="minorHAnsi"/>
          <w:i/>
          <w:iCs/>
          <w:sz w:val="24"/>
          <w:szCs w:val="24"/>
        </w:rPr>
        <w:t xml:space="preserve">&lt;...&gt; naujo specialisto dokumentus, įrodančius, kad jo </w:t>
      </w:r>
      <w:r w:rsidRPr="006E773C">
        <w:rPr>
          <w:rFonts w:eastAsia="Times New Roman" w:cstheme="minorHAnsi"/>
          <w:i/>
          <w:iCs/>
          <w:sz w:val="24"/>
          <w:szCs w:val="24"/>
          <w:u w:val="single"/>
        </w:rPr>
        <w:t>ekonominio naudingumo vertinimas, ne prastesnis nei pagal rangovo pateiktą pasiūlymą</w:t>
      </w:r>
      <w:r w:rsidRPr="006E773C">
        <w:rPr>
          <w:rFonts w:eastAsia="Times New Roman" w:cstheme="minorHAnsi"/>
          <w:i/>
          <w:iCs/>
          <w:sz w:val="24"/>
          <w:szCs w:val="24"/>
        </w:rPr>
        <w:t>“</w:t>
      </w:r>
      <w:r w:rsidRPr="006E773C">
        <w:rPr>
          <w:rFonts w:eastAsia="Times New Roman" w:cstheme="minorHAnsi"/>
          <w:sz w:val="24"/>
          <w:szCs w:val="24"/>
        </w:rPr>
        <w:t xml:space="preserve"> turi būti tikslinama, nes šiuo atveju ekonominio naudingumo vertinimo kriterijai specialistui nebuvo nustatyti.</w:t>
      </w:r>
    </w:p>
    <w:p w14:paraId="038830F1" w14:textId="77777777" w:rsidR="00441433" w:rsidRPr="006E773C" w:rsidRDefault="00441433" w:rsidP="00441433">
      <w:pPr>
        <w:pStyle w:val="ListParagraph"/>
        <w:numPr>
          <w:ilvl w:val="1"/>
          <w:numId w:val="2"/>
        </w:numPr>
        <w:tabs>
          <w:tab w:val="left" w:pos="851"/>
          <w:tab w:val="left" w:pos="1134"/>
        </w:tabs>
        <w:spacing w:after="0" w:line="276" w:lineRule="auto"/>
        <w:ind w:left="0" w:firstLine="709"/>
        <w:rPr>
          <w:rFonts w:eastAsia="Times New Roman" w:cstheme="minorHAnsi"/>
          <w:sz w:val="24"/>
          <w:szCs w:val="24"/>
          <w:lang w:eastAsia="lt-LT"/>
        </w:rPr>
      </w:pPr>
      <w:r w:rsidRPr="006E773C">
        <w:rPr>
          <w:rFonts w:eastAsia="Times New Roman" w:cstheme="minorHAnsi"/>
          <w:color w:val="000000" w:themeColor="text1"/>
          <w:sz w:val="24"/>
          <w:szCs w:val="24"/>
        </w:rPr>
        <w:t>Sutarties projekto 5.22 punkte nustatyta, kad „</w:t>
      </w:r>
      <w:r w:rsidRPr="006E773C">
        <w:rPr>
          <w:rFonts w:eastAsia="Times New Roman" w:cstheme="minorHAnsi"/>
          <w:i/>
          <w:iCs/>
          <w:sz w:val="24"/>
          <w:szCs w:val="24"/>
          <w:lang w:eastAsia="lt-LT"/>
        </w:rPr>
        <w:t xml:space="preserve">Rangovas savo sąskaita privalo objekte įrengti informacinį stendą, vadovaudamasis statybos įstatymu ir reglamento (ES Nr. 1303/2013 nuostatomis (detali informacija </w:t>
      </w:r>
      <w:hyperlink r:id="rId9" w:history="1">
        <w:r w:rsidRPr="006E773C">
          <w:rPr>
            <w:rFonts w:eastAsia="Times New Roman" w:cstheme="minorHAnsi"/>
            <w:i/>
            <w:iCs/>
            <w:color w:val="0563C1" w:themeColor="hyperlink"/>
            <w:sz w:val="24"/>
            <w:szCs w:val="24"/>
            <w:u w:val="single"/>
            <w:lang w:eastAsia="lt-LT"/>
          </w:rPr>
          <w:t>http://www.esinvesticijos.lt</w:t>
        </w:r>
      </w:hyperlink>
      <w:r w:rsidRPr="006E773C">
        <w:rPr>
          <w:rFonts w:eastAsia="Times New Roman" w:cstheme="minorHAnsi"/>
          <w:i/>
          <w:iCs/>
          <w:sz w:val="24"/>
          <w:szCs w:val="24"/>
          <w:lang w:eastAsia="lt-LT"/>
        </w:rPr>
        <w:t>), suderinęs jį su užsakovu</w:t>
      </w:r>
      <w:r w:rsidRPr="006E773C">
        <w:rPr>
          <w:rFonts w:eastAsia="Times New Roman" w:cstheme="minorHAnsi"/>
          <w:sz w:val="24"/>
          <w:szCs w:val="24"/>
          <w:lang w:eastAsia="lt-LT"/>
        </w:rPr>
        <w:t>“. Atsižvelgiant į tai, kad šis Pirkimas nėra susijęs su projektu ir (arba) programa, finansuojama iš Europos Sąjungos lėšų (Skelbimo apie pirkimą II.2.13 punktas), rekomenduotina atsisakyti šios Sutarties projekto nuostatos.</w:t>
      </w:r>
    </w:p>
    <w:p w14:paraId="1ACA2F6C" w14:textId="77777777" w:rsidR="00441433" w:rsidRPr="006E773C" w:rsidRDefault="00441433" w:rsidP="00441433">
      <w:pPr>
        <w:pStyle w:val="ListParagraph"/>
        <w:numPr>
          <w:ilvl w:val="1"/>
          <w:numId w:val="2"/>
        </w:numPr>
        <w:tabs>
          <w:tab w:val="left" w:pos="851"/>
          <w:tab w:val="left" w:pos="1134"/>
        </w:tabs>
        <w:spacing w:after="0" w:line="276" w:lineRule="auto"/>
        <w:ind w:left="0" w:firstLine="709"/>
        <w:rPr>
          <w:rFonts w:eastAsia="Times New Roman" w:cstheme="minorHAnsi"/>
          <w:sz w:val="24"/>
          <w:szCs w:val="24"/>
          <w:lang w:eastAsia="lt-LT"/>
        </w:rPr>
      </w:pPr>
      <w:r w:rsidRPr="006E773C">
        <w:rPr>
          <w:rFonts w:eastAsia="Times New Roman" w:cstheme="minorHAnsi"/>
          <w:sz w:val="24"/>
          <w:szCs w:val="24"/>
          <w:lang w:eastAsia="lt-LT"/>
        </w:rPr>
        <w:t>Sutarties projekto 10.3.2 punkte pateikta neteisinga nuoroda į Sutarties projekto 10.4.3 punktą. Atsižvelgiant į tai, rekomenduotina tikslinti Sutarties projekto 10.3.2 punktą.</w:t>
      </w:r>
    </w:p>
    <w:p w14:paraId="1D399211" w14:textId="77777777" w:rsidR="00441433" w:rsidRPr="006E773C" w:rsidRDefault="00441433" w:rsidP="00441433">
      <w:pPr>
        <w:spacing w:line="276" w:lineRule="auto"/>
        <w:ind w:firstLine="709"/>
        <w:rPr>
          <w:rFonts w:cstheme="minorHAnsi"/>
          <w:sz w:val="24"/>
          <w:szCs w:val="24"/>
        </w:rPr>
      </w:pPr>
      <w:r w:rsidRPr="006E773C">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363DE179" w14:textId="3CB2C49D" w:rsidR="00D64E2E" w:rsidRDefault="00441433" w:rsidP="00441433">
      <w:pPr>
        <w:spacing w:after="0" w:line="276" w:lineRule="auto"/>
        <w:ind w:firstLine="709"/>
      </w:pPr>
      <w:r w:rsidRPr="006E773C">
        <w:rPr>
          <w:sz w:val="24"/>
          <w:szCs w:val="24"/>
        </w:rPr>
        <w:lastRenderedPageBreak/>
        <w:t xml:space="preserve">Pažymėtina, kad visais atvejais sprendimą dėl tolimesnio Pirkimų procedūrų vykdymo ar nutraukimo priima pati Perkančioji organizacija, vadovaudamasi </w:t>
      </w:r>
      <w:r w:rsidRPr="000178E6">
        <w:rPr>
          <w:sz w:val="24"/>
          <w:szCs w:val="24"/>
        </w:rPr>
        <w:t>Įstatymo 29 straipsnio 3</w:t>
      </w:r>
      <w:r w:rsidRPr="000178E6">
        <w:rPr>
          <w:rFonts w:cstheme="minorHAnsi"/>
          <w:sz w:val="24"/>
          <w:szCs w:val="24"/>
          <w:vertAlign w:val="superscript"/>
        </w:rPr>
        <w:footnoteReference w:id="5"/>
      </w:r>
      <w:r w:rsidRPr="000178E6">
        <w:rPr>
          <w:sz w:val="24"/>
          <w:szCs w:val="24"/>
        </w:rPr>
        <w:t xml:space="preserve"> ir 4</w:t>
      </w:r>
      <w:r w:rsidRPr="000178E6">
        <w:rPr>
          <w:rFonts w:cstheme="minorHAnsi"/>
          <w:sz w:val="24"/>
          <w:szCs w:val="24"/>
          <w:vertAlign w:val="superscript"/>
        </w:rPr>
        <w:footnoteReference w:id="6"/>
      </w:r>
      <w:r w:rsidRPr="000178E6">
        <w:rPr>
          <w:sz w:val="24"/>
          <w:szCs w:val="24"/>
          <w:vertAlign w:val="superscript"/>
        </w:rPr>
        <w:t xml:space="preserve"> </w:t>
      </w:r>
      <w:r w:rsidRPr="000178E6">
        <w:rPr>
          <w:sz w:val="24"/>
          <w:szCs w:val="24"/>
        </w:rPr>
        <w:t>dalių nuostatomis.</w:t>
      </w:r>
    </w:p>
    <w:sectPr w:rsidR="00D64E2E" w:rsidSect="00441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F20D" w14:textId="77777777" w:rsidR="00441433" w:rsidRDefault="00441433" w:rsidP="00441433">
      <w:pPr>
        <w:spacing w:after="0" w:line="240" w:lineRule="auto"/>
      </w:pPr>
      <w:r>
        <w:separator/>
      </w:r>
    </w:p>
  </w:endnote>
  <w:endnote w:type="continuationSeparator" w:id="0">
    <w:p w14:paraId="351BE797" w14:textId="77777777" w:rsidR="00441433" w:rsidRDefault="00441433" w:rsidP="0044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F79E" w14:textId="77777777" w:rsidR="00441433" w:rsidRDefault="00441433" w:rsidP="00441433">
      <w:pPr>
        <w:spacing w:after="0" w:line="240" w:lineRule="auto"/>
      </w:pPr>
      <w:r>
        <w:separator/>
      </w:r>
    </w:p>
  </w:footnote>
  <w:footnote w:type="continuationSeparator" w:id="0">
    <w:p w14:paraId="2770038C" w14:textId="77777777" w:rsidR="00441433" w:rsidRDefault="00441433" w:rsidP="00441433">
      <w:pPr>
        <w:spacing w:after="0" w:line="240" w:lineRule="auto"/>
      </w:pPr>
      <w:r>
        <w:continuationSeparator/>
      </w:r>
    </w:p>
  </w:footnote>
  <w:footnote w:id="1">
    <w:p w14:paraId="630F2B94" w14:textId="77777777" w:rsidR="00441433" w:rsidRPr="003F7CFB" w:rsidRDefault="00441433" w:rsidP="00441433">
      <w:pPr>
        <w:pStyle w:val="FootnoteText"/>
        <w:rPr>
          <w:rFonts w:asciiTheme="minorHAnsi" w:hAnsiTheme="minorHAnsi" w:cstheme="minorHAnsi"/>
        </w:rPr>
      </w:pPr>
      <w:r w:rsidRPr="003F7CFB">
        <w:rPr>
          <w:rStyle w:val="FootnoteReference"/>
          <w:rFonts w:asciiTheme="minorHAnsi" w:hAnsiTheme="minorHAnsi" w:cstheme="minorHAnsi"/>
        </w:rPr>
        <w:footnoteRef/>
      </w:r>
      <w:r w:rsidRPr="003F7CFB">
        <w:rPr>
          <w:rFonts w:asciiTheme="minorHAnsi" w:hAnsiTheme="minorHAnsi" w:cstheme="minorHAnsi"/>
        </w:rPr>
        <w:t xml:space="preserve"> Įstatymo 35 straipsnio 4 dalis: „</w:t>
      </w:r>
      <w:r w:rsidRPr="003F7CFB">
        <w:rPr>
          <w:rFonts w:asciiTheme="minorHAnsi" w:hAnsiTheme="minorHAnsi" w:cstheme="minorHAnsi"/>
          <w:i/>
          <w:iCs/>
        </w:rPr>
        <w:t>Perkančioji organizacija pirkimo dokumentus rengia vadovaudamasi šio įstatymo nuostatomis. Pirkimo dokumentai turi būti tikslūs, aiškūs, be dviprasmybių &lt;..&gt;</w:t>
      </w:r>
      <w:r w:rsidRPr="003F7CFB">
        <w:rPr>
          <w:rFonts w:asciiTheme="minorHAnsi" w:hAnsiTheme="minorHAnsi" w:cstheme="minorHAnsi"/>
        </w:rPr>
        <w:t>“</w:t>
      </w:r>
      <w:r w:rsidRPr="003F7CFB">
        <w:rPr>
          <w:rFonts w:asciiTheme="minorHAnsi" w:hAnsiTheme="minorHAnsi" w:cstheme="minorHAnsi"/>
          <w:i/>
          <w:iCs/>
        </w:rPr>
        <w:t>.</w:t>
      </w:r>
    </w:p>
  </w:footnote>
  <w:footnote w:id="2">
    <w:p w14:paraId="5807C5A0" w14:textId="77777777" w:rsidR="00441433" w:rsidRPr="001F12F1" w:rsidRDefault="00441433" w:rsidP="00441433">
      <w:pPr>
        <w:pStyle w:val="FootnoteText"/>
        <w:rPr>
          <w:rFonts w:asciiTheme="minorHAnsi" w:hAnsiTheme="minorHAnsi" w:cstheme="minorHAnsi"/>
          <w:color w:val="000000"/>
        </w:rPr>
      </w:pPr>
      <w:r w:rsidRPr="001F12F1">
        <w:rPr>
          <w:rStyle w:val="FootnoteReference"/>
          <w:rFonts w:asciiTheme="minorHAnsi" w:hAnsiTheme="minorHAnsi" w:cstheme="minorHAnsi"/>
        </w:rPr>
        <w:footnoteRef/>
      </w:r>
      <w:r w:rsidRPr="001F12F1">
        <w:rPr>
          <w:rFonts w:asciiTheme="minorHAnsi" w:hAnsiTheme="minorHAnsi" w:cstheme="minorHAnsi"/>
        </w:rPr>
        <w:t xml:space="preserve"> </w:t>
      </w:r>
      <w:r w:rsidRPr="001F12F1">
        <w:rPr>
          <w:rFonts w:asciiTheme="minorHAnsi" w:eastAsia="Times New Roman" w:hAnsiTheme="minorHAnsi" w:cstheme="minorHAnsi"/>
          <w:lang w:val="lt"/>
        </w:rPr>
        <w:t>Aplinkos apsaugos kriterijų taikymo, vykdant žaliuosius pirkimus, tvarkos aprašas, p</w:t>
      </w:r>
      <w:r w:rsidRPr="001F12F1">
        <w:rPr>
          <w:rFonts w:asciiTheme="minorHAnsi" w:hAnsiTheme="minorHAnsi" w:cstheme="minorHAnsi"/>
          <w:color w:val="000000"/>
        </w:rPr>
        <w:t>atvirtintas Lietuvos Respublikos aplinkos ministro 2011 m. birželio 28 d. įsakymu Nr. D1-508 (Lietuvos Respublikos aplinkos ministro 2022 m. gruodžio 13 d. įsakymo Nr. D1-401 redakcija).</w:t>
      </w:r>
    </w:p>
  </w:footnote>
  <w:footnote w:id="3">
    <w:p w14:paraId="3D356471" w14:textId="77777777" w:rsidR="00441433" w:rsidRPr="004443D5" w:rsidRDefault="00441433" w:rsidP="00441433">
      <w:pPr>
        <w:spacing w:after="0" w:line="240" w:lineRule="auto"/>
        <w:rPr>
          <w:rFonts w:cstheme="minorHAnsi"/>
        </w:rPr>
      </w:pPr>
      <w:r w:rsidRPr="004443D5">
        <w:rPr>
          <w:rStyle w:val="FootnoteReference"/>
          <w:rFonts w:cstheme="minorHAnsi"/>
          <w:sz w:val="20"/>
          <w:szCs w:val="20"/>
        </w:rPr>
        <w:footnoteRef/>
      </w:r>
      <w:r w:rsidRPr="004443D5">
        <w:rPr>
          <w:rFonts w:cstheme="minorHAnsi"/>
          <w:sz w:val="20"/>
          <w:szCs w:val="20"/>
        </w:rPr>
        <w:t xml:space="preserve"> </w:t>
      </w:r>
      <w:r w:rsidRPr="004443D5">
        <w:rPr>
          <w:rFonts w:cstheme="minorHAnsi"/>
          <w:sz w:val="20"/>
          <w:szCs w:val="20"/>
        </w:rPr>
        <w:t>„</w:t>
      </w:r>
      <w:r w:rsidRPr="007A6426">
        <w:rPr>
          <w:rFonts w:cstheme="minorHAnsi"/>
          <w:i/>
          <w:iCs/>
          <w:sz w:val="20"/>
          <w:szCs w:val="20"/>
        </w:rPr>
        <w:t xml:space="preserve">Siekdamas užtikrinti sutarties įvykdymą, tiekėjas per 7 (septynias) darbo dienas nuo šios sutarties pasirašymo dienos vietoje sutarties įvykdymo užtikrinimo dokumento, nurodyto šios sutarties 7.1 punkte, gali </w:t>
      </w:r>
      <w:r w:rsidRPr="007A6426">
        <w:rPr>
          <w:rFonts w:cstheme="minorHAnsi"/>
          <w:i/>
          <w:iCs/>
          <w:sz w:val="20"/>
          <w:szCs w:val="20"/>
          <w:u w:val="single"/>
        </w:rPr>
        <w:t>į užsakovo sąskaitą</w:t>
      </w:r>
      <w:r w:rsidRPr="007A6426">
        <w:rPr>
          <w:rFonts w:cstheme="minorHAnsi"/>
          <w:i/>
          <w:iCs/>
          <w:sz w:val="20"/>
          <w:szCs w:val="20"/>
        </w:rPr>
        <w:t xml:space="preserve"> Nr. LT947181200002130496, esančią AB Šiaulių banke, </w:t>
      </w:r>
      <w:r w:rsidRPr="007A6426">
        <w:rPr>
          <w:rFonts w:cstheme="minorHAnsi"/>
          <w:i/>
          <w:iCs/>
          <w:sz w:val="20"/>
          <w:szCs w:val="20"/>
          <w:u w:val="single"/>
        </w:rPr>
        <w:t>pervesti sumą</w:t>
      </w:r>
      <w:r w:rsidRPr="007A6426">
        <w:rPr>
          <w:rFonts w:cstheme="minorHAnsi"/>
          <w:i/>
          <w:iCs/>
          <w:sz w:val="20"/>
          <w:szCs w:val="20"/>
        </w:rPr>
        <w:t>, ne mažesnę nei 10 (dešimt) procentų sutarties kainos, nurodytos sutarties 3.4 punkte, pavedimo paskirtyje nurodydamas šios sutarties numerį. &lt;...&gt;</w:t>
      </w:r>
      <w:r w:rsidRPr="004443D5">
        <w:rPr>
          <w:rFonts w:cstheme="minorHAnsi"/>
          <w:sz w:val="20"/>
          <w:szCs w:val="20"/>
        </w:rPr>
        <w:t>“.</w:t>
      </w:r>
    </w:p>
  </w:footnote>
  <w:footnote w:id="4">
    <w:p w14:paraId="445B0A4F" w14:textId="77777777" w:rsidR="00441433" w:rsidRDefault="00441433" w:rsidP="00441433">
      <w:pPr>
        <w:tabs>
          <w:tab w:val="left" w:pos="1985"/>
        </w:tabs>
        <w:spacing w:after="0" w:line="240" w:lineRule="auto"/>
      </w:pPr>
      <w:r w:rsidRPr="004443D5">
        <w:rPr>
          <w:rStyle w:val="FootnoteReference"/>
          <w:rFonts w:cstheme="minorHAnsi"/>
          <w:sz w:val="20"/>
          <w:szCs w:val="20"/>
        </w:rPr>
        <w:footnoteRef/>
      </w:r>
      <w:r w:rsidRPr="004443D5">
        <w:rPr>
          <w:rFonts w:cstheme="minorHAnsi"/>
          <w:sz w:val="20"/>
          <w:szCs w:val="20"/>
        </w:rPr>
        <w:t xml:space="preserve"> </w:t>
      </w:r>
      <w:r w:rsidRPr="004443D5">
        <w:rPr>
          <w:rFonts w:cstheme="minorHAnsi"/>
          <w:sz w:val="20"/>
          <w:szCs w:val="20"/>
        </w:rPr>
        <w:t>„</w:t>
      </w:r>
      <w:r w:rsidRPr="007A6426">
        <w:rPr>
          <w:rFonts w:cstheme="minorHAnsi"/>
          <w:i/>
          <w:iCs/>
          <w:sz w:val="20"/>
          <w:szCs w:val="20"/>
        </w:rPr>
        <w:t xml:space="preserve">7.6.7. laimėjęs pirkimą ir pasirašęs sutartį tiekėjas per sutartyje nustatytą terminą nepateikia sutarties įvykdymo užtikrinimo – </w:t>
      </w:r>
      <w:r w:rsidRPr="007A6426">
        <w:rPr>
          <w:rFonts w:cstheme="minorHAnsi"/>
          <w:i/>
          <w:iCs/>
          <w:sz w:val="20"/>
          <w:szCs w:val="20"/>
          <w:u w:val="single"/>
        </w:rPr>
        <w:t>neperveda užstato</w:t>
      </w:r>
      <w:r w:rsidRPr="007A6426">
        <w:rPr>
          <w:rFonts w:cstheme="minorHAnsi"/>
          <w:i/>
          <w:iCs/>
          <w:sz w:val="20"/>
          <w:szCs w:val="20"/>
        </w:rPr>
        <w:t xml:space="preserve"> arba nepateikia sutarties įvykdymą užtikrinančio dokumento</w:t>
      </w:r>
      <w:r w:rsidRPr="004443D5">
        <w:rPr>
          <w:rFonts w:cstheme="minorHAnsi"/>
          <w:sz w:val="20"/>
          <w:szCs w:val="20"/>
        </w:rPr>
        <w:t>“.</w:t>
      </w:r>
    </w:p>
  </w:footnote>
  <w:footnote w:id="5">
    <w:p w14:paraId="73A74892" w14:textId="77777777" w:rsidR="00441433" w:rsidRPr="00914700" w:rsidRDefault="00441433" w:rsidP="00441433">
      <w:pPr>
        <w:pStyle w:val="FootnoteText"/>
        <w:rPr>
          <w:rFonts w:asciiTheme="minorHAnsi" w:hAnsiTheme="minorHAnsi" w:cstheme="minorHAnsi"/>
        </w:rPr>
      </w:pPr>
      <w:r w:rsidRPr="00914700">
        <w:rPr>
          <w:rStyle w:val="FootnoteReference"/>
          <w:rFonts w:asciiTheme="minorHAnsi" w:hAnsiTheme="minorHAnsi" w:cstheme="minorHAnsi"/>
        </w:rPr>
        <w:footnoteRef/>
      </w:r>
      <w:r w:rsidRPr="00914700">
        <w:rPr>
          <w:rFonts w:asciiTheme="minorHAnsi" w:hAnsiTheme="minorHAnsi" w:cstheme="minorHAnsi"/>
        </w:rPr>
        <w:t xml:space="preserve"> </w:t>
      </w:r>
      <w:r w:rsidRPr="00914700">
        <w:rPr>
          <w:rFonts w:asciiTheme="minorHAnsi" w:hAnsiTheme="minorHAnsi" w:cstheme="minorHAnsi"/>
        </w:rPr>
        <w:t>Įstatymo 29 straipsnio 3 dalis „</w:t>
      </w:r>
      <w:r w:rsidRPr="007A6426">
        <w:rPr>
          <w:rFonts w:asciiTheme="minorHAnsi" w:hAnsiTheme="minorHAnsi"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asciiTheme="minorHAnsi" w:hAnsiTheme="minorHAnsi" w:cstheme="minorHAnsi"/>
        </w:rPr>
        <w:t>“.</w:t>
      </w:r>
    </w:p>
  </w:footnote>
  <w:footnote w:id="6">
    <w:p w14:paraId="7397FB01" w14:textId="77777777" w:rsidR="00441433" w:rsidRPr="00914700" w:rsidRDefault="00441433" w:rsidP="00441433">
      <w:pPr>
        <w:pStyle w:val="FootnoteText"/>
        <w:rPr>
          <w:rFonts w:asciiTheme="minorHAnsi" w:hAnsiTheme="minorHAnsi" w:cstheme="minorHAnsi"/>
        </w:rPr>
      </w:pPr>
      <w:r w:rsidRPr="00914700">
        <w:rPr>
          <w:rStyle w:val="FootnoteReference"/>
          <w:rFonts w:asciiTheme="minorHAnsi" w:hAnsiTheme="minorHAnsi" w:cstheme="minorHAnsi"/>
        </w:rPr>
        <w:footnoteRef/>
      </w:r>
      <w:r w:rsidRPr="00914700">
        <w:rPr>
          <w:rFonts w:asciiTheme="minorHAnsi" w:hAnsiTheme="minorHAnsi" w:cstheme="minorHAnsi"/>
        </w:rPr>
        <w:t xml:space="preserve"> </w:t>
      </w:r>
      <w:r w:rsidRPr="00914700">
        <w:rPr>
          <w:rFonts w:asciiTheme="minorHAnsi" w:hAnsiTheme="minorHAnsi" w:cstheme="minorHAnsi"/>
        </w:rPr>
        <w:t>Įstatymo 29 straipsnio 4 dalis „</w:t>
      </w:r>
      <w:r w:rsidRPr="007A6426">
        <w:rPr>
          <w:rFonts w:asciiTheme="minorHAnsi" w:hAnsiTheme="minorHAnsi"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3F05"/>
    <w:multiLevelType w:val="multilevel"/>
    <w:tmpl w:val="E08CF69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956911952">
    <w:abstractNumId w:val="1"/>
  </w:num>
  <w:num w:numId="2" w16cid:durableId="127771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33"/>
    <w:rsid w:val="00441433"/>
    <w:rsid w:val="005F6BBB"/>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9D4A"/>
  <w15:chartTrackingRefBased/>
  <w15:docId w15:val="{A4C1B2BA-0119-4827-AAC6-5ACA209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33"/>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41433"/>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41433"/>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41433"/>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4143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41433"/>
    <w:rPr>
      <w:kern w:val="0"/>
      <w:lang w:val="lt-LT"/>
      <w14:ligatures w14:val="none"/>
    </w:rPr>
  </w:style>
  <w:style w:type="character" w:styleId="Hyperlink">
    <w:name w:val="Hyperlink"/>
    <w:basedOn w:val="DefaultParagraphFont"/>
    <w:uiPriority w:val="99"/>
    <w:unhideWhenUsed/>
    <w:rsid w:val="004414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kainos-ir-kokybes-santykio-vertinimo-formuliu-taikomu-isrenkant-ekonomiskai-naudingiausia-pasiulyma-mokomoji-skaiciuokle/"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ui=en-us&amp;rs=lt-lt&amp;wopisrc=https%3A%2F%2Fvptlt.sharepoint.com%2Fsites%2FPrevencijosirskelbimskyrius%2F_vti_bin%2Fwopi.ashx%2Ffiles%2F542ae1a04b874b0795a1aafa34c71711&amp;wdenableroaming=1&amp;mscc=1&amp;hid=2ffe0e90-fb8b-4035-85fc-8a03bbccda13.0&amp;uih=teams&amp;uiembed=1&amp;wdlcid=en-us&amp;jsapi=1&amp;jsapiver=v2&amp;corrid=0e6f5a0c-ef54-4c2f-8c55-19e3b9669b81&amp;usid=0e6f5a0c-ef54-4c2f-8c55-19e3b9669b81&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07989123054&amp;instantedit=1&amp;wopicomplete=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8175</Words>
  <Characters>4660</Characters>
  <Application>Microsoft Office Word</Application>
  <DocSecurity>0</DocSecurity>
  <Lines>38</Lines>
  <Paragraphs>25</Paragraphs>
  <ScaleCrop>false</ScaleCrop>
  <Company>VPT</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2024-03-13T06:26:00Z</dcterms:created>
  <dcterms:modified xsi:type="dcterms:W3CDTF">2024-03-13T06:27:00Z</dcterms:modified>
</cp:coreProperties>
</file>